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adjustRightInd w:val="0"/>
        <w:snapToGrid w:val="0"/>
        <w:jc w:val="center"/>
        <w:outlineLvl w:val="0"/>
        <w:rPr>
          <w:rFonts w:ascii="Times New Roman" w:hAnsi="Times New Roman"/>
          <w:b/>
          <w:bCs/>
          <w:sz w:val="28"/>
          <w:szCs w:val="36"/>
        </w:rPr>
      </w:pPr>
      <w:bookmarkStart w:id="0" w:name="_Toc1081901945_WPSOffice_Level1"/>
      <w:r>
        <w:rPr>
          <w:rFonts w:hint="eastAsia" w:ascii="方正小标宋简体" w:eastAsia="方正小标宋简体" w:cs="方正小标宋简体"/>
          <w:sz w:val="28"/>
          <w:szCs w:val="28"/>
          <w:lang w:bidi="ar-SA"/>
        </w:rPr>
        <w:t>2023年武汉市标杆智能工厂（离散型）评价有关指标自测表</w:t>
      </w:r>
    </w:p>
    <w:bookmarkEnd w:id="0"/>
    <w:tbl>
      <w:tblPr>
        <w:tblStyle w:val="4"/>
        <w:tblW w:w="14802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31"/>
        <w:gridCol w:w="2680"/>
        <w:gridCol w:w="9312"/>
        <w:gridCol w:w="165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序号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一级指标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二级指标</w:t>
            </w:r>
          </w:p>
        </w:tc>
        <w:tc>
          <w:tcPr>
            <w:tcW w:w="9312" w:type="dxa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指标（能力）要求</w:t>
            </w:r>
          </w:p>
        </w:tc>
        <w:tc>
          <w:tcPr>
            <w:tcW w:w="1653" w:type="dxa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企业自测情况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1" w:type="dxa"/>
            <w:vMerge w:val="restart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基本要求</w:t>
            </w:r>
          </w:p>
        </w:tc>
        <w:tc>
          <w:tcPr>
            <w:tcW w:w="2680" w:type="dxa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行业地位</w:t>
            </w:r>
          </w:p>
        </w:tc>
        <w:tc>
          <w:tcPr>
            <w:tcW w:w="9312" w:type="dxa"/>
            <w:vAlign w:val="center"/>
          </w:tcPr>
          <w:p>
            <w:pPr>
              <w:pStyle w:val="2"/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</w:t>
            </w:r>
            <w:r>
              <w:rPr>
                <w:rFonts w:hint="eastAsia" w:ascii="Times New Roman" w:hAnsi="Times New Roman"/>
                <w:szCs w:val="21"/>
              </w:rPr>
              <w:t>产值在全市</w:t>
            </w:r>
            <w:r>
              <w:rPr>
                <w:rFonts w:ascii="Times New Roman" w:hAnsi="Times New Roman"/>
                <w:szCs w:val="21"/>
              </w:rPr>
              <w:t>同行业排名前二十。</w:t>
            </w:r>
          </w:p>
        </w:tc>
        <w:tc>
          <w:tcPr>
            <w:tcW w:w="1653" w:type="dxa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是/否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31" w:type="dxa"/>
            <w:vMerge w:val="continue"/>
            <w:vAlign w:val="center"/>
          </w:tcPr>
          <w:p/>
        </w:tc>
        <w:tc>
          <w:tcPr>
            <w:tcW w:w="2680" w:type="dxa"/>
            <w:vAlign w:val="center"/>
          </w:tcPr>
          <w:p>
            <w:pPr>
              <w:widowControl/>
              <w:suppressAutoHyphens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企业工业设备台套</w:t>
            </w:r>
          </w:p>
        </w:tc>
        <w:tc>
          <w:tcPr>
            <w:tcW w:w="9312" w:type="dxa"/>
            <w:vAlign w:val="center"/>
          </w:tcPr>
          <w:p>
            <w:pPr>
              <w:widowControl/>
              <w:suppressAutoHyphens/>
              <w:snapToGrid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企业现有工业设备总数不低于</w:t>
            </w:r>
            <w:r>
              <w:rPr>
                <w:rFonts w:hint="eastAsia" w:ascii="Times New Roman" w:hAnsi="Times New Roman"/>
                <w:szCs w:val="21"/>
              </w:rPr>
              <w:t>30</w:t>
            </w:r>
            <w:r>
              <w:rPr>
                <w:rFonts w:ascii="Times New Roman" w:hAnsi="Times New Roman"/>
                <w:szCs w:val="21"/>
              </w:rPr>
              <w:t>0台/套。</w:t>
            </w:r>
          </w:p>
        </w:tc>
        <w:tc>
          <w:tcPr>
            <w:tcW w:w="1653" w:type="dxa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是/否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31" w:type="dxa"/>
            <w:vMerge w:val="restart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装备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uppressAutoHyphens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关键工序数控化率（%）</w:t>
            </w:r>
          </w:p>
        </w:tc>
        <w:tc>
          <w:tcPr>
            <w:tcW w:w="9312" w:type="dxa"/>
            <w:vAlign w:val="center"/>
          </w:tcPr>
          <w:p>
            <w:pPr>
              <w:widowControl/>
              <w:suppressAutoHyphens/>
              <w:snapToGrid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企业关键生产工序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装备中，</w:t>
            </w:r>
            <w:r>
              <w:rPr>
                <w:rFonts w:ascii="Times New Roman" w:hAnsi="Times New Roman"/>
                <w:kern w:val="0"/>
                <w:szCs w:val="21"/>
              </w:rPr>
              <w:t>数控系统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kern w:val="0"/>
                <w:szCs w:val="21"/>
              </w:rPr>
              <w:t>如DNC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CNC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FMC等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）</w:t>
            </w:r>
            <w:r>
              <w:rPr>
                <w:rFonts w:ascii="Times New Roman" w:hAnsi="Times New Roman"/>
                <w:kern w:val="0"/>
                <w:szCs w:val="21"/>
              </w:rPr>
              <w:t>覆盖率</w:t>
            </w:r>
            <w:r>
              <w:rPr>
                <w:rFonts w:ascii="Times New Roman" w:hAnsi="Times New Roman"/>
                <w:szCs w:val="21"/>
              </w:rPr>
              <w:t>不低于80%</w:t>
            </w:r>
            <w:r>
              <w:rPr>
                <w:rFonts w:ascii="Times New Roman" w:hAnsi="Times New Roman"/>
                <w:kern w:val="0"/>
                <w:szCs w:val="21"/>
              </w:rPr>
              <w:t>。</w:t>
            </w:r>
          </w:p>
        </w:tc>
        <w:tc>
          <w:tcPr>
            <w:tcW w:w="1653" w:type="dxa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是/否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31" w:type="dxa"/>
            <w:vMerge w:val="continue"/>
            <w:vAlign w:val="center"/>
          </w:tcPr>
          <w:p/>
        </w:tc>
        <w:tc>
          <w:tcPr>
            <w:tcW w:w="2680" w:type="dxa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关键生产设备联网率（%）</w:t>
            </w:r>
          </w:p>
        </w:tc>
        <w:tc>
          <w:tcPr>
            <w:tcW w:w="9312" w:type="dxa"/>
            <w:vAlign w:val="center"/>
          </w:tcPr>
          <w:p>
            <w:pPr>
              <w:pStyle w:val="2"/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企业通过设备联网实现设备状态和关键参数采集的</w:t>
            </w:r>
            <w:r>
              <w:rPr>
                <w:rFonts w:hint="eastAsia" w:ascii="Times New Roman" w:hAnsi="Times New Roman"/>
                <w:szCs w:val="21"/>
              </w:rPr>
              <w:t>关键设备数量</w:t>
            </w:r>
            <w:r>
              <w:rPr>
                <w:rFonts w:ascii="Times New Roman" w:hAnsi="Times New Roman"/>
                <w:szCs w:val="21"/>
              </w:rPr>
              <w:t>占</w:t>
            </w:r>
            <w:r>
              <w:rPr>
                <w:rFonts w:hint="eastAsia" w:ascii="Times New Roman" w:hAnsi="Times New Roman"/>
                <w:szCs w:val="21"/>
              </w:rPr>
              <w:t>所有关键设备数量</w:t>
            </w:r>
            <w:r>
              <w:rPr>
                <w:rFonts w:ascii="Times New Roman" w:hAnsi="Times New Roman"/>
                <w:szCs w:val="21"/>
              </w:rPr>
              <w:t>的百分比不低于70%。</w:t>
            </w:r>
          </w:p>
        </w:tc>
        <w:tc>
          <w:tcPr>
            <w:tcW w:w="1653" w:type="dxa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是/否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设计</w:t>
            </w:r>
          </w:p>
        </w:tc>
        <w:tc>
          <w:tcPr>
            <w:tcW w:w="2680" w:type="dxa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研发设计类软件系统</w:t>
            </w:r>
          </w:p>
        </w:tc>
        <w:tc>
          <w:tcPr>
            <w:tcW w:w="9312" w:type="dxa"/>
            <w:vAlign w:val="center"/>
          </w:tcPr>
          <w:p>
            <w:pPr>
              <w:pStyle w:val="2"/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企业研发设计业务环节软件系统</w:t>
            </w:r>
            <w:r>
              <w:rPr>
                <w:rFonts w:hint="eastAsia" w:ascii="Times New Roman" w:hAnsi="Times New Roman"/>
                <w:szCs w:val="21"/>
              </w:rPr>
              <w:t>覆盖</w:t>
            </w:r>
            <w:r>
              <w:rPr>
                <w:rFonts w:ascii="Times New Roman" w:hAnsi="Times New Roman"/>
                <w:szCs w:val="21"/>
              </w:rPr>
              <w:t>CAD</w:t>
            </w:r>
            <w:r>
              <w:rPr>
                <w:rFonts w:hint="eastAsia" w:ascii="Times New Roman" w:hAnsi="Times New Roman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CAE</w:t>
            </w:r>
            <w:r>
              <w:rPr>
                <w:rFonts w:hint="eastAsia" w:ascii="Times New Roman" w:hAnsi="Times New Roman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PDM</w:t>
            </w:r>
            <w:r>
              <w:rPr>
                <w:rFonts w:hint="eastAsia" w:ascii="Times New Roman" w:hAnsi="Times New Roman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PLM</w:t>
            </w:r>
            <w:r>
              <w:rPr>
                <w:rFonts w:hint="eastAsia" w:ascii="Times New Roman" w:hAnsi="Times New Roman"/>
                <w:szCs w:val="21"/>
              </w:rPr>
              <w:t xml:space="preserve"> 4类中3类及以上</w:t>
            </w:r>
            <w:r>
              <w:rPr>
                <w:rFonts w:ascii="Times New Roman" w:hAnsi="Times New Roman"/>
                <w:szCs w:val="21"/>
              </w:rPr>
              <w:t>。</w:t>
            </w:r>
          </w:p>
        </w:tc>
        <w:tc>
          <w:tcPr>
            <w:tcW w:w="1653" w:type="dxa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是/否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生产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uppressAutoHyphens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生产</w:t>
            </w:r>
            <w:r>
              <w:rPr>
                <w:rFonts w:ascii="Times New Roman" w:hAnsi="Times New Roman"/>
                <w:szCs w:val="21"/>
              </w:rPr>
              <w:t>类软件系统</w:t>
            </w:r>
          </w:p>
        </w:tc>
        <w:tc>
          <w:tcPr>
            <w:tcW w:w="9312" w:type="dxa"/>
            <w:vAlign w:val="center"/>
          </w:tcPr>
          <w:p>
            <w:pPr>
              <w:pStyle w:val="2"/>
              <w:ind w:firstLine="0" w:firstLineChars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企业生产制造业务环节MES</w:t>
            </w:r>
            <w:r>
              <w:rPr>
                <w:rFonts w:hint="eastAsia" w:ascii="Times New Roman" w:hAnsi="Times New Roman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APS</w:t>
            </w:r>
            <w:r>
              <w:rPr>
                <w:rFonts w:hint="eastAsia" w:ascii="Times New Roman" w:hAnsi="Times New Roman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QMS</w:t>
            </w:r>
            <w:r>
              <w:rPr>
                <w:rFonts w:hint="eastAsia" w:ascii="Times New Roman" w:hAnsi="Times New Roman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SCADA软件系统</w:t>
            </w:r>
            <w:r>
              <w:rPr>
                <w:rFonts w:hint="eastAsia" w:ascii="Times New Roman" w:hAnsi="Times New Roman"/>
                <w:szCs w:val="21"/>
              </w:rPr>
              <w:t>全</w:t>
            </w:r>
            <w:r>
              <w:rPr>
                <w:rFonts w:ascii="Times New Roman" w:hAnsi="Times New Roman"/>
                <w:szCs w:val="21"/>
              </w:rPr>
              <w:t>覆盖。</w:t>
            </w:r>
          </w:p>
        </w:tc>
        <w:tc>
          <w:tcPr>
            <w:tcW w:w="1653" w:type="dxa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是/否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经营管理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uppressAutoHyphens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经营管理</w:t>
            </w:r>
            <w:r>
              <w:rPr>
                <w:rFonts w:ascii="Times New Roman" w:hAnsi="Times New Roman"/>
                <w:szCs w:val="21"/>
              </w:rPr>
              <w:t>类软件系统</w:t>
            </w:r>
          </w:p>
        </w:tc>
        <w:tc>
          <w:tcPr>
            <w:tcW w:w="9312" w:type="dxa"/>
            <w:vAlign w:val="center"/>
          </w:tcPr>
          <w:p>
            <w:pPr>
              <w:pStyle w:val="2"/>
              <w:ind w:firstLine="0" w:firstLineChars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企业经营管理业务环节ERP</w:t>
            </w:r>
            <w:r>
              <w:rPr>
                <w:rFonts w:hint="eastAsia" w:ascii="Times New Roman" w:hAnsi="Times New Roman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HRM</w:t>
            </w:r>
            <w:r>
              <w:rPr>
                <w:rFonts w:hint="eastAsia" w:ascii="Times New Roman" w:hAnsi="Times New Roman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WMS</w:t>
            </w:r>
            <w:r>
              <w:rPr>
                <w:rFonts w:hint="eastAsia" w:ascii="Times New Roman" w:hAnsi="Times New Roman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CRM</w:t>
            </w:r>
            <w:r>
              <w:rPr>
                <w:rFonts w:hint="eastAsia" w:ascii="Times New Roman" w:hAnsi="Times New Roman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SCM</w:t>
            </w:r>
            <w:r>
              <w:rPr>
                <w:rFonts w:hint="eastAsia" w:ascii="Times New Roman" w:hAnsi="Times New Roman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OA软件系统</w:t>
            </w:r>
            <w:r>
              <w:rPr>
                <w:rFonts w:hint="eastAsia" w:ascii="Times New Roman" w:hAnsi="Times New Roman"/>
                <w:szCs w:val="21"/>
              </w:rPr>
              <w:t>全</w:t>
            </w:r>
            <w:r>
              <w:rPr>
                <w:rFonts w:ascii="Times New Roman" w:hAnsi="Times New Roman"/>
                <w:szCs w:val="21"/>
              </w:rPr>
              <w:t>覆盖。</w:t>
            </w:r>
          </w:p>
        </w:tc>
        <w:tc>
          <w:tcPr>
            <w:tcW w:w="1653" w:type="dxa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是/否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731" w:type="dxa"/>
            <w:vMerge w:val="restart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资质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uppressAutoHyphens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标准编制</w:t>
            </w:r>
          </w:p>
        </w:tc>
        <w:tc>
          <w:tcPr>
            <w:tcW w:w="9312" w:type="dxa"/>
            <w:vAlign w:val="center"/>
          </w:tcPr>
          <w:p>
            <w:pPr>
              <w:widowControl/>
              <w:suppressAutoHyphens/>
              <w:snapToGrid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企业参与国家、地方或行业标准编制数量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不低于5个</w:t>
            </w:r>
            <w:r>
              <w:rPr>
                <w:rFonts w:ascii="Times New Roman" w:hAnsi="Times New Roman"/>
                <w:kern w:val="0"/>
                <w:szCs w:val="21"/>
              </w:rPr>
              <w:t>。</w:t>
            </w:r>
          </w:p>
        </w:tc>
        <w:tc>
          <w:tcPr>
            <w:tcW w:w="1653" w:type="dxa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是/否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731" w:type="dxa"/>
            <w:vMerge w:val="continue"/>
            <w:vAlign w:val="center"/>
          </w:tcPr>
          <w:p/>
        </w:tc>
        <w:tc>
          <w:tcPr>
            <w:tcW w:w="2680" w:type="dxa"/>
            <w:vAlign w:val="center"/>
          </w:tcPr>
          <w:p>
            <w:pPr>
              <w:widowControl/>
              <w:suppressAutoHyphens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行业创新</w:t>
            </w:r>
          </w:p>
        </w:tc>
        <w:tc>
          <w:tcPr>
            <w:tcW w:w="9312" w:type="dxa"/>
            <w:vAlign w:val="center"/>
          </w:tcPr>
          <w:p>
            <w:pPr>
              <w:widowControl/>
              <w:suppressAutoHyphens/>
              <w:snapToGrid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企业拥有行业创新相关核心技术专利与软件著作权数量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不低于10个</w:t>
            </w:r>
            <w:r>
              <w:rPr>
                <w:rFonts w:ascii="Times New Roman" w:hAnsi="Times New Roman"/>
                <w:kern w:val="0"/>
                <w:szCs w:val="21"/>
              </w:rPr>
              <w:t>。</w:t>
            </w:r>
          </w:p>
        </w:tc>
        <w:tc>
          <w:tcPr>
            <w:tcW w:w="1653" w:type="dxa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是/否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731" w:type="dxa"/>
            <w:vMerge w:val="continue"/>
            <w:vAlign w:val="center"/>
          </w:tcPr>
          <w:p/>
        </w:tc>
        <w:tc>
          <w:tcPr>
            <w:tcW w:w="2680" w:type="dxa"/>
            <w:vAlign w:val="center"/>
          </w:tcPr>
          <w:p>
            <w:pPr>
              <w:widowControl/>
              <w:suppressAutoHyphens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试点示范项目</w:t>
            </w:r>
          </w:p>
        </w:tc>
        <w:tc>
          <w:tcPr>
            <w:tcW w:w="9312" w:type="dxa"/>
            <w:vAlign w:val="center"/>
          </w:tcPr>
          <w:p>
            <w:pPr>
              <w:widowControl/>
              <w:suppressAutoHyphens/>
              <w:snapToGrid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企业获评国家级、省级、市级相关试点示范项目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kern w:val="0"/>
                <w:szCs w:val="21"/>
              </w:rPr>
              <w:t>国家级新一代信息技术与制造业融合发展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国家级制造业与互联网融合发展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国家级工业互联网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国家级智能制造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国家级绿色制造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省级工业互联网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省级智能制造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省级绿色制造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市级工业智能化改造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等）不低于1个。</w:t>
            </w:r>
          </w:p>
        </w:tc>
        <w:tc>
          <w:tcPr>
            <w:tcW w:w="1653" w:type="dxa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是/否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731" w:type="dxa"/>
            <w:vMerge w:val="continue"/>
            <w:vAlign w:val="center"/>
          </w:tcPr>
          <w:p/>
        </w:tc>
        <w:tc>
          <w:tcPr>
            <w:tcW w:w="2680" w:type="dxa"/>
            <w:vAlign w:val="center"/>
          </w:tcPr>
          <w:p>
            <w:pPr>
              <w:widowControl/>
              <w:suppressAutoHyphens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贯标认定</w:t>
            </w:r>
          </w:p>
        </w:tc>
        <w:tc>
          <w:tcPr>
            <w:tcW w:w="9312" w:type="dxa"/>
            <w:vAlign w:val="center"/>
          </w:tcPr>
          <w:p>
            <w:pPr>
              <w:widowControl/>
              <w:suppressAutoHyphens/>
              <w:snapToGrid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企业</w:t>
            </w:r>
            <w:r>
              <w:rPr>
                <w:rFonts w:ascii="Times New Roman" w:hAnsi="Times New Roman"/>
                <w:kern w:val="0"/>
                <w:szCs w:val="21"/>
              </w:rPr>
              <w:t>两化融合管理体系贯标等级不低于AAA 级（领域级）或通过基础版未分级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，或</w:t>
            </w:r>
            <w:r>
              <w:rPr>
                <w:rFonts w:ascii="Times New Roman" w:hAnsi="Times New Roman"/>
                <w:kern w:val="0"/>
                <w:szCs w:val="21"/>
              </w:rPr>
              <w:t>数据管理能力成熟度评估（DCMM）等级不低于第3级稳健级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，或</w:t>
            </w:r>
            <w:r>
              <w:rPr>
                <w:rFonts w:ascii="Times New Roman" w:hAnsi="Times New Roman"/>
                <w:kern w:val="0"/>
                <w:szCs w:val="21"/>
              </w:rPr>
              <w:t>智能制造能力成熟度评估（CMMM）等级不低于三级（集成级）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。</w:t>
            </w:r>
          </w:p>
        </w:tc>
        <w:tc>
          <w:tcPr>
            <w:tcW w:w="1653" w:type="dxa"/>
            <w:vAlign w:val="center"/>
          </w:tcPr>
          <w:p>
            <w:pPr>
              <w:widowControl/>
              <w:suppressAutoHyphens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是/否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7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永中宋体" w:hAnsi="永中宋体" w:eastAsia="方正小标宋简体" w:cs="永中宋体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2023-09-07T08:21:15Z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