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黑体" w:hAnsi="黑体" w:eastAsia="黑体" w:cs="黑体"/>
          <w:sz w:val="52"/>
          <w:szCs w:val="52"/>
          <w:highlight w:val="none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黑体" w:hAnsi="黑体" w:eastAsia="黑体" w:cs="黑体"/>
          <w:sz w:val="52"/>
          <w:szCs w:val="5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shd w:val="clear" w:color="auto" w:fill="auto"/>
          <w:lang w:val="en-US" w:eastAsia="zh-CN"/>
        </w:rPr>
        <w:t>工业和信息化领域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shd w:val="clear" w:color="auto" w:fill="auto"/>
        </w:rPr>
        <w:t>数据安全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shd w:val="clear" w:color="auto" w:fill="auto"/>
          <w:lang w:eastAsia="zh-CN"/>
        </w:rPr>
        <w:t>典型案例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highlight w:val="none"/>
          <w:shd w:val="clear" w:color="auto" w:fill="auto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left"/>
        <w:textAlignment w:val="auto"/>
        <w:rPr>
          <w:rFonts w:hint="eastAsia" w:ascii="宋体" w:hAnsi="宋体" w:eastAsia="黑体"/>
          <w:sz w:val="32"/>
          <w:highlight w:val="none"/>
          <w:u w:val="single"/>
          <w:shd w:val="clear" w:color="auto" w:fill="auto"/>
          <w:lang w:eastAsia="zh-CN"/>
        </w:rPr>
      </w:pPr>
      <w:r>
        <w:rPr>
          <w:rFonts w:ascii="宋体" w:hAnsi="宋体" w:eastAsia="黑体"/>
          <w:sz w:val="32"/>
          <w:highlight w:val="none"/>
          <w:shd w:val="clear" w:color="auto" w:fill="auto"/>
        </w:rPr>
        <w:t>申报</w:t>
      </w:r>
      <w:r>
        <w:rPr>
          <w:rFonts w:hint="eastAsia" w:ascii="宋体" w:hAnsi="宋体" w:eastAsia="黑体"/>
          <w:sz w:val="32"/>
          <w:highlight w:val="none"/>
          <w:shd w:val="clear" w:color="auto" w:fill="auto"/>
        </w:rPr>
        <w:t>单位</w:t>
      </w:r>
      <w:r>
        <w:rPr>
          <w:rFonts w:hint="eastAsia" w:ascii="宋体" w:hAnsi="宋体" w:eastAsia="黑体"/>
          <w:sz w:val="32"/>
          <w:highlight w:val="none"/>
          <w:shd w:val="clear" w:color="auto" w:fill="auto"/>
          <w:lang w:val="en-US" w:eastAsia="zh-CN"/>
        </w:rPr>
        <w:t>/联合申报牵头单位</w:t>
      </w:r>
      <w:r>
        <w:rPr>
          <w:rFonts w:hint="eastAsia" w:ascii="宋体" w:hAnsi="宋体" w:eastAsia="黑体"/>
          <w:sz w:val="32"/>
          <w:highlight w:val="none"/>
          <w:shd w:val="clear" w:color="auto" w:fill="auto"/>
        </w:rPr>
        <w:t>：</w:t>
      </w:r>
      <w:r>
        <w:rPr>
          <w:rFonts w:hint="eastAsia" w:ascii="宋体" w:hAnsi="宋体" w:eastAsia="黑体"/>
          <w:sz w:val="32"/>
          <w:highlight w:val="none"/>
          <w:u w:val="single"/>
          <w:shd w:val="clear" w:color="auto" w:fill="auto"/>
        </w:rPr>
        <w:t xml:space="preserve">   </w:t>
      </w:r>
      <w:r>
        <w:rPr>
          <w:rFonts w:hint="eastAsia" w:ascii="宋体" w:hAnsi="宋体" w:eastAsia="黑体"/>
          <w:sz w:val="32"/>
          <w:highlight w:val="none"/>
          <w:u w:val="single"/>
          <w:shd w:val="clear" w:color="auto" w:fill="auto"/>
          <w:lang w:val="en-US" w:eastAsia="zh-CN"/>
        </w:rPr>
        <w:t xml:space="preserve">       </w:t>
      </w:r>
      <w:r>
        <w:rPr>
          <w:rFonts w:ascii="宋体" w:hAnsi="宋体" w:eastAsia="黑体"/>
          <w:sz w:val="32"/>
          <w:highlight w:val="none"/>
          <w:u w:val="single"/>
          <w:shd w:val="clear" w:color="auto" w:fill="auto"/>
        </w:rPr>
        <w:t>（</w:t>
      </w:r>
      <w:r>
        <w:rPr>
          <w:rFonts w:hint="eastAsia" w:ascii="宋体" w:hAnsi="宋体" w:eastAsia="黑体"/>
          <w:sz w:val="32"/>
          <w:highlight w:val="none"/>
          <w:u w:val="single"/>
          <w:shd w:val="clear" w:color="auto" w:fill="auto"/>
        </w:rPr>
        <w:t xml:space="preserve"> 加盖单位公</w:t>
      </w:r>
      <w:r>
        <w:rPr>
          <w:rFonts w:ascii="宋体" w:hAnsi="宋体" w:eastAsia="黑体"/>
          <w:sz w:val="32"/>
          <w:highlight w:val="none"/>
          <w:u w:val="single"/>
          <w:shd w:val="clear" w:color="auto" w:fill="auto"/>
        </w:rPr>
        <w:t>章</w:t>
      </w:r>
      <w:r>
        <w:rPr>
          <w:rFonts w:hint="eastAsia" w:ascii="宋体" w:hAnsi="宋体" w:eastAsia="黑体"/>
          <w:sz w:val="32"/>
          <w:highlight w:val="none"/>
          <w:u w:val="single"/>
          <w:shd w:val="clear" w:color="auto" w:fill="auto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rFonts w:ascii="黑体" w:hAnsi="黑体" w:eastAsia="黑体" w:cs="黑体"/>
          <w:sz w:val="30"/>
          <w:szCs w:val="30"/>
          <w:highlight w:val="none"/>
          <w:shd w:val="clear" w:color="auto" w:fill="auto"/>
        </w:rPr>
      </w:pPr>
      <w:r>
        <w:rPr>
          <w:rFonts w:hint="eastAsia" w:ascii="宋体" w:hAnsi="宋体" w:eastAsia="黑体"/>
          <w:sz w:val="32"/>
          <w:highlight w:val="none"/>
          <w:shd w:val="clear" w:color="auto" w:fill="auto"/>
        </w:rPr>
        <w:t>申报日期：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   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 </w:t>
      </w:r>
      <w:r>
        <w:rPr>
          <w:rFonts w:hint="eastAsia" w:ascii="宋体" w:hAnsi="宋体" w:eastAsia="黑体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default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 </w:t>
      </w:r>
      <w:r>
        <w:rPr>
          <w:rFonts w:hint="eastAsia" w:ascii="宋体" w:hAnsi="宋体" w:eastAsia="黑体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default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 </w:t>
      </w:r>
      <w:r>
        <w:rPr>
          <w:rFonts w:hint="default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黑体"/>
          <w:sz w:val="32"/>
          <w:szCs w:val="32"/>
          <w:highlight w:val="none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黑体"/>
          <w:sz w:val="32"/>
          <w:szCs w:val="32"/>
          <w:highlight w:val="none"/>
          <w:shd w:val="clear" w:color="auto" w:fill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rFonts w:ascii="黑体" w:hAnsi="黑体" w:eastAsia="黑体" w:cs="黑体"/>
          <w:sz w:val="30"/>
          <w:szCs w:val="30"/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rFonts w:ascii="黑体" w:hAnsi="黑体" w:eastAsia="黑体" w:cs="黑体"/>
          <w:sz w:val="30"/>
          <w:szCs w:val="30"/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rFonts w:ascii="黑体" w:hAnsi="黑体" w:eastAsia="黑体" w:cs="黑体"/>
          <w:sz w:val="30"/>
          <w:szCs w:val="30"/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rFonts w:ascii="黑体" w:hAnsi="黑体" w:eastAsia="黑体" w:cs="黑体"/>
          <w:sz w:val="30"/>
          <w:szCs w:val="30"/>
          <w:highlight w:val="none"/>
          <w:shd w:val="clear" w:color="auto" w:fill="auto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shd w:val="clear" w:color="auto" w:fill="auto"/>
        </w:rPr>
        <w:t>填 写 说 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.申报材料应客观、真实，不得弄虚作假，不涉及国家秘密，申报单位对所提交申报材料的真实性负责。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本申报书除表格外，其他各项填报要求：A</w:t>
      </w: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</w:rPr>
        <w:t>4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幅面编辑，正文应采用仿宋_GB</w:t>
      </w: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</w:rPr>
        <w:t>2312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四号字，</w:t>
      </w: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</w:rPr>
        <w:t>1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.</w:t>
      </w: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</w:rPr>
        <w:t>5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倍行间距，两端对齐，一级标题三号黑体，二级标题为四号楷体_GB</w:t>
      </w: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</w:rPr>
        <w:t>2312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加粗。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.需在申报书首页、责任声明加盖公章，申报书及附件材料加盖骑缝章。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.所申报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eastAsia="zh-CN"/>
        </w:rPr>
        <w:t>典型案例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中，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申报领域和方向不受限制，最多申报三个案例，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每个类型限制提交一个案例，同一案例不能重复申报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。每份申报书限制申报一个案例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申报多个</w:t>
      </w:r>
      <w:r>
        <w:rPr>
          <w:rFonts w:hint="default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案例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的，请分别填写申报书。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.联合申报的，由牵头单位填写责任声明并加盖公章，由联合申报单位填写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</w:rPr>
        <w:t>联合申报责任承诺书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20"/>
          <w:highlight w:val="none"/>
          <w:shd w:val="clear" w:color="auto" w:fill="auto"/>
          <w:lang w:val="en-US" w:eastAsia="zh-CN"/>
        </w:rPr>
        <w:t>.申报书需由推荐单位填写推荐意见，并在对应处加盖推荐单位公章。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default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ascii="黑体" w:hAnsi="黑体" w:eastAsia="黑体" w:cs="黑体"/>
          <w:sz w:val="44"/>
          <w:szCs w:val="36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sz w:val="44"/>
          <w:szCs w:val="36"/>
          <w:highlight w:val="none"/>
          <w:shd w:val="clear" w:color="auto" w:fill="auto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shd w:val="clear" w:color="auto" w:fill="auto"/>
        </w:rPr>
        <w:t>责 任 声 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我单位对提交的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eastAsia="zh-CN"/>
        </w:rPr>
        <w:t>典型案例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申报书的真实性负责。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我单位对所提交的内容负有保密责任，按照国家相关保密规定，所提交的工作内容未涉及国家秘密和其他敏感信息。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我单位对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  <w:lang w:eastAsia="zh-CN"/>
        </w:rPr>
        <w:t>典型案例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申报书所填写的相关文字和图片已经审核，确认无误。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我单位对违反上述声明导致的后果承担全部法律责任。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2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highlight w:val="none"/>
          <w:shd w:val="clear" w:color="auto" w:fill="auto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 xml:space="preserve">       申报单位法定代表人∶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 xml:space="preserve">            申报单位（公章）：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u w:val="singl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shd w:val="clear" w:color="auto" w:fill="auto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shd w:val="clear" w:color="auto" w:fill="auto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shd w:val="clear" w:color="auto" w:fill="auto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shd w:val="clear" w:color="auto" w:fill="auto"/>
          <w:lang w:val="en-US" w:eastAsia="zh-CN"/>
        </w:rPr>
        <w:t>联合申报责任承诺书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1.我单位自愿参加工业和信息化领域数据安全典型案例遴选工作。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2.我单位对由本单位提交的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典型案例申报书的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内容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真实性负责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我单位对所提交的内容负有保密责任，按照国家相关保密规定，所提交的工作内容未涉及国家秘密和其他敏感信息。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我单位对典型案例申报书所填写的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与本单位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相关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文字和图片已经审核，确认无误。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我单位对违反上述声明导致的后果承担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相应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  <w:t>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hint="eastAsia" w:ascii="Times New Roman" w:hAnsi="Times New Roman" w:eastAsia="仿宋_GB2312" w:cs="仿宋_GB2312"/>
          <w:sz w:val="32"/>
          <w:szCs w:val="40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申报单位法定代表人∶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  <w:lang w:val="en-US" w:eastAsia="zh-CN"/>
        </w:rPr>
        <w:t xml:space="preserve">   联合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申报单位（公章）：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40"/>
          <w:highlight w:val="none"/>
          <w:u w:val="singl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shd w:val="clear" w:color="auto" w:fill="auto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shd w:val="clear" w:color="auto" w:fill="auto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u w:val="single"/>
          <w:shd w:val="clear" w:color="auto" w:fill="auto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shd w:val="clear" w:color="auto" w:fill="auto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highlight w:val="none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rFonts w:ascii="黑体" w:hAnsi="黑体" w:eastAsia="黑体" w:cs="黑体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  <w:t>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178"/>
        <w:gridCol w:w="1622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申报单位名称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（联合申报的，填写所有单位全称）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申报联系人</w:t>
            </w:r>
          </w:p>
        </w:tc>
        <w:tc>
          <w:tcPr>
            <w:tcW w:w="217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（联合申报的，填写牵头单位联系人）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27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178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职务</w:t>
            </w:r>
          </w:p>
        </w:tc>
        <w:tc>
          <w:tcPr>
            <w:tcW w:w="27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178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邮箱</w:t>
            </w:r>
          </w:p>
        </w:tc>
        <w:tc>
          <w:tcPr>
            <w:tcW w:w="27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典型案例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申报选择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电信和互联网领域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工业领域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申报工业领域填写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钢铁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有色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石化化工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汽车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用飞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用船舶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纺织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电子信息制造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和信息技术服务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atLeast"/>
        </w:trPr>
        <w:tc>
          <w:tcPr>
            <w:tcW w:w="19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数据安全基础共性方向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数据分类分级类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数据脱敏类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数据加密类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数据攻击检测类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数据防泄露类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数据安全监测分析方向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数据安全监测感知类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数据溯源类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数据安全体系整体设计实施方向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整体设计实施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方向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电信和互联网领域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隐私计算类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28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汽车数据安全保护类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单位简介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N/>
              <w:bidi w:val="0"/>
              <w:spacing w:line="240" w:lineRule="auto"/>
              <w:ind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7F7F7F"/>
                <w:sz w:val="24"/>
                <w:szCs w:val="24"/>
              </w:rPr>
              <w:t>1. 人员资产、经营范围、主营业务及数据安全业务等方面情况。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N/>
              <w:bidi w:val="0"/>
              <w:spacing w:line="240" w:lineRule="auto"/>
              <w:ind w:right="0" w:righ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7F7F7F"/>
                <w:sz w:val="24"/>
                <w:szCs w:val="24"/>
              </w:rPr>
              <w:t>2. 在行业中的示范带动作用，例如：制造业重点产业链链主、参与产业基础创新发展目录揭榜挂帅单位等。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7F7F7F"/>
                <w:sz w:val="24"/>
                <w:szCs w:val="24"/>
              </w:rPr>
              <w:t>不超过1000字。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1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推荐单位意见</w:t>
            </w:r>
          </w:p>
        </w:tc>
        <w:tc>
          <w:tcPr>
            <w:tcW w:w="653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（推荐意见）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3080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推荐单位盖章：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 w:firstLine="336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年   月   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line="240" w:lineRule="auto"/>
              <w:ind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/>
        <w:bidi w:val="0"/>
        <w:spacing w:beforeLines="0" w:after="0" w:line="240" w:lineRule="auto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  <w:t>典型案例情况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2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典型案例名称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例：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公司—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典型案例。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2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案例概述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简述申报企业所属行业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数据安全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特点、机遇与挑战、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前期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工作基础等内容，简述案例主要内容、解决的问题、实施成效、创新性及可推广性等，不超过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2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</w:rPr>
        <w:t>主要做法及成果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2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详细描述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案例的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整体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架构设计、主要建设内容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、解决问题的思路及措施、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功能特点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和性能指标、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关键技术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先进性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等，介绍案例获得省部级以上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奖励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情况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不超过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4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000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2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eastAsia="zh-CN" w:bidi="ar-SA"/>
        </w:rPr>
        <w:t>四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应用成效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介绍案例的主要应用场景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，分析案例的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实践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应用效果（如技术防护的有效性、需求覆盖的全面性、落实监管要求的针对性等）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，不超过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20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20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eastAsia="zh-CN" w:bidi="ar-SA"/>
        </w:rPr>
        <w:t>五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创新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  <w:lang w:eastAsia="zh-CN"/>
        </w:rPr>
        <w:t>经验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说明案例在研发设计、</w:t>
      </w:r>
      <w:r>
        <w:rPr>
          <w:rFonts w:hint="default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eastAsia="zh-CN" w:bidi="ar-SA"/>
        </w:rPr>
        <w:t>集成部署、运行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使用等方面取得的创新性经验或亮点</w:t>
      </w:r>
      <w:r>
        <w:rPr>
          <w:rFonts w:hint="default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eastAsia="zh-CN" w:bidi="ar-SA"/>
        </w:rPr>
        <w:t>，介绍案例取得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授权专利</w:t>
      </w:r>
      <w:r>
        <w:rPr>
          <w:rFonts w:hint="default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eastAsia="zh-CN" w:bidi="ar-SA"/>
        </w:rPr>
        <w:t>或软著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等</w:t>
      </w:r>
      <w:r>
        <w:rPr>
          <w:rFonts w:hint="default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eastAsia="zh-CN" w:bidi="ar-SA"/>
        </w:rPr>
        <w:t>知识产权情况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，不超过</w:t>
      </w:r>
      <w:r>
        <w:rPr>
          <w:rFonts w:hint="eastAsia" w:ascii="Times New Roman" w:hAnsi="Times New Roman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1500</w:t>
      </w: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42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eastAsia="zh-CN" w:bidi="ar-SA"/>
        </w:rPr>
        <w:t>六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shd w:val="clear" w:color="auto" w:fill="auto"/>
        </w:rPr>
        <w:t>可推广性及效益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简要分析案例的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行业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应用推广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前景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eastAsia="zh-CN" w:bidi="ar-SA"/>
        </w:rPr>
        <w:t>和社会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经济效益，不超过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1500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right="0" w:rightChars="0"/>
        <w:textAlignment w:val="auto"/>
        <w:rPr>
          <w:rFonts w:ascii="黑体" w:hAnsi="黑体" w:eastAsia="黑体" w:cs="黑体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  <w:t>三、相关附件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left="638" w:leftChars="304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请提供关于申报案例的相关材料证明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。包括但不限于：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.申报企业营业执照、电信经营许可证等文件。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.采购合同、项目验收报告、工程监理报告、试运行报告、密评报告、等保报告等案例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成果性文件和相关证明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spacing w:beforeLines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关键技术措施相关的知识产权证明，如专利、软件著作权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.信用中国报告、机关赋码和事业单位登记管理记录等。</w:t>
      </w:r>
    </w:p>
    <w:p>
      <w:pPr>
        <w:pStyle w:val="2"/>
      </w:pP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.案例获得该领域省部级及以上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的相关证明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AoAAAAAAIdO4kAAAAAAAAAAAAAAAAAG&#10;AAAAAAAAAAAAEAAAAJgDAABfcmVscy9QSwECFAAKAAAAAACHTuJAAAAAAAAAAAAAAAAABAAAAAAA&#10;AAAAABAAAAAWAAAAZHJzL1BLAQIUABQAAAAIAIdO4kC9dBt2NwIAAG8EAAAOAAAAAAAAAAEAIAAA&#10;ADUBAABkcnMvZTJvRG9jLnhtbFBLAQIUABQAAAAIAIdO4kCzSVju0AAAAAUBAAAPAAAAAAAAAAEA&#10;IAAAADgAAABkcnMvZG93bnJldi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KAAAAAACHTuJAAAAAAAAAAAAAAAAA&#10;BgAAAAAAAAAAABAAAACZAwAAX3JlbHMvUEsBAhQACgAAAAAAh07iQAAAAAAAAAAAAAAAAAQAAAAA&#10;AAAAAAAQAAAAFgAAAGRycy9QSwECFAAUAAAACACHTuJA/z8DRzgCAABvBAAADgAAAAAAAAABACAA&#10;AAA1AQAAZHJzL2Uyb0RvYy54bWxQSwECFAAUAAAACACHTuJAs0lY7tAAAAAFAQAADwAAAAAAAAAB&#10;ACAAAAA4AAAAZHJzL2Rvd25yZXY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KAAAAAACHTuJAAAAAAAAAAAAAAAAA&#10;BgAAAAAAAAAAABAAAACZAwAAX3JlbHMvUEsBAhQACgAAAAAAh07iQAAAAAAAAAAAAAAAAAQAAAAA&#10;AAAAAAAQAAAAFgAAAGRycy9QSwECFAAUAAAACACHTuJAmMenDDgCAABvBAAADgAAAAAAAAABACAA&#10;AAA1AQAAZHJzL2Uyb0RvYy54bWxQSwECFAAUAAAACACHTuJAs0lY7tAAAAAFAQAADwAAAAAAAAAB&#10;ACAAAAA4AAAAZHJzL2Rvd25yZXY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5BA776"/>
    <w:multiLevelType w:val="singleLevel"/>
    <w:tmpl w:val="E75BA7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EC5603"/>
    <w:multiLevelType w:val="singleLevel"/>
    <w:tmpl w:val="64EC5603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DF8162"/>
    <w:rsid w:val="7DCBBAB1"/>
    <w:rsid w:val="BADF8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2023-09-19T23:12:00Z</dcterms:created>
  <dc:creator>张洪</dc:creator>
  <cp:lastModifiedBy>uos</cp:lastModifiedBy>
  <dcterms:modified xsi:type="dcterms:W3CDTF">2023-10-08T17:40:17Z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2052-11.1.0.11698</vt:lpwstr>
  </property>
</Properties>
</file>