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9FBFA"/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武汉东湖新技术开发区城市管理综合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执法局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年行政执法统计年报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/>
        <w:jc w:val="both"/>
        <w:textAlignment w:val="auto"/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/>
          <w:b w:val="0"/>
          <w:bCs/>
          <w:color w:val="000000"/>
          <w:sz w:val="32"/>
        </w:rPr>
      </w:pPr>
      <w:r>
        <w:rPr>
          <w:rFonts w:hint="eastAsia" w:ascii="仿宋" w:hAnsi="仿宋" w:eastAsia="仿宋"/>
          <w:b w:val="0"/>
          <w:bCs/>
          <w:color w:val="000000"/>
          <w:sz w:val="32"/>
        </w:rPr>
        <w:t>为贯彻落实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武汉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市关于全面推进行政执法“三项制度”的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相关工作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要求，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以及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《市城管执法委关于贯彻落实行政执法公示制度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执法全过程记录制度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、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重大执法决定法制审核制度的实施方案》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精神，武汉东湖新技术开发区城市管理综合执法局以强化执法监督、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规范公正文明执法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活动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，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推进依法行政，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营造规范有序城管法治环境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为目标，坚决推进</w:t>
      </w:r>
      <w:r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  <w:t>落实“三项制度”工作。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《湖北省行政执法公示办法（试行）》第二十条和《武汉市行政执法公示办法》第九条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行政执法机关应当建立行政执法统计年报制度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现将20</w:t>
      </w:r>
      <w:r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年度行政执法工作情况报告如下。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/>
          <w:b w:val="0"/>
          <w:bCs/>
          <w:color w:val="000000"/>
          <w:sz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一、执法主体名称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名称为武汉东湖新技术开发区城市管理综合执法局。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武汉东湖新技术开发区城市管理综合执法局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受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武汉东湖新技术开发区管理委员会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委托执法，行使行政处罚、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行政许可、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行政强制权。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二、执法岗位设置及在岗执法人员数量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武汉东湖新技术开发区城市管理综合执法局在岗执法人员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129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lang w:eastAsia="zh-CN"/>
          <w14:textFill>
            <w14:solidFill>
              <w14:schemeClr w14:val="tx1"/>
            </w14:solidFill>
          </w14:textFill>
        </w:rPr>
        <w:t>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三、实施行政许可、行政处罚等行政执法工作情况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lang w:eastAsia="zh-CN"/>
        </w:rPr>
        <w:t>（一）行政许可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/>
          <w:b/>
          <w:bCs w:val="0"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bCs/>
          <w:color w:val="000000"/>
          <w:sz w:val="32"/>
        </w:rPr>
        <w:t>武汉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东湖新技术开发区城市管理局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依法实施行政许可事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项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项，全年收到行政许可申请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仿宋" w:hAnsi="仿宋" w:eastAsia="仿宋"/>
          <w:b w:val="0"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，全部办结（详见附表1）。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lang w:eastAsia="zh-CN"/>
        </w:rPr>
        <w:t>（二）行政处罚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/>
          <w:b w:val="0"/>
          <w:bCs/>
          <w:color w:val="000000"/>
          <w:sz w:val="32"/>
        </w:rPr>
      </w:pP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武汉东湖新技术开发区城市管理局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全年共办理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各类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行政处罚案件</w:t>
      </w:r>
      <w:r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  <w:t>4955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件，处罚金额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5,</w:t>
      </w:r>
      <w:r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  <w:t>449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,</w:t>
      </w:r>
      <w:r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  <w:t>655元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（详见附表2）。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lang w:eastAsia="zh-CN"/>
        </w:rPr>
        <w:t>（三）行政强制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lang w:val="en-US" w:eastAsia="zh-CN"/>
          <w14:textFill>
            <w14:solidFill>
              <w14:schemeClr w14:val="tx1"/>
            </w14:solidFill>
          </w14:textFill>
        </w:rPr>
        <w:t>全年共计拆除82064.81平方米违法建设，对3宗项目进行规划处罚，按照区规划局认定共计执行城乡规划类行政处罚4.66万元。（详见附表3）。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000000"/>
          <w:sz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000000"/>
          <w:sz w:val="32"/>
          <w:lang w:eastAsia="zh-CN"/>
        </w:rPr>
        <w:t>（四）全年无行政裁决、行政确认、行政征收、行政给付、行政奖励等情况。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四、行政检查执行情况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按照“双随机”检查相关工作要求，对“建筑垃圾运输企业”、“城市生活垃圾经营性清扫、收集、运输服务企业”、“燃气经营场站”开展“双随机”检查工作。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/>
          <w:color w:val="auto"/>
          <w:sz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  <w:t>全年对广告立面、门前三包、违法占道、环境卫生管理</w:t>
      </w:r>
      <w:r>
        <w:rPr>
          <w:rFonts w:hint="eastAsia" w:ascii="仿宋" w:hAnsi="仿宋" w:eastAsia="仿宋"/>
          <w:b w:val="0"/>
          <w:bCs/>
          <w:color w:val="auto"/>
          <w:sz w:val="32"/>
          <w:lang w:val="en-US" w:eastAsia="zh-CN"/>
        </w:rPr>
        <w:t>、市政设施、垃圾分类、噪声油烟、燃气管理等专项工作进行行政检查共计19575次，其中燃气问题整治成效显著。全年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办理燃气执法案件45起，处罚金额36.34万元；</w:t>
      </w:r>
      <w:r>
        <w:rPr>
          <w:rFonts w:hint="eastAsia" w:ascii="仿宋_GB2312" w:hAnsi="仿宋_GB2312" w:eastAsia="仿宋_GB2312" w:cs="仿宋_GB2312"/>
          <w:sz w:val="32"/>
          <w:szCs w:val="32"/>
        </w:rPr>
        <w:t>累计检查燃气场站、餐饮用气场所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10040</w:t>
      </w:r>
      <w:r>
        <w:rPr>
          <w:rFonts w:hint="eastAsia" w:ascii="仿宋_GB2312" w:hAnsi="仿宋_GB2312" w:eastAsia="仿宋_GB2312" w:cs="仿宋_GB2312"/>
          <w:sz w:val="32"/>
          <w:szCs w:val="32"/>
        </w:rPr>
        <w:t>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排查一般隐患1051处，已整改1043处；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发现辖区内燃气供应场站安全隐患212处，均已整改完毕；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累计组织各街道取缔“黑气点”15处，登记保存物证液化气钢瓶1079只，移交违法运输货车辆11台；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对辖区内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22个小区的燃气设施进行更新改造，其中更新改造庭院燃气管道约7490米、燃气立管约62555米，新增调压柜1台，</w:t>
      </w:r>
      <w:r>
        <w:rPr>
          <w:rFonts w:hint="eastAsia" w:ascii="仿宋" w:hAnsi="仿宋" w:eastAsia="仿宋"/>
          <w:b w:val="0"/>
          <w:bCs/>
          <w:color w:val="auto"/>
          <w:sz w:val="32"/>
          <w:lang w:val="en-US" w:eastAsia="zh-CN"/>
        </w:rPr>
        <w:t>切实增强了燃气监管安全底数。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lang w:eastAsia="zh-CN"/>
        </w:rPr>
        <w:t>五</w:t>
      </w:r>
      <w:r>
        <w:rPr>
          <w:rFonts w:hint="eastAsia" w:ascii="黑体" w:hAnsi="黑体" w:eastAsia="黑体" w:cs="黑体"/>
          <w:b w:val="0"/>
          <w:bCs/>
          <w:color w:val="000000"/>
          <w:sz w:val="32"/>
        </w:rPr>
        <w:t>、投诉、举报案件办理情况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</w:pPr>
      <w:r>
        <w:rPr>
          <w:rFonts w:hint="eastAsia" w:ascii="仿宋" w:hAnsi="仿宋" w:eastAsia="仿宋"/>
          <w:b w:val="0"/>
          <w:bCs/>
          <w:color w:val="000000"/>
          <w:sz w:val="32"/>
        </w:rPr>
        <w:t>武汉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东湖新技术开发区城市管理综合执法局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2022年全年共受理投诉举报类案件47034件，其中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市民热线31374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件、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区转市民热线15660件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市转市民热线较上年增长43%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lang w:eastAsia="zh-CN"/>
        </w:rPr>
        <w:t>，其中</w:t>
      </w:r>
      <w:r>
        <w:rPr>
          <w:rFonts w:hint="eastAsia" w:ascii="仿宋" w:hAnsi="仿宋" w:eastAsia="仿宋" w:cs="仿宋"/>
          <w:b w:val="0"/>
          <w:bCs/>
          <w:color w:val="000000"/>
          <w:sz w:val="32"/>
        </w:rPr>
        <w:t>油烟噪音类11037起（增长46%）、违法建设类2636起（增长57%）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、占道经营类7537起（增长46%）、扬尘漏洒类417起（增长7%）、道路桥梁类819起（增长96%）、广告亮化类463起（增长58%）、文明执法类91起（下降31%）、联动单位类386起（增长63%）、其他投诉4241起（下降28%）、渣土管理741起（下降117%）、垃圾公厕1192起（增长62%）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。区转市民热线案件中，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回复8572件，退回7088件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000000"/>
          <w:sz w:val="32"/>
        </w:rPr>
        <w:t>截至目前查处率达100%</w:t>
      </w:r>
      <w:r>
        <w:rPr>
          <w:rFonts w:hint="eastAsia" w:ascii="仿宋" w:hAnsi="仿宋" w:eastAsia="仿宋"/>
          <w:b w:val="0"/>
          <w:bCs/>
          <w:color w:val="000000"/>
          <w:sz w:val="32"/>
          <w:lang w:eastAsia="zh-CN"/>
        </w:rPr>
        <w:t>。本年</w:t>
      </w:r>
      <w:r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  <w:t>加大了对责任落实、办理时效、回复情况、诉求对象满意度等情况自查自纠力度，真正做到“民有所呼、我必所应”。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textAlignment w:val="auto"/>
        <w:rPr>
          <w:rFonts w:hint="eastAsia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附件：1.行政许可事项办理情况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00" w:firstLineChars="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2.行政处罚事项办理情况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1600" w:firstLineChars="5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3.行政强制事项办理情况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righ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武汉东湖新技术开发区城市管理综合执法局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                2023年1月11日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2060" w:type="dxa"/>
        <w:tblInd w:w="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1334"/>
        <w:gridCol w:w="26"/>
        <w:gridCol w:w="1471"/>
        <w:gridCol w:w="1350"/>
        <w:gridCol w:w="112"/>
        <w:gridCol w:w="1703"/>
        <w:gridCol w:w="982"/>
        <w:gridCol w:w="1331"/>
        <w:gridCol w:w="1142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年审批事项办理情况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业务/单位</w:t>
            </w:r>
          </w:p>
        </w:tc>
        <w:tc>
          <w:tcPr>
            <w:tcW w:w="29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收件数量（项）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办结数量（项）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1-12月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1-12月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城管审批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户外广告设置、车体广告许可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0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关闭、闲置或者拆除生活垃圾处置的设施、场所核准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关闭、闲置、拆除城市环卫设施许可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从事生活垃圾(含粪便)经营性清扫、收集、运输处理服务审批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21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临时性建筑物搭建、堆放物科、占道施工审批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临时占用林地审批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猎捕非国家重点保护陆生野生动物狩猎证核发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“三有”陆生野生动物经营利用许可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“三有”陆生野生动物人工繁育许可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森林经营单位修筑直接为林业生产服务的工程设施占用林地审批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出售、收购国家二级保护野生植物审批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森林高火险期内，进入森林高火险区的活动审批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2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  <w:t>33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0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2022年行政处罚事项办理情况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14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6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办案数量及处罚金额</w:t>
            </w:r>
          </w:p>
        </w:tc>
        <w:tc>
          <w:tcPr>
            <w:tcW w:w="29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人均办案量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14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简易程序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一般程序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案件总计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共计处罚金额</w:t>
            </w:r>
          </w:p>
        </w:tc>
        <w:tc>
          <w:tcPr>
            <w:tcW w:w="29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武汉东湖新技术开发区城市管理综合执法局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2989件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1966件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4955件</w:t>
            </w:r>
          </w:p>
        </w:tc>
        <w:tc>
          <w:tcPr>
            <w:tcW w:w="2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5,449,655元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38.4件/人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tbl>
      <w:tblPr>
        <w:tblStyle w:val="5"/>
        <w:tblW w:w="12105" w:type="dxa"/>
        <w:tblInd w:w="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5"/>
        <w:gridCol w:w="3030"/>
        <w:gridCol w:w="2595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2022年行政强制事项办理情况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实施部门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拆除违建面积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处罚案件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处罚金额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3" w:hRule="atLeast"/>
        </w:trPr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武汉东湖新技术开发区城市管理综合执法局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82064.81平方米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3件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4.66万元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6"/>
          <w:szCs w:val="28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center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both"/>
        <w:rPr>
          <w:rFonts w:hint="eastAsia" w:ascii="仿宋" w:hAnsi="仿宋" w:eastAsia="仿宋"/>
          <w:b w:val="0"/>
          <w:bCs/>
          <w:color w:val="000000"/>
          <w:sz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/>
        <w:jc w:val="both"/>
        <w:rPr>
          <w:rFonts w:hint="default" w:ascii="仿宋" w:hAnsi="仿宋" w:eastAsia="仿宋"/>
          <w:b w:val="0"/>
          <w:bCs/>
          <w:color w:val="000000"/>
          <w:sz w:val="32"/>
          <w:lang w:val="en-US" w:eastAsia="zh-CN"/>
        </w:rPr>
      </w:pPr>
    </w:p>
    <w:sectPr>
      <w:pgSz w:w="16838" w:h="11906" w:orient="landscape"/>
      <w:pgMar w:top="1440" w:right="1800" w:bottom="1440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F5AED"/>
    <w:rsid w:val="039E4636"/>
    <w:rsid w:val="03E34791"/>
    <w:rsid w:val="04152880"/>
    <w:rsid w:val="05C814AA"/>
    <w:rsid w:val="07CA66B7"/>
    <w:rsid w:val="0911605A"/>
    <w:rsid w:val="0A6E0B87"/>
    <w:rsid w:val="0BAF6CB5"/>
    <w:rsid w:val="138D3887"/>
    <w:rsid w:val="14B377B5"/>
    <w:rsid w:val="16D12E74"/>
    <w:rsid w:val="19571981"/>
    <w:rsid w:val="1AEC4E21"/>
    <w:rsid w:val="1C583510"/>
    <w:rsid w:val="1CD052D5"/>
    <w:rsid w:val="1D4105EF"/>
    <w:rsid w:val="20072926"/>
    <w:rsid w:val="205B04AA"/>
    <w:rsid w:val="20C743B6"/>
    <w:rsid w:val="26E575ED"/>
    <w:rsid w:val="271411E7"/>
    <w:rsid w:val="2E317674"/>
    <w:rsid w:val="374A0880"/>
    <w:rsid w:val="37E76B7D"/>
    <w:rsid w:val="381A234A"/>
    <w:rsid w:val="395A0F9B"/>
    <w:rsid w:val="3AB31916"/>
    <w:rsid w:val="3CDF1401"/>
    <w:rsid w:val="415B1D16"/>
    <w:rsid w:val="42C7089A"/>
    <w:rsid w:val="45DA1C00"/>
    <w:rsid w:val="46903500"/>
    <w:rsid w:val="47E61AF1"/>
    <w:rsid w:val="482B1DDF"/>
    <w:rsid w:val="4A6F3FA3"/>
    <w:rsid w:val="4F536C9E"/>
    <w:rsid w:val="4F8477F1"/>
    <w:rsid w:val="4F9A10D3"/>
    <w:rsid w:val="4FE17875"/>
    <w:rsid w:val="511519ED"/>
    <w:rsid w:val="59111235"/>
    <w:rsid w:val="5D6B5D94"/>
    <w:rsid w:val="61B55C36"/>
    <w:rsid w:val="64726842"/>
    <w:rsid w:val="679E53EB"/>
    <w:rsid w:val="687712F4"/>
    <w:rsid w:val="6B5E331C"/>
    <w:rsid w:val="6BDF1B1F"/>
    <w:rsid w:val="6DDF61CE"/>
    <w:rsid w:val="70F442EA"/>
    <w:rsid w:val="734E53E2"/>
    <w:rsid w:val="736F1EF2"/>
    <w:rsid w:val="73BB4165"/>
    <w:rsid w:val="757ED7CC"/>
    <w:rsid w:val="763D41BB"/>
    <w:rsid w:val="790A0AA8"/>
    <w:rsid w:val="79A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540" w:lineRule="exact"/>
    </w:pPr>
    <w:rPr>
      <w:rFonts w:asciiTheme="minorHAnsi" w:hAnsiTheme="minorHAnsi"/>
      <w:szCs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147</TotalTime>
  <ScaleCrop>false</ScaleCrop>
  <LinksUpToDate>false</LinksUpToDate>
  <CharactersWithSpaces>0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lenovo</dc:creator>
  <cp:lastModifiedBy>m740</cp:lastModifiedBy>
  <cp:lastPrinted>2023-01-12T10:24:00Z</cp:lastPrinted>
  <dcterms:modified xsi:type="dcterms:W3CDTF">2024-04-23T15:03:56Z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67407480D8E74F895C5D27667A574A76</vt:lpwstr>
  </property>
</Properties>
</file>