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Chars="0"/>
        <w:jc w:val="center"/>
        <w:textAlignment w:val="auto"/>
        <w:rPr>
          <w:rFonts w:hint="eastAsia" w:ascii="仿宋" w:hAnsi="仿宋" w:eastAsia="仿宋" w:cs="仿宋"/>
          <w:b w:val="0"/>
          <w:bCs/>
          <w:w w:val="95"/>
          <w:kern w:val="0"/>
          <w:sz w:val="44"/>
          <w:szCs w:val="44"/>
          <w:highlight w:val="none"/>
        </w:rPr>
      </w:pPr>
    </w:p>
    <w:p>
      <w:pPr>
        <w:pStyle w:val="2"/>
        <w:keepNext w:val="0"/>
        <w:keepLines w:val="0"/>
        <w:pageBreakBefore w:val="0"/>
        <w:widowControl w:val="0"/>
        <w:kinsoku/>
        <w:wordWrap/>
        <w:overflowPunct/>
        <w:topLinePunct w:val="0"/>
        <w:autoSpaceDE/>
        <w:autoSpaceDN/>
        <w:bidi w:val="0"/>
        <w:spacing w:line="580" w:lineRule="exact"/>
        <w:textAlignment w:val="auto"/>
        <w:rPr>
          <w:rFonts w:hint="eastAsia"/>
        </w:rPr>
      </w:pPr>
    </w:p>
    <w:p>
      <w:pPr>
        <w:pStyle w:val="2"/>
        <w:keepNext w:val="0"/>
        <w:keepLines w:val="0"/>
        <w:pageBreakBefore w:val="0"/>
        <w:widowControl w:val="0"/>
        <w:kinsoku/>
        <w:wordWrap/>
        <w:overflowPunct/>
        <w:topLinePunct w:val="0"/>
        <w:autoSpaceDE/>
        <w:autoSpaceDN/>
        <w:bidi w:val="0"/>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Chars="0"/>
        <w:jc w:val="center"/>
        <w:textAlignment w:val="auto"/>
        <w:rPr>
          <w:rFonts w:hint="eastAsia" w:ascii="方正小标宋简体" w:hAnsi="方正小标宋简体" w:eastAsia="方正小标宋简体" w:cs="方正小标宋简体"/>
          <w:b w:val="0"/>
          <w:bCs/>
          <w:w w:val="95"/>
          <w:kern w:val="0"/>
          <w:sz w:val="44"/>
          <w:szCs w:val="44"/>
          <w:highlight w:val="none"/>
        </w:rPr>
      </w:pPr>
      <w:r>
        <w:rPr>
          <w:rFonts w:hint="eastAsia" w:ascii="方正小标宋简体" w:hAnsi="方正小标宋简体" w:eastAsia="方正小标宋简体" w:cs="方正小标宋简体"/>
          <w:b w:val="0"/>
          <w:bCs/>
          <w:w w:val="95"/>
          <w:kern w:val="0"/>
          <w:sz w:val="44"/>
          <w:szCs w:val="44"/>
          <w:highlight w:val="none"/>
        </w:rPr>
        <w:t>二〇二</w:t>
      </w:r>
      <w:r>
        <w:rPr>
          <w:rFonts w:hint="eastAsia" w:ascii="方正小标宋简体" w:hAnsi="方正小标宋简体" w:eastAsia="方正小标宋简体" w:cs="方正小标宋简体"/>
          <w:b w:val="0"/>
          <w:bCs/>
          <w:w w:val="95"/>
          <w:kern w:val="0"/>
          <w:sz w:val="44"/>
          <w:szCs w:val="44"/>
          <w:highlight w:val="none"/>
          <w:lang w:eastAsia="zh-CN"/>
        </w:rPr>
        <w:t>三</w:t>
      </w:r>
      <w:r>
        <w:rPr>
          <w:rFonts w:hint="eastAsia" w:ascii="方正小标宋简体" w:hAnsi="方正小标宋简体" w:eastAsia="方正小标宋简体" w:cs="方正小标宋简体"/>
          <w:b w:val="0"/>
          <w:bCs/>
          <w:w w:val="95"/>
          <w:kern w:val="0"/>
          <w:sz w:val="44"/>
          <w:szCs w:val="44"/>
          <w:highlight w:val="none"/>
        </w:rPr>
        <w:t>年工作总结及二〇二</w:t>
      </w:r>
      <w:r>
        <w:rPr>
          <w:rFonts w:hint="eastAsia" w:ascii="方正小标宋简体" w:hAnsi="方正小标宋简体" w:eastAsia="方正小标宋简体" w:cs="方正小标宋简体"/>
          <w:b w:val="0"/>
          <w:bCs/>
          <w:w w:val="95"/>
          <w:kern w:val="0"/>
          <w:sz w:val="44"/>
          <w:szCs w:val="44"/>
          <w:highlight w:val="none"/>
          <w:lang w:eastAsia="zh-CN"/>
        </w:rPr>
        <w:t>四</w:t>
      </w:r>
      <w:r>
        <w:rPr>
          <w:rFonts w:hint="eastAsia" w:ascii="方正小标宋简体" w:hAnsi="方正小标宋简体" w:eastAsia="方正小标宋简体" w:cs="方正小标宋简体"/>
          <w:b w:val="0"/>
          <w:bCs/>
          <w:w w:val="95"/>
          <w:kern w:val="0"/>
          <w:sz w:val="44"/>
          <w:szCs w:val="44"/>
          <w:highlight w:val="none"/>
        </w:rPr>
        <w:t>年工作思路</w:t>
      </w:r>
    </w:p>
    <w:p>
      <w:pPr>
        <w:keepNext w:val="0"/>
        <w:keepLines w:val="0"/>
        <w:pageBreakBefore w:val="0"/>
        <w:widowControl w:val="0"/>
        <w:kinsoku/>
        <w:wordWrap/>
        <w:overflowPunct/>
        <w:topLinePunct w:val="0"/>
        <w:autoSpaceDE/>
        <w:autoSpaceDN/>
        <w:bidi w:val="0"/>
        <w:adjustRightInd/>
        <w:snapToGrid/>
        <w:spacing w:line="540" w:lineRule="exact"/>
        <w:ind w:leftChars="0" w:firstLine="0" w:firstLineChars="0"/>
        <w:jc w:val="center"/>
        <w:textAlignment w:val="auto"/>
        <w:rPr>
          <w:rFonts w:hint="eastAsia" w:ascii="楷体" w:hAnsi="楷体" w:eastAsia="楷体" w:cs="楷体"/>
          <w:b/>
          <w:bCs w:val="0"/>
          <w:sz w:val="32"/>
          <w:szCs w:val="32"/>
          <w:highlight w:val="none"/>
        </w:rPr>
      </w:pPr>
      <w:r>
        <w:rPr>
          <w:rFonts w:hint="eastAsia" w:ascii="楷体" w:hAnsi="楷体" w:eastAsia="楷体" w:cs="楷体"/>
          <w:b/>
          <w:bCs w:val="0"/>
          <w:sz w:val="32"/>
          <w:szCs w:val="32"/>
          <w:highlight w:val="none"/>
          <w:lang w:eastAsia="zh-CN"/>
        </w:rPr>
        <w:t>东湖新技术开发区城市管理综合执法</w:t>
      </w:r>
      <w:r>
        <w:rPr>
          <w:rFonts w:hint="eastAsia" w:ascii="楷体" w:hAnsi="楷体" w:eastAsia="楷体" w:cs="楷体"/>
          <w:b/>
          <w:bCs w:val="0"/>
          <w:sz w:val="32"/>
          <w:szCs w:val="32"/>
          <w:highlight w:val="none"/>
        </w:rPr>
        <w:t>局</w:t>
      </w:r>
    </w:p>
    <w:p>
      <w:pPr>
        <w:keepNext w:val="0"/>
        <w:keepLines w:val="0"/>
        <w:pageBreakBefore w:val="0"/>
        <w:widowControl w:val="0"/>
        <w:kinsoku/>
        <w:wordWrap/>
        <w:overflowPunct/>
        <w:topLinePunct w:val="0"/>
        <w:autoSpaceDE/>
        <w:autoSpaceDN/>
        <w:bidi w:val="0"/>
        <w:adjustRightInd/>
        <w:snapToGrid/>
        <w:spacing w:line="540" w:lineRule="exact"/>
        <w:ind w:leftChars="0"/>
        <w:jc w:val="center"/>
        <w:textAlignment w:val="auto"/>
        <w:rPr>
          <w:rFonts w:hint="default" w:ascii="Times New Roman" w:hAnsi="Times New Roman" w:eastAsia="楷体_GB2312" w:cs="Times New Roman"/>
          <w:b w:val="0"/>
          <w:bCs/>
          <w:highlight w:val="none"/>
          <w:lang w:val="en-US" w:eastAsia="zh-CN"/>
        </w:rPr>
      </w:pPr>
      <w:r>
        <w:rPr>
          <w:rFonts w:hint="default" w:ascii="Times New Roman" w:hAnsi="Times New Roman" w:eastAsia="楷体_GB2312" w:cs="Times New Roman"/>
          <w:b w:val="0"/>
          <w:bCs/>
          <w:highlight w:val="none"/>
          <w:lang w:val="en-US" w:eastAsia="zh-CN"/>
        </w:rPr>
        <w:t>（2023年12月20日）</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b w:val="0"/>
          <w:bCs/>
          <w:highlight w:val="none"/>
          <w:lang w:eastAsia="zh-CN"/>
        </w:rPr>
      </w:pPr>
      <w:r>
        <w:rPr>
          <w:rFonts w:hint="eastAsia" w:ascii="仿宋" w:hAnsi="仿宋" w:eastAsia="仿宋" w:cs="仿宋"/>
          <w:b w:val="0"/>
          <w:bCs/>
          <w:highlight w:val="none"/>
        </w:rPr>
        <w:t>202</w:t>
      </w:r>
      <w:r>
        <w:rPr>
          <w:rFonts w:hint="eastAsia" w:ascii="仿宋" w:hAnsi="仿宋" w:eastAsia="仿宋" w:cs="仿宋"/>
          <w:b w:val="0"/>
          <w:bCs/>
          <w:highlight w:val="none"/>
          <w:lang w:val="en-US" w:eastAsia="zh-CN"/>
        </w:rPr>
        <w:t>3</w:t>
      </w:r>
      <w:r>
        <w:rPr>
          <w:rFonts w:hint="eastAsia" w:ascii="仿宋" w:hAnsi="仿宋" w:eastAsia="仿宋" w:cs="仿宋"/>
          <w:b w:val="0"/>
          <w:bCs/>
          <w:highlight w:val="none"/>
        </w:rPr>
        <w:t>年</w:t>
      </w:r>
      <w:r>
        <w:rPr>
          <w:rFonts w:hint="eastAsia" w:ascii="仿宋" w:hAnsi="仿宋" w:eastAsia="仿宋" w:cs="仿宋"/>
          <w:b w:val="0"/>
          <w:bCs/>
          <w:highlight w:val="none"/>
          <w:lang w:eastAsia="zh-CN"/>
        </w:rPr>
        <w:t>是贯彻落实党的二十大决策部署的开局之年，高新区</w:t>
      </w:r>
      <w:r>
        <w:rPr>
          <w:rFonts w:hint="eastAsia" w:ascii="仿宋" w:hAnsi="仿宋" w:eastAsia="仿宋" w:cs="仿宋"/>
          <w:b w:val="0"/>
          <w:bCs/>
          <w:highlight w:val="none"/>
        </w:rPr>
        <w:t>城管局在</w:t>
      </w:r>
      <w:r>
        <w:rPr>
          <w:rFonts w:hint="eastAsia" w:ascii="仿宋" w:hAnsi="仿宋" w:eastAsia="仿宋" w:cs="仿宋"/>
          <w:b w:val="0"/>
          <w:bCs/>
          <w:highlight w:val="none"/>
          <w:lang w:eastAsia="zh-CN"/>
        </w:rPr>
        <w:t>市城管执法委和高新区</w:t>
      </w:r>
      <w:r>
        <w:rPr>
          <w:rFonts w:hint="eastAsia" w:ascii="仿宋" w:hAnsi="仿宋" w:eastAsia="仿宋" w:cs="仿宋"/>
          <w:b w:val="0"/>
          <w:bCs/>
          <w:highlight w:val="none"/>
        </w:rPr>
        <w:t>党工委、管委会的正确领导下，</w:t>
      </w:r>
      <w:r>
        <w:rPr>
          <w:rFonts w:hint="eastAsia" w:ascii="仿宋" w:hAnsi="仿宋" w:eastAsia="仿宋" w:cs="仿宋"/>
          <w:b w:val="0"/>
          <w:bCs/>
          <w:highlight w:val="none"/>
          <w:lang w:eastAsia="zh-CN"/>
        </w:rPr>
        <w:t>紧紧围绕高标准建设武汉新城、加快打造“世界光谷”的目标，深入开展</w:t>
      </w:r>
      <w:r>
        <w:rPr>
          <w:rFonts w:hint="eastAsia" w:ascii="仿宋" w:hAnsi="仿宋" w:eastAsia="仿宋" w:cs="仿宋"/>
          <w:color w:val="000000"/>
          <w:sz w:val="32"/>
          <w:szCs w:val="32"/>
          <w:lang w:val="en-US" w:eastAsia="zh-CN"/>
        </w:rPr>
        <w:t>学习贯彻习近平新时代中国特色</w:t>
      </w:r>
      <w:r>
        <w:rPr>
          <w:rFonts w:hint="eastAsia" w:ascii="仿宋" w:hAnsi="仿宋" w:eastAsia="仿宋" w:cs="仿宋"/>
          <w:b w:val="0"/>
          <w:bCs/>
          <w:highlight w:val="none"/>
          <w:lang w:eastAsia="zh-CN"/>
        </w:rPr>
        <w:t>，扛牢使命，奋力拼搏，着力</w:t>
      </w:r>
      <w:r>
        <w:rPr>
          <w:rFonts w:hint="eastAsia" w:ascii="仿宋" w:hAnsi="仿宋" w:eastAsia="仿宋" w:cs="仿宋"/>
          <w:b w:val="0"/>
          <w:bCs/>
          <w:highlight w:val="none"/>
        </w:rPr>
        <w:t>提升城市建设管理精细化水平</w:t>
      </w:r>
      <w:r>
        <w:rPr>
          <w:rFonts w:hint="eastAsia" w:ascii="仿宋" w:hAnsi="仿宋" w:eastAsia="仿宋" w:cs="仿宋"/>
          <w:b w:val="0"/>
          <w:bCs/>
          <w:highlight w:val="none"/>
          <w:lang w:eastAsia="zh-CN"/>
        </w:rPr>
        <w:t>，</w:t>
      </w:r>
      <w:r>
        <w:rPr>
          <w:rFonts w:hint="eastAsia" w:ascii="仿宋" w:hAnsi="仿宋" w:eastAsia="仿宋" w:cs="仿宋"/>
          <w:b w:val="0"/>
          <w:bCs/>
          <w:highlight w:val="none"/>
          <w:lang w:val="en-US" w:eastAsia="zh-CN"/>
        </w:rPr>
        <w:t>高新区</w:t>
      </w:r>
      <w:r>
        <w:rPr>
          <w:rFonts w:hint="eastAsia" w:ascii="仿宋" w:hAnsi="仿宋" w:eastAsia="仿宋" w:cs="仿宋"/>
          <w:b w:val="0"/>
          <w:bCs/>
          <w:highlight w:val="none"/>
          <w:lang w:eastAsia="zh-CN"/>
        </w:rPr>
        <w:t>城市环境发生显著变化，城市功能品质进一步提升。</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b w:val="0"/>
          <w:bCs/>
          <w:lang w:eastAsia="zh-CN"/>
        </w:rPr>
      </w:pPr>
      <w:r>
        <w:rPr>
          <w:rFonts w:hint="eastAsia" w:ascii="黑体" w:hAnsi="黑体" w:eastAsia="黑体" w:cs="黑体"/>
          <w:b w:val="0"/>
          <w:bCs/>
          <w:highlight w:val="none"/>
          <w:lang w:eastAsia="zh-CN"/>
        </w:rPr>
        <w:t>一、</w:t>
      </w:r>
      <w:r>
        <w:rPr>
          <w:rFonts w:hint="eastAsia" w:ascii="黑体" w:hAnsi="黑体" w:eastAsia="黑体" w:cs="黑体"/>
          <w:b w:val="0"/>
          <w:bCs/>
          <w:highlight w:val="none"/>
        </w:rPr>
        <w:t>二〇二</w:t>
      </w:r>
      <w:r>
        <w:rPr>
          <w:rFonts w:hint="eastAsia" w:ascii="黑体" w:hAnsi="黑体" w:eastAsia="黑体" w:cs="黑体"/>
          <w:b w:val="0"/>
          <w:bCs/>
          <w:highlight w:val="none"/>
          <w:lang w:eastAsia="zh-CN"/>
        </w:rPr>
        <w:t>三</w:t>
      </w:r>
      <w:r>
        <w:rPr>
          <w:rFonts w:hint="eastAsia" w:ascii="黑体" w:hAnsi="黑体" w:eastAsia="黑体" w:cs="黑体"/>
          <w:b w:val="0"/>
          <w:bCs/>
          <w:highlight w:val="none"/>
        </w:rPr>
        <w:t>年工作</w:t>
      </w:r>
      <w:r>
        <w:rPr>
          <w:rFonts w:hint="eastAsia" w:ascii="黑体" w:hAnsi="黑体" w:eastAsia="黑体" w:cs="黑体"/>
          <w:b w:val="0"/>
          <w:bCs/>
          <w:highlight w:val="none"/>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2" w:firstLineChars="200"/>
        <w:jc w:val="both"/>
        <w:textAlignment w:val="auto"/>
        <w:rPr>
          <w:rFonts w:hint="eastAsia" w:ascii="楷体" w:hAnsi="楷体" w:eastAsia="楷体" w:cs="楷体"/>
          <w:b/>
          <w:bCs w:val="0"/>
          <w:color w:val="auto"/>
          <w:kern w:val="0"/>
          <w:sz w:val="32"/>
          <w:szCs w:val="32"/>
          <w:highlight w:val="none"/>
          <w:lang w:val="en-US" w:eastAsia="zh-CN"/>
        </w:rPr>
      </w:pPr>
      <w:r>
        <w:rPr>
          <w:rFonts w:hint="eastAsia" w:ascii="楷体" w:hAnsi="楷体" w:eastAsia="楷体" w:cs="楷体"/>
          <w:b/>
          <w:bCs w:val="0"/>
          <w:color w:val="auto"/>
          <w:sz w:val="32"/>
          <w:szCs w:val="32"/>
          <w:highlight w:val="none"/>
          <w:lang w:eastAsia="zh-CN"/>
        </w:rPr>
        <w:t>（一）</w:t>
      </w:r>
      <w:r>
        <w:rPr>
          <w:rFonts w:hint="eastAsia" w:ascii="楷体" w:hAnsi="楷体" w:eastAsia="楷体" w:cs="楷体"/>
          <w:b/>
          <w:bCs w:val="0"/>
          <w:color w:val="auto"/>
          <w:kern w:val="0"/>
          <w:sz w:val="32"/>
          <w:szCs w:val="32"/>
          <w:highlight w:val="none"/>
          <w:lang w:val="en-US" w:eastAsia="zh-CN"/>
        </w:rPr>
        <w:t>做优城市管理主责主业，推动城市环境品质进一步提升</w:t>
      </w:r>
    </w:p>
    <w:p>
      <w:pPr>
        <w:keepNext w:val="0"/>
        <w:keepLines w:val="0"/>
        <w:pageBreakBefore w:val="0"/>
        <w:widowControl w:val="0"/>
        <w:kinsoku/>
        <w:wordWrap/>
        <w:overflowPunct/>
        <w:topLinePunct w:val="0"/>
        <w:autoSpaceDE/>
        <w:autoSpaceDN/>
        <w:bidi w:val="0"/>
        <w:adjustRightInd/>
        <w:snapToGrid/>
        <w:spacing w:line="540" w:lineRule="exact"/>
        <w:ind w:leftChars="0" w:firstLine="702" w:firstLineChars="200"/>
        <w:textAlignment w:val="auto"/>
        <w:rPr>
          <w:rFonts w:hint="eastAsia" w:ascii="仿宋" w:hAnsi="仿宋" w:eastAsia="仿宋" w:cs="仿宋"/>
          <w:sz w:val="32"/>
          <w:szCs w:val="32"/>
          <w:lang w:val="en-US" w:eastAsia="zh-CN"/>
        </w:rPr>
      </w:pPr>
      <w:r>
        <w:rPr>
          <w:rFonts w:hint="eastAsia" w:ascii="仿宋" w:hAnsi="仿宋" w:eastAsia="仿宋" w:cs="仿宋"/>
          <w:b/>
          <w:bCs/>
          <w:spacing w:val="15"/>
          <w:kern w:val="0"/>
          <w:sz w:val="32"/>
          <w:szCs w:val="32"/>
          <w:lang w:val="en-US" w:eastAsia="zh-CN" w:bidi="ar"/>
        </w:rPr>
        <w:t>1、城市综合管理考核稳中求进。</w:t>
      </w:r>
      <w:r>
        <w:rPr>
          <w:rFonts w:hint="eastAsia" w:ascii="仿宋" w:hAnsi="仿宋" w:eastAsia="仿宋" w:cs="仿宋"/>
          <w:spacing w:val="15"/>
          <w:kern w:val="0"/>
          <w:sz w:val="32"/>
          <w:szCs w:val="32"/>
          <w:lang w:val="en-US" w:eastAsia="zh-CN" w:bidi="ar"/>
        </w:rPr>
        <w:t>1至</w:t>
      </w:r>
      <w:r>
        <w:rPr>
          <w:rFonts w:hint="eastAsia" w:ascii="仿宋" w:hAnsi="仿宋" w:cs="仿宋"/>
          <w:spacing w:val="15"/>
          <w:kern w:val="0"/>
          <w:sz w:val="32"/>
          <w:szCs w:val="32"/>
          <w:lang w:val="en-US" w:eastAsia="zh-CN" w:bidi="ar"/>
        </w:rPr>
        <w:t>11</w:t>
      </w:r>
      <w:r>
        <w:rPr>
          <w:rFonts w:hint="eastAsia" w:ascii="仿宋" w:hAnsi="仿宋" w:eastAsia="仿宋" w:cs="仿宋"/>
          <w:spacing w:val="15"/>
          <w:kern w:val="0"/>
          <w:sz w:val="32"/>
          <w:szCs w:val="32"/>
          <w:lang w:val="en-US" w:eastAsia="zh-CN" w:bidi="ar"/>
        </w:rPr>
        <w:t>月，高新区在全市15个城区城市综合管理考核排名第</w:t>
      </w:r>
      <w:r>
        <w:rPr>
          <w:rFonts w:hint="eastAsia" w:ascii="仿宋" w:hAnsi="仿宋" w:cs="仿宋"/>
          <w:spacing w:val="15"/>
          <w:kern w:val="0"/>
          <w:sz w:val="32"/>
          <w:szCs w:val="32"/>
          <w:lang w:val="en-US" w:eastAsia="zh-CN" w:bidi="ar"/>
        </w:rPr>
        <w:t>6</w:t>
      </w:r>
      <w:r>
        <w:rPr>
          <w:rFonts w:hint="eastAsia" w:ascii="仿宋" w:hAnsi="仿宋" w:eastAsia="仿宋" w:cs="仿宋"/>
          <w:spacing w:val="15"/>
          <w:kern w:val="0"/>
          <w:sz w:val="32"/>
          <w:szCs w:val="32"/>
          <w:lang w:val="en-US" w:eastAsia="zh-CN" w:bidi="ar"/>
        </w:rPr>
        <w:t>，整体排名位于全市中游水平。对照全国文明城市复查测评标准，落实包保责任，全力做好全国文明城市复查测评迎检工作。深化路长制，通过路长制平台上传问题29</w:t>
      </w:r>
      <w:r>
        <w:rPr>
          <w:rFonts w:hint="eastAsia" w:ascii="仿宋" w:hAnsi="仿宋" w:cs="仿宋"/>
          <w:spacing w:val="15"/>
          <w:kern w:val="0"/>
          <w:sz w:val="32"/>
          <w:szCs w:val="32"/>
          <w:lang w:val="en-US" w:eastAsia="zh-CN" w:bidi="ar"/>
        </w:rPr>
        <w:t>.</w:t>
      </w:r>
      <w:r>
        <w:rPr>
          <w:rFonts w:hint="eastAsia" w:ascii="仿宋" w:hAnsi="仿宋" w:eastAsia="仿宋" w:cs="仿宋"/>
          <w:spacing w:val="15"/>
          <w:kern w:val="0"/>
          <w:sz w:val="32"/>
          <w:szCs w:val="32"/>
          <w:lang w:val="en-US" w:eastAsia="zh-CN" w:bidi="ar"/>
        </w:rPr>
        <w:t>6</w:t>
      </w:r>
      <w:r>
        <w:rPr>
          <w:rFonts w:hint="eastAsia" w:ascii="仿宋" w:hAnsi="仿宋" w:cs="仿宋"/>
          <w:spacing w:val="15"/>
          <w:kern w:val="0"/>
          <w:sz w:val="32"/>
          <w:szCs w:val="32"/>
          <w:lang w:val="en-US" w:eastAsia="zh-CN" w:bidi="ar"/>
        </w:rPr>
        <w:t>万</w:t>
      </w:r>
      <w:r>
        <w:rPr>
          <w:rFonts w:hint="eastAsia" w:ascii="仿宋" w:hAnsi="仿宋" w:eastAsia="仿宋" w:cs="仿宋"/>
          <w:spacing w:val="15"/>
          <w:kern w:val="0"/>
          <w:sz w:val="32"/>
          <w:szCs w:val="32"/>
          <w:lang w:val="en-US" w:eastAsia="zh-CN" w:bidi="ar"/>
        </w:rPr>
        <w:t>余件，结合副局级以上</w:t>
      </w:r>
      <w:r>
        <w:rPr>
          <w:rFonts w:hint="eastAsia" w:ascii="仿宋" w:hAnsi="仿宋" w:eastAsia="仿宋" w:cs="仿宋"/>
          <w:spacing w:val="15"/>
          <w:kern w:val="0"/>
          <w:sz w:val="32"/>
          <w:szCs w:val="32"/>
          <w:lang w:val="en-US" w:eastAsia="zh-Hans" w:bidi="ar"/>
        </w:rPr>
        <w:t>领导</w:t>
      </w:r>
      <w:r>
        <w:rPr>
          <w:rFonts w:hint="eastAsia" w:ascii="仿宋" w:hAnsi="仿宋" w:eastAsia="仿宋" w:cs="仿宋"/>
          <w:spacing w:val="15"/>
          <w:kern w:val="0"/>
          <w:sz w:val="32"/>
          <w:szCs w:val="32"/>
          <w:lang w:val="en-US" w:eastAsia="zh-CN" w:bidi="ar"/>
        </w:rPr>
        <w:t>干部包保道路工作，</w:t>
      </w:r>
      <w:r>
        <w:rPr>
          <w:rFonts w:hint="eastAsia" w:ascii="仿宋" w:hAnsi="仿宋" w:eastAsia="仿宋" w:cs="仿宋"/>
          <w:spacing w:val="15"/>
          <w:kern w:val="0"/>
          <w:sz w:val="32"/>
          <w:szCs w:val="32"/>
          <w:lang w:bidi="ar"/>
        </w:rPr>
        <w:t>2</w:t>
      </w:r>
      <w:r>
        <w:rPr>
          <w:rFonts w:hint="eastAsia" w:ascii="仿宋" w:hAnsi="仿宋" w:eastAsia="仿宋" w:cs="仿宋"/>
          <w:spacing w:val="15"/>
          <w:kern w:val="0"/>
          <w:sz w:val="32"/>
          <w:szCs w:val="32"/>
          <w:lang w:val="en-US" w:eastAsia="zh-CN" w:bidi="ar"/>
        </w:rPr>
        <w:t>4位副局级以上领导干部通过路长制平台共计上报问题189处；组织了47个区直相关部门和社会单位配合处理街道吹哨的相关问题，积极参与到城市日常管理中来。</w:t>
      </w:r>
      <w:r>
        <w:rPr>
          <w:rFonts w:hint="eastAsia" w:ascii="仿宋" w:hAnsi="仿宋" w:eastAsia="仿宋" w:cs="仿宋"/>
          <w:kern w:val="2"/>
          <w:sz w:val="32"/>
          <w:szCs w:val="32"/>
          <w:rtl w:val="0"/>
          <w:lang w:val="en-US" w:eastAsia="zh-CN" w:bidi="ar-SA"/>
        </w:rPr>
        <w:t>高标准完成</w:t>
      </w:r>
      <w:r>
        <w:rPr>
          <w:rFonts w:hint="eastAsia" w:ascii="仿宋" w:hAnsi="仿宋" w:cs="仿宋"/>
          <w:kern w:val="2"/>
          <w:sz w:val="32"/>
          <w:szCs w:val="32"/>
          <w:rtl w:val="0"/>
          <w:lang w:val="en-US" w:eastAsia="zh-CN" w:bidi="ar-SA"/>
        </w:rPr>
        <w:t>中央、省市领导到高新区考察调研及重大活动等各类</w:t>
      </w:r>
      <w:r>
        <w:rPr>
          <w:rFonts w:hint="eastAsia" w:ascii="仿宋" w:hAnsi="仿宋" w:eastAsia="仿宋" w:cs="仿宋"/>
          <w:kern w:val="2"/>
          <w:sz w:val="32"/>
          <w:szCs w:val="32"/>
          <w:rtl w:val="0"/>
          <w:lang w:val="en-US" w:eastAsia="zh-CN" w:bidi="ar-SA"/>
        </w:rPr>
        <w:t>环境保障任务</w:t>
      </w:r>
      <w:r>
        <w:rPr>
          <w:rFonts w:hint="eastAsia" w:ascii="仿宋" w:hAnsi="仿宋" w:eastAsia="仿宋" w:cs="仿宋"/>
          <w:kern w:val="2"/>
          <w:sz w:val="32"/>
          <w:szCs w:val="32"/>
          <w:lang w:val="en-US" w:eastAsia="zh-CN" w:bidi="ar-SA"/>
        </w:rPr>
        <w:t>117次</w:t>
      </w:r>
      <w:r>
        <w:rPr>
          <w:rFonts w:hint="eastAsia" w:ascii="仿宋" w:hAnsi="仿宋" w:cs="仿宋"/>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70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pacing w:val="15"/>
          <w:kern w:val="0"/>
          <w:sz w:val="32"/>
          <w:szCs w:val="32"/>
          <w:lang w:val="en-US" w:eastAsia="zh-CN" w:bidi="ar"/>
        </w:rPr>
        <w:t>强化投诉信访件办理。</w:t>
      </w:r>
      <w:r>
        <w:rPr>
          <w:rFonts w:hint="eastAsia" w:ascii="仿宋" w:hAnsi="仿宋" w:eastAsia="仿宋" w:cs="仿宋"/>
          <w:color w:val="auto"/>
          <w:sz w:val="32"/>
          <w:szCs w:val="32"/>
          <w:lang w:val="en-US" w:eastAsia="zh-CN"/>
        </w:rPr>
        <w:t>接</w:t>
      </w:r>
      <w:r>
        <w:rPr>
          <w:rFonts w:hint="eastAsia" w:ascii="仿宋" w:hAnsi="仿宋" w:eastAsia="仿宋" w:cs="仿宋"/>
          <w:color w:val="auto"/>
          <w:sz w:val="32"/>
          <w:szCs w:val="32"/>
          <w:lang w:eastAsia="zh-CN"/>
        </w:rPr>
        <w:t>市转市民热线28725件，不满意件3938件，满意率86%；</w:t>
      </w:r>
      <w:r>
        <w:rPr>
          <w:rFonts w:hint="eastAsia" w:ascii="仿宋" w:hAnsi="仿宋" w:eastAsia="仿宋" w:cs="仿宋"/>
          <w:color w:val="000000"/>
          <w:sz w:val="32"/>
          <w:szCs w:val="32"/>
          <w:lang w:val="en-US" w:eastAsia="zh-CN"/>
        </w:rPr>
        <w:t>区市民热线共受理17742件，其中正在办理1975件，回复7711件，退回8056件；城管热线共受理3471起投诉，办结率达100%。</w:t>
      </w:r>
      <w:r>
        <w:rPr>
          <w:rFonts w:hint="eastAsia" w:ascii="仿宋" w:hAnsi="仿宋" w:eastAsia="仿宋" w:cs="仿宋"/>
          <w:spacing w:val="15"/>
          <w:kern w:val="0"/>
          <w:sz w:val="32"/>
          <w:szCs w:val="32"/>
          <w:lang w:val="en-US" w:eastAsia="zh-CN" w:bidi="ar"/>
        </w:rPr>
        <w:t>高效开展信访工作，筑牢信访维稳防线</w:t>
      </w:r>
      <w:r>
        <w:rPr>
          <w:rFonts w:hint="eastAsia" w:ascii="仿宋" w:hAnsi="仿宋" w:eastAsia="仿宋" w:cs="仿宋"/>
          <w:sz w:val="32"/>
          <w:szCs w:val="32"/>
          <w:highlight w:val="none"/>
          <w:lang w:eastAsia="zh-CN"/>
        </w:rPr>
        <w:t>，协调处理175件信访件</w:t>
      </w:r>
      <w:r>
        <w:rPr>
          <w:rFonts w:hint="eastAsia" w:ascii="仿宋" w:hAnsi="仿宋" w:cs="仿宋"/>
          <w:sz w:val="32"/>
          <w:szCs w:val="32"/>
          <w:highlight w:val="none"/>
          <w:lang w:eastAsia="zh-CN"/>
        </w:rPr>
        <w:t>、</w:t>
      </w:r>
      <w:r>
        <w:rPr>
          <w:rFonts w:hint="eastAsia" w:ascii="仿宋" w:hAnsi="仿宋" w:eastAsia="仿宋" w:cs="仿宋"/>
          <w:sz w:val="32"/>
          <w:szCs w:val="32"/>
          <w:highlight w:val="none"/>
          <w:lang w:eastAsia="zh-CN"/>
        </w:rPr>
        <w:t>中联办、国家信访局交办重复信访件1件，省交办重复信访件6件，市交办重点信访个案1件。</w:t>
      </w:r>
    </w:p>
    <w:p>
      <w:pPr>
        <w:pStyle w:val="8"/>
        <w:keepNext w:val="0"/>
        <w:keepLines w:val="0"/>
        <w:pageBreakBefore w:val="0"/>
        <w:widowControl w:val="0"/>
        <w:kinsoku/>
        <w:wordWrap/>
        <w:overflowPunct/>
        <w:topLinePunct w:val="0"/>
        <w:autoSpaceDE/>
        <w:autoSpaceDN/>
        <w:bidi w:val="0"/>
        <w:adjustRightInd/>
        <w:snapToGrid/>
        <w:spacing w:after="0"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认真落实中央、省生态环境保护督察以及“回头看”第一轮中央督察、省督察及回头看信访件均已办结。第二轮中央环保督察涉及城管局的信访件，有4件为尚未办结状态，第二轮省生态环境保护督察信访事涉及城管局环保督察信访投诉件共22件35个问题，目前均已全部完成</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积极做好河湖长制工作，加强涉水面源管控，改善湖泊生态环境。</w:t>
      </w:r>
      <w:r>
        <w:rPr>
          <w:rFonts w:hint="eastAsia" w:ascii="仿宋" w:hAnsi="仿宋" w:eastAsia="仿宋" w:cs="仿宋"/>
          <w:caps w:val="0"/>
          <w:smallCaps w:val="0"/>
          <w:strike w:val="0"/>
          <w:dstrike w:val="0"/>
          <w:color w:val="000000"/>
          <w:spacing w:val="0"/>
          <w:kern w:val="2"/>
          <w:position w:val="0"/>
          <w:sz w:val="32"/>
          <w:szCs w:val="32"/>
          <w:u w:val="none" w:color="423AAC"/>
          <w:vertAlign w:val="baseline"/>
          <w:rtl w:val="0"/>
          <w:lang w:val="en-US" w:eastAsia="zh-CN"/>
        </w:rPr>
        <w:t>巡查发现铁路沿线环境隐患问题12处，上级部门督办点位14处，均已整改完毕</w:t>
      </w:r>
      <w:r>
        <w:rPr>
          <w:rFonts w:hint="eastAsia" w:ascii="仿宋" w:hAnsi="仿宋" w:cs="仿宋"/>
          <w:caps w:val="0"/>
          <w:smallCaps w:val="0"/>
          <w:strike w:val="0"/>
          <w:dstrike w:val="0"/>
          <w:color w:val="000000"/>
          <w:spacing w:val="0"/>
          <w:kern w:val="2"/>
          <w:position w:val="0"/>
          <w:sz w:val="32"/>
          <w:szCs w:val="32"/>
          <w:u w:val="none" w:color="423AAC"/>
          <w:vertAlign w:val="baseline"/>
          <w:rtl w:val="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kern w:val="2"/>
          <w:sz w:val="32"/>
          <w:szCs w:val="32"/>
          <w:lang w:val="en-US" w:eastAsia="zh-CN" w:bidi="ar-SA"/>
        </w:rPr>
        <w:t>推进空置地块整治。已完成“五无”标准整治地块266处，市重点整治12个地块已完成3个提升标准3个基本标准地块的整治。申报8个精细化管理示范片区，联合各职能部门、街道、门前三包、保洁单位、单车公司等社会共治力量对示范片区创建点位及周边的城市管理问题进行巡查，对发现的问题，及时上报，及时追踪，及时</w:t>
      </w:r>
      <w:r>
        <w:rPr>
          <w:rFonts w:hint="eastAsia" w:ascii="仿宋" w:hAnsi="仿宋" w:cs="仿宋"/>
          <w:kern w:val="2"/>
          <w:sz w:val="32"/>
          <w:szCs w:val="32"/>
          <w:lang w:val="en-US" w:eastAsia="zh-CN" w:bidi="ar-SA"/>
        </w:rPr>
        <w:t>整改</w:t>
      </w:r>
      <w:r>
        <w:rPr>
          <w:rFonts w:hint="eastAsia" w:ascii="仿宋" w:hAnsi="仿宋" w:eastAsia="仿宋" w:cs="仿宋"/>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lang w:val="en-US" w:eastAsia="zh-CN"/>
        </w:rPr>
      </w:pPr>
      <w:r>
        <w:rPr>
          <w:rFonts w:hint="eastAsia" w:ascii="仿宋" w:hAnsi="仿宋" w:cs="仿宋"/>
          <w:sz w:val="32"/>
          <w:szCs w:val="32"/>
          <w:lang w:val="en-US" w:eastAsia="zh-CN"/>
        </w:rPr>
        <w:t>推进共享单车</w:t>
      </w:r>
      <w:r>
        <w:rPr>
          <w:rFonts w:hint="eastAsia" w:ascii="仿宋" w:hAnsi="仿宋" w:eastAsia="仿宋" w:cs="仿宋"/>
          <w:sz w:val="32"/>
          <w:szCs w:val="32"/>
          <w:lang w:val="en-US" w:eastAsia="zh-CN"/>
        </w:rPr>
        <w:t>减量</w:t>
      </w:r>
      <w:r>
        <w:rPr>
          <w:rFonts w:hint="eastAsia" w:ascii="仿宋" w:hAnsi="仿宋" w:cs="仿宋"/>
          <w:sz w:val="32"/>
          <w:szCs w:val="32"/>
          <w:lang w:val="en-US" w:eastAsia="zh-CN"/>
        </w:rPr>
        <w:t>和</w:t>
      </w:r>
      <w:r>
        <w:rPr>
          <w:rFonts w:hint="eastAsia" w:ascii="仿宋" w:hAnsi="仿宋" w:eastAsia="仿宋" w:cs="仿宋"/>
          <w:sz w:val="32"/>
          <w:szCs w:val="32"/>
          <w:lang w:val="en-US" w:eastAsia="zh-CN"/>
        </w:rPr>
        <w:t>停放秩序整治</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规整单车19万余辆次，处罚210起，处罚人民币15.85万元，对16个重点道路、路段上线电子围栏约850处。对临街商铺劝阻清理出店经营10万余处，乱牵乱挂9千余处，违规招牌4.5万处、纠正乱停放行为39.2万余次，处理宣传条幅7千余处，橱窗洁净3.3万余处。开展“三乱”日常巡查、增设便民信息发布栏、加大利用“呼你撕”技术对“三乱”精准打击等工作，截止目前共录入三乱信息4958条，共处罚金额2550元。</w:t>
      </w:r>
    </w:p>
    <w:p>
      <w:pPr>
        <w:keepNext w:val="0"/>
        <w:keepLines w:val="0"/>
        <w:pageBreakBefore w:val="0"/>
        <w:widowControl w:val="0"/>
        <w:kinsoku/>
        <w:wordWrap/>
        <w:overflowPunct/>
        <w:topLinePunct w:val="0"/>
        <w:autoSpaceDE/>
        <w:autoSpaceDN/>
        <w:bidi w:val="0"/>
        <w:adjustRightInd/>
        <w:snapToGrid/>
        <w:spacing w:line="580" w:lineRule="exact"/>
        <w:ind w:leftChars="0" w:firstLine="702" w:firstLineChars="200"/>
        <w:textAlignment w:val="auto"/>
        <w:rPr>
          <w:rFonts w:hint="eastAsia" w:ascii="仿宋" w:hAnsi="仿宋" w:eastAsia="仿宋" w:cs="仿宋"/>
          <w:kern w:val="2"/>
          <w:sz w:val="32"/>
          <w:szCs w:val="32"/>
          <w:lang w:val="en-US" w:eastAsia="zh-CN" w:bidi="ar-SA"/>
        </w:rPr>
      </w:pPr>
      <w:r>
        <w:rPr>
          <w:rFonts w:hint="eastAsia" w:ascii="仿宋" w:hAnsi="仿宋" w:cs="仿宋"/>
          <w:b/>
          <w:bCs/>
          <w:spacing w:val="15"/>
          <w:kern w:val="0"/>
          <w:sz w:val="32"/>
          <w:szCs w:val="32"/>
          <w:lang w:val="en-US" w:eastAsia="zh-CN" w:bidi="ar"/>
        </w:rPr>
        <w:t>2、</w:t>
      </w:r>
      <w:r>
        <w:rPr>
          <w:rFonts w:hint="eastAsia" w:ascii="仿宋" w:hAnsi="仿宋" w:eastAsia="仿宋" w:cs="仿宋"/>
          <w:b/>
          <w:bCs/>
          <w:spacing w:val="15"/>
          <w:kern w:val="0"/>
          <w:sz w:val="32"/>
          <w:szCs w:val="32"/>
          <w:lang w:val="en-US" w:eastAsia="zh-CN" w:bidi="ar"/>
        </w:rPr>
        <w:t>市容环境卫生发生根本性改观。</w:t>
      </w:r>
      <w:r>
        <w:rPr>
          <w:rFonts w:hint="eastAsia" w:ascii="仿宋" w:hAnsi="仿宋" w:eastAsia="仿宋" w:cs="仿宋"/>
          <w:kern w:val="2"/>
          <w:sz w:val="32"/>
          <w:szCs w:val="32"/>
          <w:lang w:val="en-US" w:eastAsia="zh-CN" w:bidi="ar-SA"/>
        </w:rPr>
        <w:t>整合全区道路清扫保洁，优化作业标段设置，环卫作业市场体系“小散差”状况得到了有效</w:t>
      </w:r>
      <w:r>
        <w:rPr>
          <w:rFonts w:hint="eastAsia" w:ascii="仿宋" w:hAnsi="仿宋" w:cs="仿宋"/>
          <w:kern w:val="2"/>
          <w:sz w:val="32"/>
          <w:szCs w:val="32"/>
          <w:lang w:val="en-US" w:eastAsia="zh-CN" w:bidi="ar-SA"/>
        </w:rPr>
        <w:t>改观</w:t>
      </w:r>
      <w:r>
        <w:rPr>
          <w:rFonts w:hint="eastAsia" w:ascii="仿宋" w:hAnsi="仿宋" w:eastAsia="仿宋" w:cs="仿宋"/>
          <w:kern w:val="2"/>
          <w:sz w:val="32"/>
          <w:szCs w:val="32"/>
          <w:lang w:val="en-US" w:eastAsia="zh-CN" w:bidi="ar-SA"/>
        </w:rPr>
        <w:t>。</w:t>
      </w:r>
      <w:r>
        <w:rPr>
          <w:rFonts w:hint="eastAsia" w:ascii="仿宋" w:hAnsi="仿宋" w:eastAsia="仿宋" w:cs="仿宋"/>
          <w:sz w:val="32"/>
          <w:szCs w:val="32"/>
          <w:lang w:val="en-US" w:eastAsia="zh-CN"/>
        </w:rPr>
        <w:t>进一步推行环卫精细化管理，</w:t>
      </w:r>
      <w:r>
        <w:rPr>
          <w:rFonts w:hint="eastAsia" w:ascii="仿宋" w:hAnsi="仿宋" w:cs="仿宋"/>
          <w:sz w:val="32"/>
          <w:szCs w:val="32"/>
          <w:lang w:val="en-US" w:eastAsia="zh-CN"/>
        </w:rPr>
        <w:t>加大</w:t>
      </w:r>
      <w:r>
        <w:rPr>
          <w:rFonts w:hint="eastAsia" w:ascii="仿宋" w:hAnsi="仿宋" w:eastAsia="仿宋" w:cs="仿宋"/>
          <w:sz w:val="32"/>
          <w:szCs w:val="32"/>
          <w:lang w:val="en-US" w:eastAsia="zh-CN"/>
        </w:rPr>
        <w:t>道路保洁质检</w:t>
      </w:r>
      <w:r>
        <w:rPr>
          <w:rFonts w:hint="eastAsia" w:ascii="仿宋" w:hAnsi="仿宋" w:cs="仿宋"/>
          <w:sz w:val="32"/>
          <w:szCs w:val="32"/>
          <w:lang w:val="en-US" w:eastAsia="zh-CN"/>
        </w:rPr>
        <w:t>和</w:t>
      </w:r>
      <w:r>
        <w:rPr>
          <w:rFonts w:hint="eastAsia" w:ascii="仿宋" w:hAnsi="仿宋" w:eastAsia="仿宋" w:cs="仿宋"/>
          <w:sz w:val="32"/>
          <w:szCs w:val="32"/>
          <w:lang w:val="en-US" w:eastAsia="zh-CN"/>
        </w:rPr>
        <w:t>处罚。加大对城区主次干道，窗口地段、</w:t>
      </w:r>
      <w:r>
        <w:rPr>
          <w:rFonts w:hint="eastAsia" w:ascii="仿宋" w:hAnsi="仿宋" w:cs="仿宋"/>
          <w:sz w:val="32"/>
          <w:szCs w:val="32"/>
          <w:lang w:val="en-US" w:eastAsia="zh-CN"/>
        </w:rPr>
        <w:t>背</w:t>
      </w:r>
      <w:r>
        <w:rPr>
          <w:rFonts w:hint="eastAsia" w:ascii="仿宋" w:hAnsi="仿宋" w:eastAsia="仿宋" w:cs="仿宋"/>
          <w:sz w:val="32"/>
          <w:szCs w:val="32"/>
          <w:lang w:val="en-US" w:eastAsia="zh-CN"/>
        </w:rPr>
        <w:t>街小巷和公共场所的日常清扫、保洁和垃圾清运力度，清扫保洁工作横到边竖到角延伸至背街小巷</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清除卫生死角，消除管理空白区。查处抛洒滴漏、乱倒（偷倒）垃圾等行为。</w:t>
      </w:r>
      <w:r>
        <w:rPr>
          <w:rFonts w:hint="eastAsia" w:ascii="仿宋" w:hAnsi="仿宋" w:eastAsia="仿宋" w:cs="仿宋"/>
          <w:kern w:val="2"/>
          <w:sz w:val="32"/>
          <w:szCs w:val="32"/>
          <w:lang w:val="en-US" w:eastAsia="zh-CN" w:bidi="ar-SA"/>
        </w:rPr>
        <w:t>妥善处理2018年至2022年环卫用水欠费问题遗留问题，促成环卫作业中标单位与东湖高新区供水公司签订用水合同。规范设置全区环卫作业车辆污水排放点位36处。开展“武汉以我为荣·小行大爱”清洁家园周末大扫除行动34次，共发动志愿者、各行业人员17510人次，推进退桶还路工作，完成退桶还路道路358条，完成率74.4%。打造21座户外工作者驿站，目前已完成挂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完成新改建11座二类标准环卫公厕，其中新建4座，改建7座。封闭改造2座露天垃圾压缩站。严格落实“一人一厕，洁净无味”的公厕管理目标，规范保洁维护作业，以通风、排气、除臭、无障碍设施为重点推进硬件设施提档升级；加强对环卫公厕的管理维护，强化监管职责，建立考评制度，营造良好、舒心的公共卫生环境，公厕管理达到全市优秀水平。</w:t>
      </w:r>
      <w:r>
        <w:rPr>
          <w:rFonts w:hint="eastAsia" w:ascii="仿宋" w:hAnsi="仿宋" w:eastAsia="仿宋" w:cs="仿宋"/>
          <w:kern w:val="2"/>
          <w:sz w:val="32"/>
          <w:szCs w:val="32"/>
          <w:lang w:val="en-US" w:eastAsia="zh-CN" w:bidi="ar-SA"/>
        </w:rPr>
        <w:t>落实生活垃圾城镇处理费与水费合并征收工作，依法依规对生活垃圾城镇处理费应收尽收</w:t>
      </w:r>
      <w:r>
        <w:rPr>
          <w:rFonts w:hint="eastAsia" w:ascii="仿宋" w:hAnsi="仿宋" w:cs="仿宋"/>
          <w:kern w:val="2"/>
          <w:sz w:val="32"/>
          <w:szCs w:val="32"/>
          <w:lang w:val="en-US" w:eastAsia="zh-CN" w:bidi="ar-SA"/>
        </w:rPr>
        <w:t>。</w:t>
      </w:r>
      <w:r>
        <w:rPr>
          <w:rFonts w:hint="eastAsia" w:ascii="仿宋" w:hAnsi="仿宋" w:eastAsia="仿宋" w:cs="仿宋"/>
          <w:color w:val="auto"/>
          <w:kern w:val="2"/>
          <w:sz w:val="32"/>
          <w:szCs w:val="32"/>
          <w:highlight w:val="none"/>
          <w:lang w:val="en-US" w:eastAsia="zh-CN" w:bidi="ar-SA"/>
        </w:rPr>
        <w:t>截至2023年9月，收取上缴生活垃圾服务费共计3000万</w:t>
      </w:r>
      <w:r>
        <w:rPr>
          <w:rFonts w:hint="eastAsia" w:ascii="仿宋" w:hAnsi="仿宋" w:cs="仿宋"/>
          <w:color w:val="auto"/>
          <w:kern w:val="2"/>
          <w:sz w:val="32"/>
          <w:szCs w:val="32"/>
          <w:highlight w:val="none"/>
          <w:lang w:val="en-US" w:eastAsia="zh-CN" w:bidi="ar-SA"/>
        </w:rPr>
        <w:t>元</w:t>
      </w:r>
      <w:r>
        <w:rPr>
          <w:rFonts w:hint="eastAsia" w:ascii="仿宋" w:hAnsi="仿宋" w:eastAsia="仿宋" w:cs="仿宋"/>
          <w:kern w:val="2"/>
          <w:sz w:val="32"/>
          <w:szCs w:val="32"/>
          <w:lang w:val="en-US" w:eastAsia="zh-CN" w:bidi="ar-SA"/>
        </w:rPr>
        <w:t>。落实禁止外区生活垃圾进我区</w:t>
      </w:r>
      <w:r>
        <w:rPr>
          <w:rFonts w:hint="eastAsia" w:ascii="仿宋" w:hAnsi="仿宋" w:cs="仿宋"/>
          <w:kern w:val="2"/>
          <w:sz w:val="32"/>
          <w:szCs w:val="32"/>
          <w:lang w:val="en-US" w:eastAsia="zh-CN" w:bidi="ar-SA"/>
        </w:rPr>
        <w:t>。</w:t>
      </w:r>
      <w:r>
        <w:rPr>
          <w:rFonts w:hint="eastAsia" w:ascii="仿宋" w:hAnsi="仿宋" w:eastAsia="仿宋" w:cs="仿宋"/>
          <w:sz w:val="32"/>
          <w:szCs w:val="32"/>
          <w:lang w:val="en-US" w:eastAsia="zh-CN"/>
        </w:rPr>
        <w:t>开展生活垃圾分类42</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2万户，完成生活垃圾分类示范小区、单位和5所示范学校创建，完成20座垃圾分类收集屋建设，智能分类回收箱已投放160台，完成10个农贸市场示范点垃圾生化处理机安装。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sz w:val="32"/>
          <w:szCs w:val="32"/>
          <w:lang w:val="en-US" w:eastAsia="zh-CN"/>
        </w:rPr>
        <w:t>环卫执法专班共下达整改单94份，责改转处罚42起，其中一般案件12起，简易案件30起，全年合计处罚金额为人民币86800元。</w:t>
      </w:r>
      <w:r>
        <w:rPr>
          <w:rFonts w:hint="eastAsia" w:ascii="仿宋" w:hAnsi="仿宋" w:eastAsia="仿宋" w:cs="仿宋"/>
          <w:sz w:val="32"/>
          <w:szCs w:val="32"/>
        </w:rPr>
        <w:t>“零事故、高效率、无污染”完成高新区生活垃圾转运工作，</w:t>
      </w:r>
      <w:r>
        <w:rPr>
          <w:rFonts w:hint="eastAsia" w:ascii="仿宋" w:hAnsi="仿宋" w:eastAsia="仿宋" w:cs="仿宋"/>
          <w:sz w:val="32"/>
          <w:szCs w:val="32"/>
          <w:lang w:eastAsia="zh-CN"/>
        </w:rPr>
        <w:t>截止目前</w:t>
      </w:r>
      <w:r>
        <w:rPr>
          <w:rFonts w:hint="eastAsia" w:ascii="仿宋" w:hAnsi="仿宋" w:eastAsia="仿宋" w:cs="仿宋"/>
          <w:sz w:val="32"/>
          <w:szCs w:val="32"/>
        </w:rPr>
        <w:t>固废中心共转运垃圾量</w:t>
      </w:r>
      <w:r>
        <w:rPr>
          <w:rFonts w:hint="eastAsia" w:ascii="仿宋" w:hAnsi="仿宋" w:cs="仿宋"/>
          <w:sz w:val="32"/>
          <w:szCs w:val="32"/>
          <w:lang w:eastAsia="zh-CN"/>
        </w:rPr>
        <w:t>约</w:t>
      </w:r>
      <w:r>
        <w:rPr>
          <w:rFonts w:hint="eastAsia" w:ascii="仿宋" w:hAnsi="仿宋" w:eastAsia="仿宋" w:cs="仿宋"/>
          <w:sz w:val="32"/>
          <w:szCs w:val="32"/>
        </w:rPr>
        <w:t>20</w:t>
      </w:r>
      <w:r>
        <w:rPr>
          <w:rFonts w:hint="eastAsia" w:ascii="仿宋" w:hAnsi="仿宋" w:cs="仿宋"/>
          <w:sz w:val="32"/>
          <w:szCs w:val="32"/>
          <w:lang w:val="en-US" w:eastAsia="zh-CN"/>
        </w:rPr>
        <w:t>.5万</w:t>
      </w:r>
      <w:r>
        <w:rPr>
          <w:rFonts w:hint="eastAsia" w:ascii="仿宋" w:hAnsi="仿宋" w:eastAsia="仿宋" w:cs="仿宋"/>
          <w:sz w:val="32"/>
          <w:szCs w:val="32"/>
        </w:rPr>
        <w:t>吨，共运出车次11171余车，平均每天转运678.36吨生活垃圾，平均每天转运37车次。</w:t>
      </w:r>
      <w:r>
        <w:rPr>
          <w:rFonts w:hint="eastAsia" w:ascii="仿宋" w:hAnsi="仿宋" w:eastAsia="仿宋" w:cs="仿宋"/>
          <w:sz w:val="32"/>
          <w:szCs w:val="32"/>
          <w:lang w:val="en-US" w:eastAsia="zh-CN"/>
        </w:rPr>
        <w:t>加强转运中心场内消杀，确保转运中心场内无异味、无蚊蝇。</w:t>
      </w:r>
    </w:p>
    <w:p>
      <w:pPr>
        <w:pStyle w:val="8"/>
        <w:keepNext w:val="0"/>
        <w:keepLines w:val="0"/>
        <w:pageBreakBefore w:val="0"/>
        <w:widowControl w:val="0"/>
        <w:numPr>
          <w:ilvl w:val="0"/>
          <w:numId w:val="0"/>
        </w:numPr>
        <w:kinsoku/>
        <w:wordWrap/>
        <w:overflowPunct/>
        <w:topLinePunct w:val="0"/>
        <w:autoSpaceDE/>
        <w:autoSpaceDN/>
        <w:bidi w:val="0"/>
        <w:spacing w:after="0" w:line="580" w:lineRule="exact"/>
        <w:ind w:leftChars="0" w:firstLine="642" w:firstLineChars="200"/>
        <w:textAlignment w:val="auto"/>
        <w:rPr>
          <w:rFonts w:hint="eastAsia" w:ascii="仿宋" w:hAnsi="仿宋" w:eastAsia="仿宋" w:cs="仿宋"/>
          <w:color w:val="auto"/>
          <w:sz w:val="32"/>
          <w:szCs w:val="32"/>
        </w:rPr>
      </w:pPr>
      <w:r>
        <w:rPr>
          <w:rFonts w:hint="eastAsia" w:ascii="仿宋" w:hAnsi="仿宋" w:eastAsia="仿宋" w:cs="仿宋"/>
          <w:b/>
          <w:bCs w:val="0"/>
          <w:color w:val="auto"/>
          <w:kern w:val="0"/>
          <w:sz w:val="32"/>
          <w:szCs w:val="32"/>
          <w:highlight w:val="none"/>
          <w:lang w:val="en-US" w:eastAsia="zh-CN"/>
        </w:rPr>
        <w:t>3、市政设施及</w:t>
      </w:r>
      <w:r>
        <w:rPr>
          <w:rFonts w:hint="eastAsia" w:ascii="仿宋" w:hAnsi="仿宋" w:cs="仿宋"/>
          <w:b/>
          <w:bCs w:val="0"/>
          <w:color w:val="auto"/>
          <w:kern w:val="0"/>
          <w:sz w:val="32"/>
          <w:szCs w:val="32"/>
          <w:highlight w:val="none"/>
          <w:lang w:val="en-US" w:eastAsia="zh-CN"/>
        </w:rPr>
        <w:t>城市景观提档升级</w:t>
      </w:r>
      <w:r>
        <w:rPr>
          <w:rFonts w:hint="eastAsia" w:ascii="仿宋" w:hAnsi="仿宋" w:eastAsia="仿宋" w:cs="仿宋"/>
          <w:b/>
          <w:bCs w:val="0"/>
          <w:color w:val="auto"/>
          <w:kern w:val="0"/>
          <w:sz w:val="32"/>
          <w:szCs w:val="32"/>
          <w:highlight w:val="none"/>
          <w:lang w:val="en-US" w:eastAsia="zh-CN"/>
        </w:rPr>
        <w:t>。</w:t>
      </w:r>
      <w:r>
        <w:rPr>
          <w:rFonts w:hint="eastAsia" w:ascii="仿宋" w:hAnsi="仿宋" w:eastAsia="仿宋" w:cs="仿宋"/>
          <w:color w:val="auto"/>
          <w:sz w:val="32"/>
          <w:szCs w:val="32"/>
        </w:rPr>
        <w:t>以主次干道、学校医院、重点企业、人员密集部位为重点开展</w:t>
      </w:r>
      <w:r>
        <w:rPr>
          <w:rFonts w:hint="eastAsia" w:ascii="仿宋" w:hAnsi="仿宋" w:cs="仿宋"/>
          <w:color w:val="auto"/>
          <w:sz w:val="32"/>
          <w:szCs w:val="32"/>
          <w:lang w:eastAsia="zh-CN"/>
        </w:rPr>
        <w:t>人行道</w:t>
      </w:r>
      <w:r>
        <w:rPr>
          <w:rFonts w:hint="eastAsia" w:ascii="仿宋" w:hAnsi="仿宋" w:eastAsia="仿宋" w:cs="仿宋"/>
          <w:color w:val="auto"/>
          <w:sz w:val="32"/>
          <w:szCs w:val="32"/>
        </w:rPr>
        <w:t>维修维护。</w:t>
      </w:r>
      <w:r>
        <w:rPr>
          <w:rFonts w:hint="eastAsia" w:ascii="仿宋" w:hAnsi="仿宋" w:cs="仿宋"/>
          <w:color w:val="auto"/>
          <w:sz w:val="32"/>
          <w:szCs w:val="32"/>
          <w:lang w:eastAsia="zh-CN"/>
        </w:rPr>
        <w:t>完成</w:t>
      </w:r>
      <w:r>
        <w:rPr>
          <w:rFonts w:hint="eastAsia" w:ascii="仿宋" w:hAnsi="仿宋" w:eastAsia="仿宋" w:cs="仿宋"/>
          <w:color w:val="auto"/>
          <w:sz w:val="32"/>
          <w:szCs w:val="32"/>
        </w:rPr>
        <w:t>人行道各类基层和面层维修面积7.25万方;站侧石约</w:t>
      </w:r>
      <w:r>
        <w:rPr>
          <w:rFonts w:hint="eastAsia" w:ascii="仿宋" w:hAnsi="仿宋" w:eastAsia="仿宋" w:cs="仿宋"/>
          <w:color w:val="auto"/>
          <w:sz w:val="32"/>
          <w:szCs w:val="32"/>
          <w:lang w:val="en-US" w:eastAsia="zh-CN"/>
        </w:rPr>
        <w:t>3.17</w:t>
      </w:r>
      <w:r>
        <w:rPr>
          <w:rFonts w:hint="eastAsia" w:ascii="仿宋" w:hAnsi="仿宋" w:eastAsia="仿宋" w:cs="仿宋"/>
          <w:color w:val="auto"/>
          <w:sz w:val="32"/>
          <w:szCs w:val="32"/>
        </w:rPr>
        <w:t>万米;树</w:t>
      </w:r>
      <w:r>
        <w:rPr>
          <w:rFonts w:hint="eastAsia" w:ascii="仿宋" w:hAnsi="仿宋" w:cs="仿宋"/>
          <w:color w:val="auto"/>
          <w:sz w:val="32"/>
          <w:szCs w:val="32"/>
          <w:lang w:eastAsia="zh-CN"/>
        </w:rPr>
        <w:t>穴</w:t>
      </w:r>
      <w:r>
        <w:rPr>
          <w:rFonts w:hint="eastAsia" w:ascii="仿宋" w:hAnsi="仿宋" w:eastAsia="仿宋" w:cs="仿宋"/>
          <w:color w:val="auto"/>
          <w:sz w:val="32"/>
          <w:szCs w:val="32"/>
        </w:rPr>
        <w:t>石约</w:t>
      </w:r>
      <w:r>
        <w:rPr>
          <w:rFonts w:hint="eastAsia" w:ascii="仿宋" w:hAnsi="仿宋" w:eastAsia="仿宋" w:cs="仿宋"/>
          <w:color w:val="auto"/>
          <w:sz w:val="32"/>
          <w:szCs w:val="32"/>
          <w:lang w:val="en-US" w:eastAsia="zh-CN"/>
        </w:rPr>
        <w:t>0.61</w:t>
      </w:r>
      <w:r>
        <w:rPr>
          <w:rFonts w:hint="eastAsia" w:ascii="仿宋" w:hAnsi="仿宋" w:eastAsia="仿宋" w:cs="仿宋"/>
          <w:color w:val="auto"/>
          <w:sz w:val="32"/>
          <w:szCs w:val="32"/>
        </w:rPr>
        <w:t>万米;新增</w:t>
      </w:r>
      <w:r>
        <w:rPr>
          <w:rFonts w:hint="eastAsia" w:ascii="仿宋" w:hAnsi="仿宋" w:cs="仿宋"/>
          <w:color w:val="auto"/>
          <w:sz w:val="32"/>
          <w:szCs w:val="32"/>
          <w:lang w:eastAsia="zh-CN"/>
        </w:rPr>
        <w:t>及</w:t>
      </w:r>
      <w:r>
        <w:rPr>
          <w:rFonts w:hint="eastAsia" w:ascii="仿宋" w:hAnsi="仿宋" w:eastAsia="仿宋" w:cs="仿宋"/>
          <w:color w:val="auto"/>
          <w:sz w:val="32"/>
          <w:szCs w:val="32"/>
        </w:rPr>
        <w:t>维修车挡</w:t>
      </w:r>
      <w:r>
        <w:rPr>
          <w:rFonts w:hint="eastAsia" w:ascii="仿宋" w:hAnsi="仿宋" w:eastAsia="仿宋" w:cs="仿宋"/>
          <w:color w:val="auto"/>
          <w:sz w:val="32"/>
          <w:szCs w:val="32"/>
          <w:lang w:val="en-US" w:eastAsia="zh-CN"/>
        </w:rPr>
        <w:t>0.75</w:t>
      </w:r>
      <w:r>
        <w:rPr>
          <w:rFonts w:hint="eastAsia" w:ascii="仿宋" w:hAnsi="仿宋" w:eastAsia="仿宋" w:cs="仿宋"/>
          <w:color w:val="auto"/>
          <w:sz w:val="32"/>
          <w:szCs w:val="32"/>
        </w:rPr>
        <w:t>万根</w:t>
      </w:r>
      <w:r>
        <w:rPr>
          <w:rFonts w:hint="eastAsia" w:ascii="仿宋" w:hAnsi="仿宋" w:cs="仿宋"/>
          <w:color w:val="auto"/>
          <w:sz w:val="32"/>
          <w:szCs w:val="32"/>
          <w:lang w:eastAsia="zh-CN"/>
        </w:rPr>
        <w:t>，</w:t>
      </w:r>
      <w:r>
        <w:rPr>
          <w:rFonts w:hint="eastAsia" w:ascii="仿宋" w:hAnsi="仿宋" w:eastAsia="仿宋" w:cs="仿宋"/>
          <w:color w:val="auto"/>
          <w:sz w:val="32"/>
          <w:szCs w:val="32"/>
        </w:rPr>
        <w:t>路名牌维护</w:t>
      </w:r>
      <w:r>
        <w:rPr>
          <w:rFonts w:hint="eastAsia" w:ascii="仿宋" w:hAnsi="仿宋" w:eastAsia="仿宋" w:cs="仿宋"/>
          <w:color w:val="auto"/>
          <w:sz w:val="32"/>
          <w:szCs w:val="32"/>
          <w:lang w:val="en-US" w:eastAsia="zh-CN"/>
        </w:rPr>
        <w:t>122</w:t>
      </w:r>
      <w:r>
        <w:rPr>
          <w:rFonts w:hint="eastAsia" w:ascii="仿宋" w:hAnsi="仿宋" w:eastAsia="仿宋" w:cs="仿宋"/>
          <w:color w:val="auto"/>
          <w:sz w:val="32"/>
          <w:szCs w:val="32"/>
        </w:rPr>
        <w:t>个</w:t>
      </w:r>
      <w:r>
        <w:rPr>
          <w:rFonts w:hint="eastAsia" w:ascii="仿宋" w:hAnsi="仿宋" w:cs="仿宋"/>
          <w:color w:val="auto"/>
          <w:sz w:val="32"/>
          <w:szCs w:val="32"/>
          <w:lang w:eastAsia="zh-CN"/>
        </w:rPr>
        <w:t>，</w:t>
      </w:r>
      <w:r>
        <w:rPr>
          <w:rFonts w:hint="eastAsia" w:ascii="仿宋" w:hAnsi="仿宋" w:eastAsia="仿宋" w:cs="仿宋"/>
          <w:color w:val="auto"/>
          <w:sz w:val="32"/>
          <w:szCs w:val="32"/>
        </w:rPr>
        <w:t>井盖应急处置</w:t>
      </w:r>
      <w:r>
        <w:rPr>
          <w:rFonts w:hint="eastAsia" w:ascii="仿宋" w:hAnsi="仿宋" w:eastAsia="仿宋" w:cs="仿宋"/>
          <w:color w:val="auto"/>
          <w:sz w:val="32"/>
          <w:szCs w:val="32"/>
          <w:lang w:val="en-US" w:eastAsia="zh-CN"/>
        </w:rPr>
        <w:t>126</w:t>
      </w:r>
      <w:r>
        <w:rPr>
          <w:rFonts w:hint="eastAsia" w:ascii="仿宋" w:hAnsi="仿宋" w:eastAsia="仿宋" w:cs="仿宋"/>
          <w:color w:val="auto"/>
          <w:sz w:val="32"/>
          <w:szCs w:val="32"/>
        </w:rPr>
        <w:t>个。无障碍降坡</w:t>
      </w:r>
      <w:r>
        <w:rPr>
          <w:rFonts w:hint="eastAsia" w:ascii="仿宋" w:hAnsi="仿宋" w:eastAsia="仿宋" w:cs="仿宋"/>
          <w:color w:val="auto"/>
          <w:sz w:val="32"/>
          <w:szCs w:val="32"/>
          <w:lang w:val="en-US" w:eastAsia="zh-CN"/>
        </w:rPr>
        <w:t>249</w:t>
      </w:r>
      <w:r>
        <w:rPr>
          <w:rFonts w:hint="eastAsia" w:ascii="仿宋" w:hAnsi="仿宋" w:eastAsia="仿宋" w:cs="仿宋"/>
          <w:color w:val="auto"/>
          <w:sz w:val="32"/>
          <w:szCs w:val="32"/>
        </w:rPr>
        <w:t>处，连接废弃道口</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个。</w:t>
      </w:r>
    </w:p>
    <w:p>
      <w:pPr>
        <w:keepNext w:val="0"/>
        <w:keepLines w:val="0"/>
        <w:pageBreakBefore w:val="0"/>
        <w:widowControl w:val="0"/>
        <w:kinsoku/>
        <w:wordWrap/>
        <w:overflowPunct/>
        <w:topLinePunct w:val="0"/>
        <w:autoSpaceDE/>
        <w:autoSpaceDN/>
        <w:bidi w:val="0"/>
        <w:spacing w:line="580" w:lineRule="exact"/>
        <w:ind w:leftChars="0" w:firstLine="640" w:firstLineChars="200"/>
        <w:textAlignment w:val="auto"/>
        <w:outlineLvl w:val="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color w:val="auto"/>
          <w:sz w:val="32"/>
          <w:szCs w:val="32"/>
        </w:rPr>
        <w:t>督促权属单位和平台公司完成井盖整治3912</w:t>
      </w:r>
      <w:r>
        <w:rPr>
          <w:rFonts w:hint="eastAsia" w:ascii="仿宋" w:hAnsi="仿宋" w:eastAsia="仿宋" w:cs="仿宋"/>
          <w:color w:val="auto"/>
          <w:sz w:val="32"/>
          <w:szCs w:val="32"/>
          <w:lang w:val="en-US" w:eastAsia="zh-CN"/>
        </w:rPr>
        <w:t>个</w:t>
      </w:r>
      <w:r>
        <w:rPr>
          <w:rFonts w:hint="eastAsia" w:ascii="仿宋" w:hAnsi="仿宋" w:eastAsia="仿宋" w:cs="仿宋"/>
          <w:color w:val="auto"/>
          <w:sz w:val="32"/>
          <w:szCs w:val="32"/>
        </w:rPr>
        <w:t>。</w:t>
      </w:r>
      <w:r>
        <w:rPr>
          <w:rFonts w:hint="eastAsia" w:ascii="仿宋" w:hAnsi="仿宋" w:eastAsia="仿宋" w:cs="仿宋"/>
          <w:b w:val="0"/>
          <w:bCs w:val="0"/>
          <w:color w:val="auto"/>
          <w:sz w:val="32"/>
          <w:szCs w:val="32"/>
          <w:lang w:val="en-US" w:eastAsia="zh-CN"/>
        </w:rPr>
        <w:t>按照架空管线整治技术要求开展综合整治，保障架空管线“横平竖直”，提升城市立面环境。共计整治架空管线32147米，拆除无主废弃线杆125根,拆除废弃箱柜1座，有效保障市民出行安全。对高新区部分商圈、医圈、校圈、主次干道非机动车停放区位共新增点位1309个。</w:t>
      </w:r>
      <w:r>
        <w:rPr>
          <w:rFonts w:hint="eastAsia" w:ascii="仿宋" w:hAnsi="仿宋" w:eastAsia="仿宋" w:cs="仿宋"/>
          <w:color w:val="auto"/>
          <w:sz w:val="32"/>
          <w:szCs w:val="32"/>
        </w:rPr>
        <w:t>配合办理城市道路占用挖掘许可证365个，全部在办理时限内勘验现场，助力各类工程建设正常进行。</w:t>
      </w:r>
      <w:r>
        <w:rPr>
          <w:rFonts w:hint="eastAsia" w:ascii="仿宋" w:hAnsi="仿宋" w:eastAsia="仿宋" w:cs="仿宋"/>
          <w:bCs/>
          <w:color w:val="auto"/>
          <w:sz w:val="32"/>
          <w:szCs w:val="32"/>
          <w:lang w:val="en-US" w:eastAsia="zh-CN"/>
        </w:rPr>
        <w:t>综合提升</w:t>
      </w:r>
      <w:r>
        <w:rPr>
          <w:rFonts w:hint="eastAsia" w:ascii="仿宋" w:hAnsi="仿宋" w:eastAsia="仿宋" w:cs="仿宋"/>
          <w:bCs/>
          <w:color w:val="auto"/>
          <w:sz w:val="32"/>
          <w:szCs w:val="32"/>
        </w:rPr>
        <w:t>门店招牌</w:t>
      </w:r>
      <w:r>
        <w:rPr>
          <w:rFonts w:hint="eastAsia" w:ascii="仿宋" w:hAnsi="仿宋" w:eastAsia="仿宋" w:cs="仿宋"/>
          <w:color w:val="auto"/>
          <w:kern w:val="0"/>
          <w:sz w:val="32"/>
          <w:szCs w:val="32"/>
          <w:lang w:val="en-US" w:eastAsia="zh-CN"/>
        </w:rPr>
        <w:t>1105.6</w:t>
      </w:r>
      <w:r>
        <w:rPr>
          <w:rFonts w:hint="eastAsia" w:ascii="仿宋" w:hAnsi="仿宋" w:eastAsia="仿宋" w:cs="仿宋"/>
          <w:color w:val="auto"/>
          <w:kern w:val="0"/>
          <w:sz w:val="32"/>
          <w:szCs w:val="32"/>
        </w:rPr>
        <w:t>米</w:t>
      </w:r>
      <w:r>
        <w:rPr>
          <w:rFonts w:hint="eastAsia" w:ascii="仿宋" w:hAnsi="仿宋" w:eastAsia="仿宋" w:cs="仿宋"/>
          <w:bCs/>
          <w:color w:val="auto"/>
          <w:sz w:val="32"/>
          <w:szCs w:val="32"/>
        </w:rPr>
        <w:t>；提升了城市整体形象。通过小程序填报门店招牌备查437处</w:t>
      </w:r>
      <w:r>
        <w:rPr>
          <w:rFonts w:hint="eastAsia" w:ascii="仿宋" w:hAnsi="仿宋" w:eastAsia="仿宋" w:cs="仿宋"/>
          <w:bCs/>
          <w:color w:val="auto"/>
          <w:sz w:val="32"/>
          <w:szCs w:val="32"/>
          <w:lang w:eastAsia="zh-CN"/>
        </w:rPr>
        <w:t>，</w:t>
      </w:r>
      <w:r>
        <w:rPr>
          <w:rFonts w:hint="eastAsia" w:ascii="仿宋" w:hAnsi="仿宋" w:eastAsia="仿宋" w:cs="仿宋"/>
          <w:color w:val="auto"/>
          <w:sz w:val="32"/>
          <w:szCs w:val="32"/>
        </w:rPr>
        <w:t>完成户外广告规划方案编制共</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批次共</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个楼宇标识。</w:t>
      </w:r>
      <w:r>
        <w:rPr>
          <w:rFonts w:hint="eastAsia" w:ascii="仿宋" w:hAnsi="仿宋" w:eastAsia="仿宋" w:cs="仿宋"/>
          <w:color w:val="auto"/>
          <w:sz w:val="32"/>
          <w:szCs w:val="32"/>
          <w:lang w:val="en-US" w:eastAsia="zh-CN"/>
        </w:rPr>
        <w:t>组织各街道对203处户外广告点位督促权属单位完成安全检测工作。对辖区内20处存在安全隐患的大立柱广告设施、25座标识标牌进行加固维修、翻新，保障了全区户外广告设置安全。</w:t>
      </w:r>
      <w:r>
        <w:rPr>
          <w:rFonts w:hint="eastAsia" w:ascii="仿宋" w:hAnsi="仿宋" w:eastAsia="仿宋" w:cs="仿宋"/>
          <w:color w:val="auto"/>
          <w:sz w:val="32"/>
          <w:szCs w:val="32"/>
        </w:rPr>
        <w:t>更换大型户外广告、围墙广告等公益画面等共</w:t>
      </w:r>
      <w:r>
        <w:rPr>
          <w:rFonts w:hint="eastAsia" w:ascii="仿宋" w:hAnsi="仿宋" w:eastAsia="仿宋" w:cs="仿宋"/>
          <w:color w:val="auto"/>
          <w:kern w:val="0"/>
          <w:sz w:val="32"/>
          <w:szCs w:val="32"/>
          <w:lang w:val="en-US" w:eastAsia="zh-CN"/>
        </w:rPr>
        <w:t>1.29万</w:t>
      </w:r>
      <w:r>
        <w:rPr>
          <w:rStyle w:val="19"/>
          <w:rFonts w:hint="eastAsia" w:ascii="仿宋" w:hAnsi="仿宋" w:eastAsia="仿宋" w:cs="仿宋"/>
          <w:color w:val="auto"/>
          <w:sz w:val="32"/>
          <w:szCs w:val="32"/>
          <w:lang w:bidi="ar"/>
        </w:rPr>
        <w:t>㎡</w:t>
      </w:r>
      <w:r>
        <w:rPr>
          <w:rFonts w:hint="eastAsia" w:ascii="仿宋" w:hAnsi="仿宋" w:eastAsia="仿宋" w:cs="仿宋"/>
          <w:color w:val="auto"/>
          <w:sz w:val="32"/>
          <w:szCs w:val="32"/>
        </w:rPr>
        <w:t>，完成悬挂中国结、灯笼6条</w:t>
      </w:r>
      <w:r>
        <w:rPr>
          <w:rFonts w:hint="eastAsia" w:ascii="仿宋" w:hAnsi="仿宋" w:eastAsia="仿宋" w:cs="仿宋"/>
          <w:color w:val="auto"/>
          <w:sz w:val="32"/>
          <w:szCs w:val="32"/>
          <w:lang w:val="en-US" w:eastAsia="zh-CN"/>
        </w:rPr>
        <w:t>路</w:t>
      </w:r>
      <w:r>
        <w:rPr>
          <w:rFonts w:hint="eastAsia" w:ascii="仿宋" w:hAnsi="仿宋" w:eastAsia="仿宋" w:cs="仿宋"/>
          <w:color w:val="auto"/>
          <w:sz w:val="32"/>
          <w:szCs w:val="32"/>
        </w:rPr>
        <w:t>共</w:t>
      </w:r>
      <w:r>
        <w:rPr>
          <w:rFonts w:hint="eastAsia" w:ascii="仿宋" w:hAnsi="仿宋" w:eastAsia="仿宋" w:cs="仿宋"/>
          <w:color w:val="auto"/>
          <w:kern w:val="0"/>
          <w:sz w:val="32"/>
          <w:szCs w:val="32"/>
        </w:rPr>
        <w:t>145</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套，</w:t>
      </w:r>
      <w:r>
        <w:rPr>
          <w:rFonts w:hint="eastAsia" w:ascii="仿宋" w:hAnsi="仿宋" w:eastAsia="仿宋" w:cs="仿宋"/>
          <w:color w:val="auto"/>
          <w:sz w:val="32"/>
          <w:szCs w:val="32"/>
        </w:rPr>
        <w:t>国庆期间完成国旗悬挂路段9条共1956套，悬挂期间规范有移位、破损、脱落等情况的国旗共计</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余幅。协调辖区各户外电子屏播放公益画面共计约</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次。累计出动约</w:t>
      </w:r>
      <w:r>
        <w:rPr>
          <w:rFonts w:hint="eastAsia" w:ascii="仿宋" w:hAnsi="仿宋" w:eastAsia="仿宋" w:cs="仿宋"/>
          <w:color w:val="auto"/>
          <w:sz w:val="32"/>
          <w:szCs w:val="32"/>
          <w:lang w:val="en-US" w:eastAsia="zh-CN"/>
        </w:rPr>
        <w:t>430</w:t>
      </w:r>
      <w:r>
        <w:rPr>
          <w:rFonts w:hint="eastAsia" w:ascii="仿宋" w:hAnsi="仿宋" w:eastAsia="仿宋" w:cs="仿宋"/>
          <w:color w:val="auto"/>
          <w:sz w:val="32"/>
          <w:szCs w:val="32"/>
        </w:rPr>
        <w:t>人次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巡查发现</w:t>
      </w:r>
      <w:r>
        <w:rPr>
          <w:rFonts w:hint="eastAsia" w:ascii="仿宋" w:hAnsi="仿宋" w:eastAsia="仿宋" w:cs="仿宋"/>
          <w:color w:val="auto"/>
          <w:sz w:val="32"/>
          <w:szCs w:val="32"/>
          <w:lang w:val="en-US" w:eastAsia="zh-CN"/>
        </w:rPr>
        <w:t>和维修</w:t>
      </w:r>
      <w:r>
        <w:rPr>
          <w:rFonts w:hint="eastAsia" w:ascii="仿宋" w:hAnsi="仿宋" w:eastAsia="仿宋" w:cs="仿宋"/>
          <w:color w:val="auto"/>
          <w:sz w:val="32"/>
          <w:szCs w:val="32"/>
        </w:rPr>
        <w:t>亮化故障楼宇</w:t>
      </w:r>
      <w:r>
        <w:rPr>
          <w:rFonts w:hint="eastAsia" w:ascii="仿宋" w:hAnsi="仿宋" w:eastAsia="仿宋" w:cs="仿宋"/>
          <w:color w:val="auto"/>
          <w:sz w:val="32"/>
          <w:szCs w:val="32"/>
          <w:lang w:val="en-US" w:eastAsia="zh-CN"/>
        </w:rPr>
        <w:t>72</w:t>
      </w:r>
      <w:r>
        <w:rPr>
          <w:rFonts w:hint="eastAsia" w:ascii="仿宋" w:hAnsi="仿宋" w:eastAsia="仿宋" w:cs="仿宋"/>
          <w:color w:val="auto"/>
          <w:sz w:val="32"/>
          <w:szCs w:val="32"/>
        </w:rPr>
        <w:t>栋，保证全年无景观灯光安全事故发生，保证景观灯光设施完好率98%以上。</w:t>
      </w:r>
      <w:r>
        <w:rPr>
          <w:rFonts w:hint="eastAsia" w:ascii="仿宋" w:hAnsi="仿宋" w:eastAsia="仿宋" w:cs="仿宋"/>
          <w:color w:val="auto"/>
          <w:kern w:val="0"/>
          <w:sz w:val="32"/>
          <w:szCs w:val="32"/>
          <w:lang w:bidi="ar"/>
        </w:rPr>
        <w:t>稳步推进</w:t>
      </w:r>
      <w:r>
        <w:rPr>
          <w:rFonts w:hint="eastAsia" w:ascii="仿宋" w:hAnsi="仿宋" w:eastAsia="仿宋" w:cs="仿宋"/>
          <w:color w:val="auto"/>
          <w:kern w:val="0"/>
          <w:sz w:val="32"/>
          <w:szCs w:val="32"/>
          <w:lang w:val="en-US" w:eastAsia="zh-CN" w:bidi="ar"/>
        </w:rPr>
        <w:t>城市</w:t>
      </w:r>
      <w:r>
        <w:rPr>
          <w:rFonts w:hint="eastAsia" w:ascii="仿宋" w:hAnsi="仿宋" w:eastAsia="仿宋" w:cs="仿宋"/>
          <w:color w:val="auto"/>
          <w:kern w:val="0"/>
          <w:sz w:val="32"/>
          <w:szCs w:val="32"/>
          <w:lang w:bidi="ar"/>
        </w:rPr>
        <w:t>标识系统改造提升工作，集中开展公交公厕标识、高校周边标识、旅游景区标识、三站一场标识、标识用语规范专题整治，制发</w:t>
      </w:r>
      <w:r>
        <w:rPr>
          <w:rFonts w:hint="eastAsia" w:ascii="仿宋" w:hAnsi="仿宋" w:eastAsia="仿宋" w:cs="仿宋"/>
          <w:color w:val="auto"/>
          <w:kern w:val="0"/>
          <w:sz w:val="32"/>
          <w:szCs w:val="32"/>
          <w:lang w:val="en-US" w:eastAsia="zh-CN" w:bidi="ar"/>
        </w:rPr>
        <w:t>8</w:t>
      </w:r>
      <w:r>
        <w:rPr>
          <w:rFonts w:hint="eastAsia" w:ascii="仿宋" w:hAnsi="仿宋" w:eastAsia="仿宋" w:cs="仿宋"/>
          <w:color w:val="auto"/>
          <w:kern w:val="0"/>
          <w:sz w:val="32"/>
          <w:szCs w:val="32"/>
          <w:lang w:bidi="ar"/>
        </w:rPr>
        <w:t>批城市标识改造提升问题清单222处标识牌问题，督促协调相关单位改造提升。</w:t>
      </w:r>
    </w:p>
    <w:p>
      <w:pPr>
        <w:pStyle w:val="8"/>
        <w:keepNext w:val="0"/>
        <w:keepLines w:val="0"/>
        <w:pageBreakBefore w:val="0"/>
        <w:widowControl w:val="0"/>
        <w:numPr>
          <w:ilvl w:val="0"/>
          <w:numId w:val="2"/>
        </w:numPr>
        <w:kinsoku/>
        <w:wordWrap/>
        <w:overflowPunct/>
        <w:topLinePunct w:val="0"/>
        <w:autoSpaceDE/>
        <w:autoSpaceDN/>
        <w:bidi w:val="0"/>
        <w:spacing w:after="0" w:line="580" w:lineRule="exact"/>
        <w:ind w:left="0" w:leftChars="0"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val="0"/>
          <w:color w:val="auto"/>
          <w:kern w:val="0"/>
          <w:sz w:val="32"/>
          <w:szCs w:val="32"/>
          <w:highlight w:val="none"/>
          <w:lang w:val="en-US" w:eastAsia="zh-CN"/>
        </w:rPr>
        <w:t>城市安全运行基础不断夯实。</w:t>
      </w:r>
      <w:r>
        <w:rPr>
          <w:rFonts w:hint="eastAsia" w:ascii="仿宋" w:hAnsi="仿宋" w:eastAsia="仿宋" w:cs="仿宋"/>
          <w:sz w:val="32"/>
          <w:szCs w:val="32"/>
          <w:lang w:eastAsia="zh-CN"/>
        </w:rPr>
        <w:t>深入开展城镇燃气安全排查整治提升</w:t>
      </w:r>
      <w:r>
        <w:rPr>
          <w:rFonts w:hint="eastAsia" w:ascii="仿宋" w:hAnsi="仿宋" w:eastAsia="仿宋" w:cs="仿宋"/>
          <w:sz w:val="32"/>
          <w:szCs w:val="32"/>
          <w:lang w:val="en-US" w:eastAsia="zh-CN"/>
        </w:rPr>
        <w:t>工作</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实现燃气场站每月全覆盖、餐饮用气场所季度全覆盖排查检查，检查燃气场站、餐饮用气场所22024次，排查整治隐患问题2821处。</w:t>
      </w:r>
      <w:r>
        <w:rPr>
          <w:rFonts w:hint="eastAsia" w:ascii="仿宋" w:hAnsi="仿宋" w:cs="仿宋"/>
          <w:sz w:val="32"/>
          <w:szCs w:val="32"/>
          <w:lang w:val="en-US" w:eastAsia="zh-CN"/>
        </w:rPr>
        <w:t>定</w:t>
      </w:r>
      <w:r>
        <w:rPr>
          <w:rFonts w:hint="eastAsia" w:ascii="仿宋" w:hAnsi="仿宋" w:eastAsia="仿宋" w:cs="仿宋"/>
          <w:sz w:val="32"/>
          <w:szCs w:val="32"/>
          <w:lang w:val="en-US" w:eastAsia="zh-CN"/>
        </w:rPr>
        <w:t>期组织街道、企业进行燃气信息平台使用培训，推广燃气平台使用力度，推进液化石油气智慧化、智能化监管，实现钢瓶二维码全覆盖安装、钢瓶全流程流转可追溯、送气服务人员可查询的全闭环管理。</w:t>
      </w:r>
      <w:r>
        <w:rPr>
          <w:rFonts w:hint="eastAsia" w:ascii="仿宋" w:hAnsi="仿宋" w:eastAsia="仿宋" w:cs="仿宋"/>
          <w:sz w:val="32"/>
          <w:szCs w:val="32"/>
          <w:lang w:eastAsia="zh-CN"/>
        </w:rPr>
        <w:t>严管重罚城镇燃气领域违法违规行为</w:t>
      </w:r>
      <w:r>
        <w:rPr>
          <w:rFonts w:hint="eastAsia" w:ascii="仿宋" w:hAnsi="仿宋" w:eastAsia="仿宋" w:cs="仿宋"/>
          <w:sz w:val="32"/>
          <w:szCs w:val="32"/>
          <w:lang w:val="en-US" w:eastAsia="zh-CN"/>
        </w:rPr>
        <w:t>，加强城镇燃气领域执法监管。开展瓶装气打非治违专项行动37次，取缔“黑气点”4处，共计登记保存物证液化气钢瓶124只，燃气企业开除送气工2人。办理燃气类执法案件78起，处罚金额53.573万元。加快推进老旧燃气设施</w:t>
      </w:r>
      <w:r>
        <w:rPr>
          <w:rFonts w:hint="eastAsia" w:ascii="仿宋" w:hAnsi="仿宋" w:eastAsia="仿宋" w:cs="仿宋"/>
          <w:sz w:val="32"/>
          <w:szCs w:val="32"/>
          <w:lang w:eastAsia="zh-CN"/>
        </w:rPr>
        <w:t>更新改造。</w:t>
      </w:r>
      <w:r>
        <w:rPr>
          <w:rFonts w:hint="eastAsia" w:ascii="仿宋" w:hAnsi="仿宋" w:eastAsia="仿宋" w:cs="仿宋"/>
          <w:sz w:val="32"/>
          <w:szCs w:val="32"/>
          <w:lang w:val="en-US" w:eastAsia="zh-CN"/>
        </w:rPr>
        <w:t>积极筹措资金，争取中央预算内投资补助，对</w:t>
      </w:r>
      <w:r>
        <w:rPr>
          <w:rFonts w:hint="eastAsia" w:ascii="仿宋" w:hAnsi="仿宋" w:eastAsia="仿宋" w:cs="仿宋"/>
          <w:sz w:val="32"/>
          <w:szCs w:val="32"/>
          <w:lang w:eastAsia="zh-CN"/>
        </w:rPr>
        <w:t>22个小区</w:t>
      </w:r>
      <w:r>
        <w:rPr>
          <w:rFonts w:hint="eastAsia" w:ascii="仿宋" w:hAnsi="仿宋" w:eastAsia="仿宋" w:cs="仿宋"/>
          <w:sz w:val="32"/>
          <w:szCs w:val="32"/>
          <w:lang w:val="en-US" w:eastAsia="zh-CN"/>
        </w:rPr>
        <w:t>内存在安全隐患的庭院埋地燃气管道、燃气立管进行更新改造，共改造燃气立管62.5公里、庭院埋地燃气管道7.5公里，改造管道液化石油气小区1个。加快推进燃气安全“三件套”推广安装工作，4233家餐饮燃气用户已全部安装“三件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广泛开展用气安全宣传培训。联合各街道、燃气企业等，走进机关、企业、社区、学校等开展燃气安全宣传活动55场次，发放燃气安全宣传资料5万余份、宣传物品1.5万余份，通过现场宣讲、有奖问答、产品展示、咨询互动等手段普及安全用气常识和突发事件应急处置常识，增强辖区居民的安全用气意识和突发事件应急处置能力。组织企业开展应急演练活动20余场，通过应急演练提升燃气领域突发事件应急处置能力，增强防范化解风险的能力。</w:t>
      </w:r>
    </w:p>
    <w:p>
      <w:pPr>
        <w:keepNext w:val="0"/>
        <w:keepLines w:val="0"/>
        <w:pageBreakBefore w:val="0"/>
        <w:widowControl w:val="0"/>
        <w:kinsoku/>
        <w:wordWrap/>
        <w:overflowPunct/>
        <w:topLinePunct w:val="0"/>
        <w:autoSpaceDE/>
        <w:autoSpaceDN/>
        <w:bidi w:val="0"/>
        <w:spacing w:line="580" w:lineRule="exact"/>
        <w:ind w:leftChars="0"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落实</w:t>
      </w:r>
      <w:r>
        <w:rPr>
          <w:rFonts w:hint="eastAsia" w:ascii="仿宋" w:hAnsi="仿宋" w:eastAsia="仿宋" w:cs="仿宋"/>
          <w:color w:val="auto"/>
          <w:sz w:val="32"/>
          <w:szCs w:val="32"/>
          <w:highlight w:val="none"/>
        </w:rPr>
        <w:t>桥隧维护工作</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实时掌控桥隧的运行状态，保障桥隧通行正常。截止到目前，出动巡查人员3050人次，出动巡查车辆1525车次，全年巡查约16200座次，发现并处置桥梁病害733处；开展常规定期检测105座</w:t>
      </w:r>
      <w:r>
        <w:rPr>
          <w:rFonts w:hint="eastAsia" w:ascii="仿宋" w:hAnsi="仿宋" w:eastAsia="仿宋" w:cs="仿宋"/>
          <w:color w:val="auto"/>
          <w:sz w:val="32"/>
          <w:szCs w:val="32"/>
          <w:highlight w:val="none"/>
          <w:lang w:eastAsia="zh-CN"/>
        </w:rPr>
        <w:t>。完成</w:t>
      </w:r>
      <w:r>
        <w:rPr>
          <w:rFonts w:hint="eastAsia" w:ascii="仿宋" w:hAnsi="仿宋" w:eastAsia="仿宋" w:cs="仿宋"/>
          <w:color w:val="auto"/>
          <w:sz w:val="32"/>
          <w:szCs w:val="32"/>
          <w:highlight w:val="none"/>
          <w:lang w:val="en-US" w:eastAsia="zh-CN"/>
        </w:rPr>
        <w:t>光谷三路跨沪渝高架桥</w:t>
      </w:r>
      <w:r>
        <w:rPr>
          <w:rFonts w:hint="eastAsia" w:ascii="仿宋" w:hAnsi="仿宋" w:eastAsia="仿宋" w:cs="仿宋"/>
          <w:color w:val="auto"/>
          <w:sz w:val="32"/>
          <w:szCs w:val="32"/>
          <w:highlight w:val="none"/>
        </w:rPr>
        <w:t>支座更换</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对锈蚀严重、环境脏污的桥隧进行了防腐涂装、新增装饰板等，</w:t>
      </w:r>
      <w:r>
        <w:rPr>
          <w:rFonts w:hint="eastAsia" w:ascii="仿宋" w:hAnsi="仿宋" w:eastAsia="仿宋" w:cs="仿宋"/>
          <w:color w:val="auto"/>
          <w:sz w:val="32"/>
          <w:szCs w:val="32"/>
          <w:highlight w:val="none"/>
        </w:rPr>
        <w:t>组织开展</w:t>
      </w:r>
      <w:r>
        <w:rPr>
          <w:rFonts w:hint="eastAsia" w:ascii="仿宋" w:hAnsi="仿宋" w:eastAsia="仿宋" w:cs="仿宋"/>
          <w:color w:val="auto"/>
          <w:sz w:val="32"/>
          <w:szCs w:val="32"/>
          <w:highlight w:val="none"/>
          <w:lang w:val="en-US" w:eastAsia="zh-CN"/>
        </w:rPr>
        <w:t>5次</w:t>
      </w:r>
      <w:r>
        <w:rPr>
          <w:rFonts w:hint="eastAsia" w:ascii="仿宋" w:hAnsi="仿宋" w:eastAsia="仿宋" w:cs="仿宋"/>
          <w:color w:val="auto"/>
          <w:sz w:val="32"/>
          <w:szCs w:val="32"/>
          <w:highlight w:val="none"/>
          <w:lang w:eastAsia="zh-CN"/>
        </w:rPr>
        <w:t>桥隧</w:t>
      </w:r>
      <w:r>
        <w:rPr>
          <w:rFonts w:hint="eastAsia" w:ascii="仿宋" w:hAnsi="仿宋" w:eastAsia="仿宋" w:cs="仿宋"/>
          <w:color w:val="auto"/>
          <w:sz w:val="32"/>
          <w:szCs w:val="32"/>
          <w:highlight w:val="none"/>
        </w:rPr>
        <w:t>应急演练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提高应急队伍的协同处置能力</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确保能及时处置桥隧突发事件。推进“智慧桥梁”管理系统建设</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全区已建设完成84座（其中街道桥梁29座）“智慧桥梁”系统建设，并使用智慧桥梁APP开展桥梁巡查、维护及验收等各项工作。严格执行桥隧保护区域内施工作业的审批标准和流程，加大对施工方案的技术审核力度，签订桥梁安全保护协议6份，桥隧保护区内的项目安全可控；强化对桥下违法堆土、堆放、违建和桥上违规管线的查处、管控，加大管理和执法力度，处置桥梁保护区各类违法行为466件，罚款金额6.96万元。</w:t>
      </w:r>
    </w:p>
    <w:p>
      <w:pPr>
        <w:pStyle w:val="8"/>
        <w:keepNext w:val="0"/>
        <w:keepLines w:val="0"/>
        <w:pageBreakBefore w:val="0"/>
        <w:widowControl w:val="0"/>
        <w:kinsoku/>
        <w:wordWrap/>
        <w:overflowPunct/>
        <w:topLinePunct w:val="0"/>
        <w:autoSpaceDE/>
        <w:autoSpaceDN/>
        <w:bidi w:val="0"/>
        <w:spacing w:after="0" w:line="580" w:lineRule="exact"/>
        <w:ind w:leftChars="0"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val="0"/>
          <w:color w:val="auto"/>
          <w:kern w:val="0"/>
          <w:sz w:val="32"/>
          <w:szCs w:val="32"/>
          <w:highlight w:val="none"/>
          <w:lang w:val="en-US" w:eastAsia="zh-CN"/>
        </w:rPr>
        <w:t>5、强化执法保障，依法行政水平不断提升。</w:t>
      </w:r>
      <w:r>
        <w:rPr>
          <w:rFonts w:hint="eastAsia" w:ascii="仿宋" w:hAnsi="仿宋" w:eastAsia="仿宋" w:cs="仿宋"/>
          <w:sz w:val="32"/>
          <w:szCs w:val="32"/>
          <w:lang w:val="en-US" w:eastAsia="zh-CN"/>
        </w:rPr>
        <w:t>办结各类行政处罚案件3915</w:t>
      </w:r>
      <w:r>
        <w:rPr>
          <w:rFonts w:hint="eastAsia" w:ascii="仿宋" w:hAnsi="仿宋" w:eastAsia="仿宋" w:cs="仿宋"/>
          <w:sz w:val="32"/>
          <w:szCs w:val="32"/>
          <w:lang w:eastAsia="zh-CN"/>
        </w:rPr>
        <w:t>件，其中一般案件</w:t>
      </w:r>
      <w:r>
        <w:rPr>
          <w:rFonts w:hint="eastAsia" w:ascii="仿宋" w:hAnsi="仿宋" w:eastAsia="仿宋" w:cs="仿宋"/>
          <w:sz w:val="32"/>
          <w:szCs w:val="32"/>
          <w:lang w:val="en-US" w:eastAsia="zh-CN"/>
        </w:rPr>
        <w:t>1579</w:t>
      </w:r>
      <w:r>
        <w:rPr>
          <w:rFonts w:hint="eastAsia" w:ascii="仿宋" w:hAnsi="仿宋" w:eastAsia="仿宋" w:cs="仿宋"/>
          <w:sz w:val="32"/>
          <w:szCs w:val="32"/>
          <w:lang w:eastAsia="zh-CN"/>
        </w:rPr>
        <w:t>件，</w:t>
      </w:r>
      <w:r>
        <w:rPr>
          <w:rFonts w:hint="eastAsia" w:ascii="仿宋" w:hAnsi="仿宋" w:eastAsia="仿宋" w:cs="仿宋"/>
          <w:sz w:val="32"/>
          <w:szCs w:val="32"/>
          <w:lang w:val="en-US" w:eastAsia="zh-CN"/>
        </w:rPr>
        <w:t>当场处罚案件（简易案件）2336件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处罚金额</w:t>
      </w:r>
      <w:r>
        <w:rPr>
          <w:rFonts w:hint="eastAsia" w:ascii="仿宋" w:hAnsi="仿宋" w:eastAsia="仿宋" w:cs="仿宋"/>
          <w:sz w:val="32"/>
          <w:szCs w:val="32"/>
          <w:lang w:eastAsia="zh-CN"/>
        </w:rPr>
        <w:t>共计</w:t>
      </w:r>
      <w:r>
        <w:rPr>
          <w:rFonts w:hint="eastAsia" w:ascii="仿宋" w:hAnsi="仿宋" w:eastAsia="仿宋" w:cs="仿宋"/>
          <w:sz w:val="32"/>
          <w:szCs w:val="32"/>
          <w:lang w:val="en-US" w:eastAsia="zh-CN"/>
        </w:rPr>
        <w:t>4483034元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下达责改决定书</w:t>
      </w:r>
      <w:r>
        <w:rPr>
          <w:rFonts w:hint="eastAsia" w:ascii="仿宋" w:hAnsi="仿宋" w:eastAsia="仿宋" w:cs="仿宋"/>
          <w:sz w:val="32"/>
          <w:szCs w:val="32"/>
          <w:lang w:eastAsia="zh-CN"/>
        </w:rPr>
        <w:t>22670</w:t>
      </w:r>
      <w:r>
        <w:rPr>
          <w:rFonts w:hint="eastAsia" w:ascii="仿宋" w:hAnsi="仿宋" w:eastAsia="仿宋" w:cs="仿宋"/>
          <w:sz w:val="32"/>
          <w:szCs w:val="32"/>
          <w:lang w:val="en-US" w:eastAsia="zh-CN"/>
        </w:rPr>
        <w:t>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温馨提示单</w:t>
      </w:r>
      <w:r>
        <w:rPr>
          <w:rFonts w:hint="eastAsia" w:ascii="仿宋" w:hAnsi="仿宋" w:eastAsia="仿宋" w:cs="仿宋"/>
          <w:sz w:val="32"/>
          <w:szCs w:val="32"/>
          <w:lang w:eastAsia="zh-CN"/>
        </w:rPr>
        <w:t>526</w:t>
      </w:r>
      <w:r>
        <w:rPr>
          <w:rFonts w:hint="eastAsia" w:ascii="仿宋" w:hAnsi="仿宋" w:eastAsia="仿宋" w:cs="仿宋"/>
          <w:sz w:val="32"/>
          <w:szCs w:val="32"/>
          <w:lang w:val="en-US" w:eastAsia="zh-CN"/>
        </w:rPr>
        <w:t>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行政检查</w:t>
      </w:r>
      <w:r>
        <w:rPr>
          <w:rFonts w:hint="eastAsia" w:ascii="仿宋" w:hAnsi="仿宋" w:eastAsia="仿宋" w:cs="仿宋"/>
          <w:sz w:val="32"/>
          <w:szCs w:val="32"/>
          <w:lang w:eastAsia="zh-CN"/>
        </w:rPr>
        <w:t>8993</w:t>
      </w:r>
      <w:r>
        <w:rPr>
          <w:rFonts w:hint="eastAsia" w:ascii="仿宋" w:hAnsi="仿宋" w:eastAsia="仿宋" w:cs="仿宋"/>
          <w:sz w:val="32"/>
          <w:szCs w:val="32"/>
          <w:lang w:val="en-US" w:eastAsia="zh-CN"/>
        </w:rPr>
        <w:t>件</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加强</w:t>
      </w:r>
      <w:r>
        <w:rPr>
          <w:rFonts w:hint="eastAsia" w:ascii="仿宋" w:hAnsi="仿宋" w:eastAsia="仿宋" w:cs="仿宋"/>
          <w:sz w:val="32"/>
          <w:szCs w:val="32"/>
          <w:lang w:eastAsia="zh-CN"/>
        </w:rPr>
        <w:t>对</w:t>
      </w:r>
      <w:r>
        <w:rPr>
          <w:rFonts w:hint="eastAsia" w:ascii="仿宋" w:hAnsi="仿宋" w:eastAsia="仿宋" w:cs="仿宋"/>
          <w:sz w:val="32"/>
          <w:szCs w:val="32"/>
          <w:lang w:val="en-US" w:eastAsia="zh-CN"/>
        </w:rPr>
        <w:t>街道赋权承接工作</w:t>
      </w:r>
      <w:r>
        <w:rPr>
          <w:rFonts w:hint="eastAsia" w:ascii="仿宋" w:hAnsi="仿宋" w:eastAsia="仿宋" w:cs="仿宋"/>
          <w:sz w:val="32"/>
          <w:szCs w:val="32"/>
          <w:lang w:eastAsia="zh-CN"/>
        </w:rPr>
        <w:t>的</w:t>
      </w:r>
      <w:r>
        <w:rPr>
          <w:rFonts w:hint="eastAsia" w:ascii="仿宋" w:hAnsi="仿宋" w:eastAsia="仿宋" w:cs="仿宋"/>
          <w:color w:val="auto"/>
          <w:sz w:val="32"/>
          <w:szCs w:val="32"/>
          <w:highlight w:val="none"/>
          <w:lang w:val="en-US" w:eastAsia="zh-CN"/>
        </w:rPr>
        <w:t>指导和帮助</w:t>
      </w:r>
      <w:r>
        <w:rPr>
          <w:rFonts w:hint="eastAsia" w:ascii="仿宋" w:hAnsi="仿宋" w:eastAsia="仿宋" w:cs="仿宋"/>
          <w:color w:val="auto"/>
          <w:sz w:val="32"/>
          <w:szCs w:val="32"/>
          <w:highlight w:val="none"/>
          <w:lang w:eastAsia="zh-CN"/>
        </w:rPr>
        <w:t>，</w:t>
      </w:r>
      <w:r>
        <w:rPr>
          <w:rFonts w:hint="eastAsia" w:ascii="仿宋" w:hAnsi="仿宋" w:eastAsia="仿宋" w:cs="仿宋"/>
          <w:sz w:val="32"/>
          <w:szCs w:val="32"/>
          <w:lang w:val="en-US" w:eastAsia="zh-CN"/>
        </w:rPr>
        <w:t>稳步推进街道赋权工作，确保街道赋权工作落到实处</w:t>
      </w:r>
      <w:r>
        <w:rPr>
          <w:rFonts w:hint="eastAsia" w:ascii="仿宋" w:hAnsi="仿宋" w:cs="仿宋"/>
          <w:sz w:val="32"/>
          <w:szCs w:val="32"/>
          <w:lang w:val="en-US" w:eastAsia="zh-CN"/>
        </w:rPr>
        <w:t>，</w:t>
      </w:r>
      <w:r>
        <w:rPr>
          <w:rFonts w:hint="eastAsia" w:ascii="仿宋" w:hAnsi="仿宋" w:eastAsia="仿宋" w:cs="仿宋"/>
          <w:color w:val="auto"/>
          <w:sz w:val="32"/>
          <w:szCs w:val="32"/>
          <w:highlight w:val="none"/>
          <w:lang w:val="en-US" w:eastAsia="zh-CN"/>
        </w:rPr>
        <w:t>赋权事项有序衔接</w:t>
      </w:r>
      <w:r>
        <w:rPr>
          <w:rFonts w:hint="eastAsia" w:ascii="仿宋" w:hAnsi="仿宋" w:eastAsia="仿宋" w:cs="仿宋"/>
          <w:color w:val="auto"/>
          <w:sz w:val="32"/>
          <w:szCs w:val="32"/>
          <w:highlight w:val="none"/>
          <w:lang w:eastAsia="zh-CN"/>
        </w:rPr>
        <w:t>，确保各项工作</w:t>
      </w:r>
      <w:r>
        <w:rPr>
          <w:rFonts w:hint="eastAsia" w:ascii="仿宋" w:hAnsi="仿宋" w:eastAsia="仿宋" w:cs="仿宋"/>
          <w:color w:val="auto"/>
          <w:sz w:val="32"/>
          <w:szCs w:val="32"/>
          <w:highlight w:val="none"/>
          <w:lang w:val="en-US" w:eastAsia="zh-CN"/>
        </w:rPr>
        <w:t>顺利开展。</w:t>
      </w:r>
      <w:r>
        <w:rPr>
          <w:rFonts w:hint="eastAsia" w:ascii="仿宋" w:hAnsi="仿宋" w:eastAsia="仿宋" w:cs="仿宋"/>
          <w:color w:val="auto"/>
          <w:sz w:val="32"/>
          <w:szCs w:val="32"/>
          <w:highlight w:val="none"/>
          <w:lang w:eastAsia="zh-CN"/>
        </w:rPr>
        <w:t>做好</w:t>
      </w:r>
      <w:r>
        <w:rPr>
          <w:rFonts w:hint="eastAsia" w:ascii="仿宋" w:hAnsi="仿宋" w:eastAsia="仿宋" w:cs="仿宋"/>
          <w:color w:val="auto"/>
          <w:sz w:val="32"/>
          <w:szCs w:val="32"/>
          <w:highlight w:val="none"/>
          <w:lang w:val="en-US" w:eastAsia="zh-CN"/>
        </w:rPr>
        <w:t>行政复议诉讼工作，强化执法保障，积极推行“律师驻队”制度，强化行政执法法制审核</w:t>
      </w:r>
      <w:r>
        <w:rPr>
          <w:rFonts w:hint="eastAsia" w:ascii="仿宋" w:hAnsi="仿宋" w:eastAsia="仿宋" w:cs="仿宋"/>
          <w:color w:val="auto"/>
          <w:sz w:val="32"/>
          <w:szCs w:val="32"/>
          <w:highlight w:val="none"/>
          <w:lang w:eastAsia="zh-CN"/>
        </w:rPr>
        <w:t>加大城管领域普法力度</w:t>
      </w:r>
      <w:r>
        <w:rPr>
          <w:rFonts w:hint="eastAsia" w:ascii="仿宋" w:hAnsi="仿宋" w:eastAsia="仿宋" w:cs="仿宋"/>
          <w:color w:val="auto"/>
          <w:sz w:val="32"/>
          <w:szCs w:val="32"/>
          <w:highlight w:val="none"/>
          <w:lang w:val="en-US" w:eastAsia="zh-CN"/>
        </w:rPr>
        <w:t>，通过“以案释法”“送法进社区”等形式积极组织普法宣传，举行各类法制宣传活动10次，发放各类宣传单1000余份，报送“以案释法”案例10篇、普法宣传信息稿10篇，有效的提高了居民法治意识。依托“三张清单”，助力优化营商环境，坚持行政执法合法性、合理性和公开透明原则，全面推行城市管理领域涉企行政处罚“三张清单”，进一步规范城市管理领域涉企行政处罚，规范行政执法行为、推行包容审慎执法和“三张清单”制度工作。强化“双随机一公开”监管机制，科学建立“事中事后”监管体系，开展5次实地走访检查，涉及燃气安全、户外广告设置安全、</w:t>
      </w:r>
      <w:r>
        <w:rPr>
          <w:rFonts w:hint="eastAsia" w:ascii="仿宋" w:hAnsi="仿宋" w:eastAsia="仿宋" w:cs="仿宋"/>
          <w:sz w:val="32"/>
          <w:szCs w:val="32"/>
          <w:highlight w:val="none"/>
          <w:lang w:val="en-US" w:eastAsia="zh-CN"/>
        </w:rPr>
        <w:t>保洁单位企业监管、野生动物研究企业监管、建筑垃圾运输企业监管等方面，现场指出企业存在问题，要求企业立即整改，同时配合市场监督局开展多项企业监管现场检查任务。</w:t>
      </w:r>
      <w:r>
        <w:rPr>
          <w:rFonts w:hint="eastAsia" w:ascii="仿宋" w:hAnsi="仿宋" w:eastAsia="仿宋" w:cs="仿宋"/>
          <w:color w:val="auto"/>
          <w:sz w:val="32"/>
          <w:szCs w:val="32"/>
          <w:highlight w:val="none"/>
          <w:lang w:val="en-US" w:eastAsia="zh-CN"/>
        </w:rPr>
        <w:t>推进信用体系建设，建立“双公示”工作机制，报送行政处</w:t>
      </w:r>
      <w:r>
        <w:rPr>
          <w:rFonts w:hint="eastAsia" w:ascii="仿宋" w:hAnsi="仿宋" w:eastAsia="仿宋" w:cs="仿宋"/>
          <w:sz w:val="32"/>
          <w:szCs w:val="32"/>
          <w:lang w:val="en-US" w:eastAsia="zh-CN"/>
        </w:rPr>
        <w:t>罚公示信用信息987条，极大的震慑了城市管理领域的违法违规行为。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sz w:val="32"/>
          <w:szCs w:val="32"/>
          <w:lang w:val="en-US" w:eastAsia="zh-CN"/>
        </w:rPr>
        <w:t>以“</w:t>
      </w:r>
      <w:r>
        <w:rPr>
          <w:rFonts w:hint="eastAsia" w:ascii="仿宋" w:hAnsi="仿宋" w:eastAsia="仿宋" w:cs="仿宋"/>
          <w:color w:val="auto"/>
          <w:kern w:val="0"/>
          <w:sz w:val="32"/>
          <w:szCs w:val="32"/>
          <w:lang w:val="en-US" w:eastAsia="zh-CN" w:bidi="ar"/>
        </w:rPr>
        <w:t>逐步消除存量违法建设，严格控管新增违法建设”为目标，</w:t>
      </w:r>
      <w:r>
        <w:rPr>
          <w:rFonts w:hint="eastAsia" w:ascii="仿宋" w:hAnsi="仿宋" w:eastAsia="仿宋" w:cs="仿宋"/>
          <w:kern w:val="0"/>
          <w:sz w:val="32"/>
          <w:szCs w:val="32"/>
          <w:lang w:val="en-US" w:eastAsia="zh-CN" w:bidi="ar"/>
        </w:rPr>
        <w:t>区街联动，持续开展集中拆违整治行动。将每周三定为拆违攻坚日，</w:t>
      </w:r>
      <w:r>
        <w:rPr>
          <w:rFonts w:hint="eastAsia" w:ascii="仿宋" w:hAnsi="仿宋" w:cs="仿宋"/>
          <w:kern w:val="0"/>
          <w:sz w:val="32"/>
          <w:szCs w:val="32"/>
          <w:lang w:val="en-US" w:eastAsia="zh-CN" w:bidi="ar"/>
        </w:rPr>
        <w:t>以</w:t>
      </w:r>
      <w:r>
        <w:rPr>
          <w:rFonts w:hint="eastAsia" w:ascii="仿宋" w:hAnsi="仿宋" w:eastAsia="仿宋" w:cs="仿宋"/>
          <w:kern w:val="0"/>
          <w:sz w:val="32"/>
          <w:szCs w:val="32"/>
          <w:lang w:val="en-US" w:eastAsia="zh-CN" w:bidi="ar"/>
        </w:rPr>
        <w:t>群众投诉</w:t>
      </w:r>
      <w:r>
        <w:rPr>
          <w:rFonts w:hint="eastAsia" w:ascii="仿宋" w:hAnsi="仿宋" w:cs="仿宋"/>
          <w:kern w:val="0"/>
          <w:sz w:val="32"/>
          <w:szCs w:val="32"/>
          <w:lang w:val="en-US" w:eastAsia="zh-CN" w:bidi="ar"/>
        </w:rPr>
        <w:t>多</w:t>
      </w:r>
      <w:r>
        <w:rPr>
          <w:rFonts w:hint="eastAsia" w:ascii="仿宋" w:hAnsi="仿宋" w:eastAsia="仿宋" w:cs="仿宋"/>
          <w:kern w:val="0"/>
          <w:sz w:val="32"/>
          <w:szCs w:val="32"/>
          <w:lang w:val="en-US" w:eastAsia="zh-CN" w:bidi="ar"/>
        </w:rPr>
        <w:t>、住宅别墅小区、重点工程周边、老旧还建社区、生态控制线周边等区域的违法建设</w:t>
      </w:r>
      <w:r>
        <w:rPr>
          <w:rFonts w:hint="eastAsia" w:ascii="仿宋" w:hAnsi="仿宋" w:cs="仿宋"/>
          <w:kern w:val="0"/>
          <w:sz w:val="32"/>
          <w:szCs w:val="32"/>
          <w:lang w:val="en-US" w:eastAsia="zh-CN" w:bidi="ar"/>
        </w:rPr>
        <w:t>为重点</w:t>
      </w:r>
      <w:r>
        <w:rPr>
          <w:rFonts w:hint="eastAsia" w:ascii="仿宋" w:hAnsi="仿宋" w:eastAsia="仿宋" w:cs="仿宋"/>
          <w:kern w:val="0"/>
          <w:sz w:val="32"/>
          <w:szCs w:val="32"/>
          <w:lang w:val="en-US" w:eastAsia="zh-CN" w:bidi="ar"/>
        </w:rPr>
        <w:t>，</w:t>
      </w:r>
      <w:r>
        <w:rPr>
          <w:rFonts w:hint="eastAsia" w:ascii="仿宋" w:hAnsi="仿宋" w:eastAsia="仿宋" w:cs="仿宋"/>
          <w:sz w:val="32"/>
          <w:szCs w:val="32"/>
          <w:lang w:val="en-US" w:eastAsia="zh-CN"/>
        </w:rPr>
        <w:t>共计拆除违法建设115612.8平方米，其中新增违法建设37处4352.9平方米，历史存量违法建设284处111259.9平方米，完成全年绩效目标的111.26%。</w:t>
      </w:r>
      <w:r>
        <w:rPr>
          <w:rFonts w:hint="eastAsia" w:ascii="仿宋" w:hAnsi="仿宋" w:eastAsia="仿宋" w:cs="仿宋"/>
          <w:kern w:val="0"/>
          <w:sz w:val="32"/>
          <w:szCs w:val="32"/>
          <w:lang w:val="en-US" w:eastAsia="zh-CN" w:bidi="ar"/>
        </w:rPr>
        <w:t>对4宗项目进行规划处罚，共计执行罚款958058.99万元。积极推进专项整治工作。整治拆除违规信号铁塔31处；拆除生态控制线内14家搅拌站建筑物31处13002平方米；遥感图斑点位7185件已完成调查，认定违建442件21247.3万平方米，已全部处置完毕；配合完善九峰森林公寓处置方案，推进万年青违法建设处置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bCs/>
          <w:sz w:val="32"/>
          <w:szCs w:val="32"/>
          <w:lang w:val="en-US" w:eastAsia="zh-CN"/>
        </w:rPr>
        <w:t>开展渣土专项执法行动，遏制建筑垃圾违规处理行为。</w:t>
      </w:r>
      <w:r>
        <w:rPr>
          <w:rFonts w:hint="eastAsia" w:ascii="仿宋" w:hAnsi="仿宋" w:eastAsia="仿宋" w:cs="仿宋"/>
          <w:sz w:val="32"/>
          <w:szCs w:val="32"/>
        </w:rPr>
        <w:t>共出动执法人员</w:t>
      </w:r>
      <w:r>
        <w:rPr>
          <w:rFonts w:hint="eastAsia" w:ascii="仿宋" w:hAnsi="仿宋" w:eastAsia="仿宋" w:cs="仿宋"/>
          <w:sz w:val="32"/>
          <w:szCs w:val="32"/>
          <w:lang w:val="en-US" w:eastAsia="zh-CN"/>
        </w:rPr>
        <w:t>16000余次，出动车辆51500余台次，</w:t>
      </w:r>
      <w:r>
        <w:rPr>
          <w:rFonts w:hint="eastAsia" w:ascii="仿宋" w:hAnsi="仿宋" w:eastAsia="仿宋" w:cs="仿宋"/>
          <w:color w:val="000000"/>
          <w:sz w:val="32"/>
          <w:szCs w:val="32"/>
          <w:lang w:val="en-US" w:eastAsia="zh-CN"/>
        </w:rPr>
        <w:t>共办理行政处罚案件207件，罚款金额154.59万元，共暂扣违规运输车辆330台</w:t>
      </w:r>
      <w:r>
        <w:rPr>
          <w:rFonts w:hint="eastAsia" w:ascii="仿宋" w:hAnsi="仿宋" w:eastAsia="仿宋" w:cs="仿宋"/>
          <w:sz w:val="32"/>
          <w:szCs w:val="32"/>
          <w:lang w:val="en-US" w:eastAsia="zh-CN"/>
        </w:rPr>
        <w:t>,进一步</w:t>
      </w:r>
      <w:r>
        <w:rPr>
          <w:rFonts w:hint="eastAsia" w:ascii="仿宋" w:hAnsi="仿宋" w:eastAsia="仿宋" w:cs="仿宋"/>
          <w:bCs/>
          <w:sz w:val="32"/>
          <w:szCs w:val="32"/>
          <w:lang w:val="en-US" w:eastAsia="zh-CN"/>
        </w:rPr>
        <w:t>规范了建筑垃圾管理秩序。严厉打击违规处置建筑垃圾行为，对偷倒乱倒建筑垃圾、违规运输建筑垃圾、未经核准向高新区运输建筑垃圾等行为加大依法惩处力度，促进</w:t>
      </w:r>
      <w:r>
        <w:rPr>
          <w:rFonts w:hint="eastAsia" w:ascii="仿宋" w:hAnsi="仿宋" w:eastAsia="仿宋" w:cs="仿宋"/>
          <w:sz w:val="32"/>
          <w:szCs w:val="32"/>
          <w:lang w:eastAsia="zh-CN"/>
        </w:rPr>
        <w:t>建筑垃圾</w:t>
      </w:r>
      <w:r>
        <w:rPr>
          <w:rFonts w:hint="eastAsia" w:ascii="仿宋" w:hAnsi="仿宋" w:eastAsia="仿宋" w:cs="仿宋"/>
          <w:sz w:val="32"/>
          <w:szCs w:val="32"/>
        </w:rPr>
        <w:t>处置管理工作井然有序、健康发展。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cs="仿宋"/>
          <w:sz w:val="32"/>
          <w:szCs w:val="32"/>
          <w:lang w:val="en-US" w:eastAsia="zh-CN"/>
        </w:rPr>
        <w:t>开展</w:t>
      </w:r>
      <w:r>
        <w:rPr>
          <w:rFonts w:hint="eastAsia" w:ascii="仿宋" w:hAnsi="仿宋" w:eastAsia="仿宋" w:cs="仿宋"/>
          <w:sz w:val="32"/>
          <w:szCs w:val="32"/>
          <w:lang w:val="en-US" w:eastAsia="zh-CN"/>
        </w:rPr>
        <w:t>党建引领减噪降噪新模式。针对投诉较多的工地在其项目部内设置“党员降噪工作室”，以党建引领源头管控，接访群众，听取群众意见建议，面对面、点对点解决市民投诉，营造文明施工的良好氛围，确保项目顺利推进，共设置“党员降噪工作室”11个。</w:t>
      </w:r>
      <w:r>
        <w:rPr>
          <w:rFonts w:hint="eastAsia" w:ascii="仿宋" w:hAnsi="仿宋" w:cs="仿宋"/>
          <w:kern w:val="2"/>
          <w:sz w:val="32"/>
          <w:szCs w:val="32"/>
          <w:lang w:val="en-US" w:eastAsia="zh-CN" w:bidi="ar-SA"/>
        </w:rPr>
        <w:t>实施</w:t>
      </w:r>
      <w:r>
        <w:rPr>
          <w:rFonts w:hint="eastAsia" w:ascii="仿宋" w:hAnsi="仿宋" w:eastAsia="仿宋" w:cs="仿宋"/>
          <w:kern w:val="2"/>
          <w:sz w:val="32"/>
          <w:szCs w:val="32"/>
          <w:lang w:val="en-US" w:eastAsia="zh-CN" w:bidi="ar-SA"/>
        </w:rPr>
        <w:t>广告立面环境提升，全年共计拆除各类违规户外广告</w:t>
      </w:r>
      <w:r>
        <w:rPr>
          <w:rFonts w:hint="eastAsia" w:ascii="仿宋" w:hAnsi="仿宋" w:eastAsia="仿宋" w:cs="仿宋"/>
          <w:color w:val="auto"/>
          <w:sz w:val="32"/>
          <w:szCs w:val="32"/>
          <w:lang w:val="en-US" w:eastAsia="zh-CN"/>
        </w:rPr>
        <w:t>863处</w:t>
      </w:r>
      <w:r>
        <w:rPr>
          <w:rFonts w:hint="eastAsia" w:ascii="仿宋" w:hAnsi="仿宋" w:cs="仿宋"/>
          <w:color w:val="auto"/>
          <w:sz w:val="32"/>
          <w:szCs w:val="32"/>
          <w:lang w:val="en-US" w:eastAsia="zh-CN"/>
        </w:rPr>
        <w:t>，</w:t>
      </w:r>
      <w:r>
        <w:rPr>
          <w:rFonts w:hint="eastAsia" w:ascii="仿宋" w:hAnsi="仿宋" w:eastAsia="仿宋" w:cs="仿宋"/>
          <w:color w:val="000000"/>
          <w:sz w:val="32"/>
          <w:szCs w:val="32"/>
          <w:lang w:val="en-US" w:eastAsia="zh-CN"/>
        </w:rPr>
        <w:t>对校外培训广告设置问题定期展开“回头看”，全区校外培训广告的违规设置现象显著下降。</w:t>
      </w:r>
      <w:r>
        <w:rPr>
          <w:rFonts w:hint="eastAsia" w:ascii="仿宋" w:hAnsi="仿宋" w:eastAsia="仿宋" w:cs="仿宋"/>
          <w:color w:val="000000"/>
          <w:sz w:val="32"/>
          <w:szCs w:val="32"/>
        </w:rPr>
        <w:t>处理擅自占用挖掘城市道路</w:t>
      </w:r>
      <w:r>
        <w:rPr>
          <w:rFonts w:hint="eastAsia" w:ascii="仿宋" w:hAnsi="仿宋" w:eastAsia="仿宋" w:cs="仿宋"/>
          <w:color w:val="000000"/>
          <w:sz w:val="32"/>
          <w:szCs w:val="32"/>
          <w:lang w:val="en-US" w:eastAsia="zh-CN"/>
        </w:rPr>
        <w:t>527</w:t>
      </w:r>
      <w:r>
        <w:rPr>
          <w:rFonts w:hint="eastAsia" w:ascii="仿宋" w:hAnsi="仿宋" w:eastAsia="仿宋" w:cs="仿宋"/>
          <w:color w:val="000000"/>
          <w:sz w:val="32"/>
          <w:szCs w:val="32"/>
          <w:lang w:eastAsia="zh-CN"/>
        </w:rPr>
        <w:t>起</w:t>
      </w:r>
      <w:r>
        <w:rPr>
          <w:rFonts w:hint="eastAsia" w:ascii="仿宋" w:hAnsi="仿宋" w:eastAsia="仿宋" w:cs="仿宋"/>
          <w:color w:val="000000"/>
          <w:sz w:val="32"/>
          <w:szCs w:val="32"/>
          <w:lang w:val="en-US" w:eastAsia="zh-CN"/>
        </w:rPr>
        <w:t>，下达</w:t>
      </w:r>
      <w:r>
        <w:rPr>
          <w:rFonts w:hint="eastAsia" w:ascii="仿宋" w:hAnsi="仿宋" w:eastAsia="仿宋" w:cs="仿宋"/>
          <w:color w:val="000000"/>
          <w:sz w:val="32"/>
          <w:szCs w:val="32"/>
          <w:lang w:eastAsia="zh-CN"/>
        </w:rPr>
        <w:t>《责令限期改正</w:t>
      </w:r>
      <w:r>
        <w:rPr>
          <w:rFonts w:hint="eastAsia" w:ascii="仿宋" w:hAnsi="仿宋" w:eastAsia="仿宋" w:cs="仿宋"/>
          <w:color w:val="000000"/>
          <w:sz w:val="32"/>
          <w:szCs w:val="32"/>
          <w:lang w:val="en-US" w:eastAsia="zh-CN"/>
        </w:rPr>
        <w:t>决定</w:t>
      </w:r>
      <w:r>
        <w:rPr>
          <w:rFonts w:hint="eastAsia" w:ascii="仿宋" w:hAnsi="仿宋" w:eastAsia="仿宋" w:cs="仿宋"/>
          <w:color w:val="000000"/>
          <w:sz w:val="32"/>
          <w:szCs w:val="32"/>
          <w:lang w:eastAsia="zh-CN"/>
        </w:rPr>
        <w:t>书》</w:t>
      </w:r>
      <w:r>
        <w:rPr>
          <w:rFonts w:hint="eastAsia" w:ascii="仿宋" w:hAnsi="仿宋" w:eastAsia="仿宋" w:cs="仿宋"/>
          <w:color w:val="000000"/>
          <w:sz w:val="32"/>
          <w:szCs w:val="32"/>
          <w:lang w:val="en-US" w:eastAsia="zh-CN"/>
        </w:rPr>
        <w:t>95</w:t>
      </w:r>
      <w:r>
        <w:rPr>
          <w:rFonts w:hint="eastAsia" w:ascii="仿宋" w:hAnsi="仿宋" w:eastAsia="仿宋" w:cs="仿宋"/>
          <w:color w:val="000000"/>
          <w:sz w:val="32"/>
          <w:szCs w:val="32"/>
          <w:lang w:eastAsia="zh-CN"/>
        </w:rPr>
        <w:t>份；立案处罚</w:t>
      </w:r>
      <w:r>
        <w:rPr>
          <w:rFonts w:hint="eastAsia" w:ascii="仿宋" w:hAnsi="仿宋" w:eastAsia="仿宋" w:cs="仿宋"/>
          <w:color w:val="000000"/>
          <w:sz w:val="32"/>
          <w:szCs w:val="32"/>
          <w:lang w:val="en-US" w:eastAsia="zh-CN"/>
        </w:rPr>
        <w:t>92</w:t>
      </w:r>
      <w:r>
        <w:rPr>
          <w:rFonts w:hint="eastAsia" w:ascii="仿宋" w:hAnsi="仿宋" w:eastAsia="仿宋" w:cs="仿宋"/>
          <w:color w:val="000000"/>
          <w:sz w:val="32"/>
          <w:szCs w:val="32"/>
          <w:lang w:eastAsia="zh-CN"/>
        </w:rPr>
        <w:t>件，罚款人民币</w:t>
      </w:r>
      <w:r>
        <w:rPr>
          <w:rFonts w:hint="eastAsia" w:ascii="仿宋" w:hAnsi="仿宋" w:eastAsia="仿宋" w:cs="仿宋"/>
          <w:color w:val="000000"/>
          <w:sz w:val="32"/>
          <w:szCs w:val="32"/>
          <w:lang w:val="en-US" w:eastAsia="zh-CN"/>
        </w:rPr>
        <w:t>339871.2</w:t>
      </w:r>
      <w:r>
        <w:rPr>
          <w:rFonts w:hint="eastAsia" w:ascii="仿宋" w:hAnsi="仿宋" w:eastAsia="仿宋" w:cs="仿宋"/>
          <w:color w:val="000000"/>
          <w:sz w:val="32"/>
          <w:szCs w:val="32"/>
          <w:lang w:eastAsia="zh-CN"/>
        </w:rPr>
        <w:t>元。</w:t>
      </w:r>
      <w:r>
        <w:rPr>
          <w:rFonts w:hint="eastAsia" w:ascii="仿宋" w:hAnsi="仿宋" w:eastAsia="仿宋" w:cs="仿宋"/>
          <w:sz w:val="32"/>
          <w:szCs w:val="32"/>
          <w:lang w:val="en-US" w:eastAsia="zh-CN"/>
        </w:rPr>
        <w:t>处理损害绿化1351起，下达《责令限期改正决定书》30份，立案处罚25件，罚款人民币31810元。</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联合交警大队共计开展超限车辆整治执法行动149次，出动人员1620人次、执法车辆615车次，对运输车辆例行检查并开展宣传工作，共计检查车辆959辆，查扣车辆202辆，</w:t>
      </w:r>
      <w:r>
        <w:rPr>
          <w:rFonts w:hint="eastAsia" w:ascii="仿宋" w:hAnsi="仿宋" w:cs="仿宋"/>
          <w:color w:val="000000"/>
          <w:sz w:val="32"/>
          <w:szCs w:val="32"/>
          <w:lang w:val="en-US" w:eastAsia="zh-CN"/>
        </w:rPr>
        <w:t>办理</w:t>
      </w:r>
      <w:r>
        <w:rPr>
          <w:rFonts w:hint="eastAsia" w:ascii="仿宋" w:hAnsi="仿宋" w:eastAsia="仿宋" w:cs="仿宋"/>
          <w:color w:val="000000"/>
          <w:sz w:val="32"/>
          <w:szCs w:val="32"/>
          <w:lang w:val="en-US" w:eastAsia="zh-CN"/>
        </w:rPr>
        <w:t>简易案件93起，一般案件88起，重大案件23起，共计处罚金额624900元。扎实推进“门前三包”工作制度的落实，指导调度各街道“门前三包”督导员认真落实巡查管控责任，不定时抽查各街道“门前三包”督导员在岗在位、履职尽责情况共320余次，针对“门前三包”不落实问题进行集中整治，确保“门前三包”工作落实到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jc w:val="both"/>
        <w:textAlignment w:val="auto"/>
        <w:rPr>
          <w:rFonts w:hint="eastAsia" w:ascii="楷体" w:hAnsi="楷体" w:eastAsia="楷体" w:cs="楷体"/>
          <w:b/>
          <w:bCs w:val="0"/>
          <w:color w:val="auto"/>
          <w:sz w:val="32"/>
          <w:szCs w:val="32"/>
          <w:highlight w:val="none"/>
          <w:lang w:val="en-US" w:eastAsia="zh-CN"/>
        </w:rPr>
      </w:pPr>
      <w:r>
        <w:rPr>
          <w:rFonts w:hint="eastAsia" w:ascii="楷体" w:hAnsi="楷体" w:eastAsia="楷体" w:cs="楷体"/>
          <w:b/>
          <w:bCs w:val="0"/>
          <w:color w:val="auto"/>
          <w:sz w:val="32"/>
          <w:szCs w:val="32"/>
          <w:highlight w:val="none"/>
          <w:lang w:val="en-US" w:eastAsia="zh-CN"/>
        </w:rPr>
        <w:t>（二）做强园林林业事业，推进园林林业工作稳步提升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val="0"/>
          <w:color w:val="auto"/>
          <w:sz w:val="32"/>
          <w:szCs w:val="32"/>
          <w:highlight w:val="none"/>
          <w:lang w:val="en-US" w:eastAsia="zh-CN"/>
        </w:rPr>
        <w:t>1、园林</w:t>
      </w:r>
      <w:r>
        <w:rPr>
          <w:rFonts w:hint="eastAsia" w:ascii="仿宋" w:hAnsi="仿宋" w:cs="仿宋"/>
          <w:b/>
          <w:bCs w:val="0"/>
          <w:color w:val="auto"/>
          <w:sz w:val="32"/>
          <w:szCs w:val="32"/>
          <w:highlight w:val="none"/>
          <w:lang w:val="en-US" w:eastAsia="zh-CN"/>
        </w:rPr>
        <w:t>绿化工作取得新进展。</w:t>
      </w:r>
      <w:r>
        <w:rPr>
          <w:rFonts w:hint="eastAsia" w:ascii="仿宋" w:hAnsi="仿宋" w:eastAsia="仿宋" w:cs="仿宋"/>
          <w:sz w:val="32"/>
          <w:szCs w:val="32"/>
          <w:lang w:val="en-US" w:eastAsia="zh-CN"/>
        </w:rPr>
        <w:t>积极推进绿化建设，完成城建投资目标6.05亿元；完成固定资产</w:t>
      </w:r>
      <w:r>
        <w:rPr>
          <w:rFonts w:hint="eastAsia" w:ascii="仿宋" w:hAnsi="仿宋" w:cs="仿宋"/>
          <w:sz w:val="32"/>
          <w:szCs w:val="32"/>
          <w:lang w:val="en-US" w:eastAsia="zh-CN"/>
        </w:rPr>
        <w:t>投资</w:t>
      </w:r>
      <w:r>
        <w:rPr>
          <w:rFonts w:hint="eastAsia" w:ascii="仿宋" w:hAnsi="仿宋" w:eastAsia="仿宋" w:cs="仿宋"/>
          <w:sz w:val="32"/>
          <w:szCs w:val="32"/>
          <w:lang w:val="en-US" w:eastAsia="zh-CN"/>
        </w:rPr>
        <w:t>1.95亿元。新、续建</w:t>
      </w:r>
      <w:r>
        <w:rPr>
          <w:rFonts w:hint="eastAsia" w:ascii="仿宋" w:hAnsi="仿宋" w:eastAsia="仿宋" w:cs="仿宋"/>
          <w:color w:val="auto"/>
          <w:sz w:val="32"/>
          <w:szCs w:val="32"/>
          <w:lang w:val="en-US" w:eastAsia="zh-CN"/>
        </w:rPr>
        <w:t>星河公园、左岭新城环境建设一期、顶冠峰山体修复工程、长岭山植树等绿化项目</w:t>
      </w:r>
      <w:r>
        <w:rPr>
          <w:rFonts w:hint="eastAsia" w:ascii="仿宋" w:hAnsi="仿宋" w:eastAsia="仿宋" w:cs="仿宋"/>
          <w:sz w:val="32"/>
          <w:szCs w:val="32"/>
          <w:lang w:val="en-US" w:eastAsia="zh-CN"/>
        </w:rPr>
        <w:t>99公顷。</w:t>
      </w:r>
      <w:r>
        <w:rPr>
          <w:rFonts w:hint="eastAsia" w:ascii="仿宋" w:hAnsi="仿宋" w:eastAsia="仿宋" w:cs="仿宋"/>
          <w:color w:val="auto"/>
          <w:sz w:val="32"/>
          <w:szCs w:val="32"/>
          <w:lang w:val="en-US" w:eastAsia="zh-CN"/>
        </w:rPr>
        <w:t>完成武网匝道周边绿化、九峰溪公园、黄龙山公园等</w:t>
      </w:r>
      <w:r>
        <w:rPr>
          <w:rFonts w:hint="eastAsia" w:ascii="仿宋" w:hAnsi="仿宋" w:cs="仿宋"/>
          <w:color w:val="auto"/>
          <w:sz w:val="32"/>
          <w:szCs w:val="32"/>
          <w:lang w:val="en-US" w:eastAsia="zh-CN"/>
        </w:rPr>
        <w:t>16</w:t>
      </w:r>
      <w:r>
        <w:rPr>
          <w:rFonts w:hint="eastAsia" w:ascii="仿宋" w:hAnsi="仿宋" w:eastAsia="仿宋" w:cs="仿宋"/>
          <w:color w:val="auto"/>
          <w:sz w:val="32"/>
          <w:szCs w:val="32"/>
          <w:lang w:val="en-US" w:eastAsia="zh-CN"/>
        </w:rPr>
        <w:t>处绿道建设约</w:t>
      </w:r>
      <w:r>
        <w:rPr>
          <w:rFonts w:hint="eastAsia" w:ascii="仿宋" w:hAnsi="仿宋" w:cs="仿宋"/>
          <w:color w:val="auto"/>
          <w:sz w:val="32"/>
          <w:szCs w:val="32"/>
          <w:lang w:val="en-US" w:eastAsia="zh-CN"/>
        </w:rPr>
        <w:t>12.8</w:t>
      </w:r>
      <w:r>
        <w:rPr>
          <w:rFonts w:hint="eastAsia" w:ascii="仿宋" w:hAnsi="仿宋" w:eastAsia="仿宋" w:cs="仿宋"/>
          <w:color w:val="auto"/>
          <w:sz w:val="32"/>
          <w:szCs w:val="32"/>
          <w:lang w:val="en-US" w:eastAsia="zh-CN"/>
        </w:rPr>
        <w:t>公里；高新三路绿道公园已进场施工。完成大学园路（江夏大道-三环线）、自主街-高新大道等林荫路</w:t>
      </w:r>
      <w:r>
        <w:rPr>
          <w:rFonts w:hint="eastAsia" w:ascii="仿宋" w:hAnsi="仿宋" w:cs="仿宋"/>
          <w:color w:val="auto"/>
          <w:sz w:val="32"/>
          <w:szCs w:val="32"/>
          <w:lang w:val="en-US" w:eastAsia="zh-CN"/>
        </w:rPr>
        <w:t>建设</w:t>
      </w:r>
      <w:r>
        <w:rPr>
          <w:rFonts w:hint="eastAsia" w:ascii="仿宋" w:hAnsi="仿宋" w:eastAsia="仿宋" w:cs="仿宋"/>
          <w:color w:val="auto"/>
          <w:sz w:val="32"/>
          <w:szCs w:val="32"/>
          <w:lang w:val="en-US" w:eastAsia="zh-CN"/>
        </w:rPr>
        <w:t>约</w:t>
      </w:r>
      <w:r>
        <w:rPr>
          <w:rFonts w:hint="eastAsia" w:ascii="仿宋" w:hAnsi="仿宋" w:cs="仿宋"/>
          <w:color w:val="auto"/>
          <w:sz w:val="32"/>
          <w:szCs w:val="32"/>
          <w:lang w:val="en-US" w:eastAsia="zh-CN"/>
        </w:rPr>
        <w:t>10</w:t>
      </w:r>
      <w:r>
        <w:rPr>
          <w:rFonts w:hint="eastAsia" w:ascii="仿宋" w:hAnsi="仿宋" w:eastAsia="仿宋" w:cs="仿宋"/>
          <w:color w:val="auto"/>
          <w:sz w:val="32"/>
          <w:szCs w:val="32"/>
          <w:lang w:val="en-US" w:eastAsia="zh-CN"/>
        </w:rPr>
        <w:t>公里。汤逊湖北路被评选为武汉市10条“最具特色林荫路”之一。12处多种设计主题的口袋公园已完成</w:t>
      </w:r>
      <w:r>
        <w:rPr>
          <w:rFonts w:hint="eastAsia" w:ascii="仿宋" w:hAnsi="仿宋" w:cs="仿宋"/>
          <w:color w:val="auto"/>
          <w:sz w:val="32"/>
          <w:szCs w:val="32"/>
          <w:lang w:val="en-US" w:eastAsia="zh-CN"/>
        </w:rPr>
        <w:t>3个</w:t>
      </w:r>
      <w:r>
        <w:rPr>
          <w:rFonts w:hint="eastAsia" w:ascii="仿宋" w:hAnsi="仿宋" w:eastAsia="仿宋" w:cs="仿宋"/>
          <w:color w:val="auto"/>
          <w:sz w:val="32"/>
          <w:szCs w:val="32"/>
          <w:lang w:val="en-US" w:eastAsia="zh-CN"/>
        </w:rPr>
        <w:t>，</w:t>
      </w:r>
      <w:r>
        <w:rPr>
          <w:rFonts w:hint="eastAsia" w:ascii="仿宋" w:hAnsi="仿宋" w:cs="仿宋"/>
          <w:color w:val="auto"/>
          <w:sz w:val="32"/>
          <w:szCs w:val="32"/>
          <w:lang w:val="en-US" w:eastAsia="zh-CN"/>
        </w:rPr>
        <w:t>其余9个</w:t>
      </w:r>
      <w:r>
        <w:rPr>
          <w:rFonts w:hint="eastAsia" w:ascii="仿宋" w:hAnsi="仿宋" w:eastAsia="仿宋" w:cs="仿宋"/>
          <w:color w:val="auto"/>
          <w:sz w:val="32"/>
          <w:szCs w:val="32"/>
          <w:lang w:val="en-US" w:eastAsia="zh-CN"/>
        </w:rPr>
        <w:t>预计</w:t>
      </w:r>
      <w:r>
        <w:rPr>
          <w:rFonts w:hint="eastAsia" w:ascii="仿宋" w:hAnsi="仿宋" w:cs="仿宋"/>
          <w:color w:val="auto"/>
          <w:sz w:val="32"/>
          <w:szCs w:val="32"/>
          <w:lang w:val="en-US" w:eastAsia="zh-CN"/>
        </w:rPr>
        <w:t>2024年2</w:t>
      </w:r>
      <w:r>
        <w:rPr>
          <w:rFonts w:hint="eastAsia" w:ascii="仿宋" w:hAnsi="仿宋" w:eastAsia="仿宋" w:cs="仿宋"/>
          <w:color w:val="auto"/>
          <w:sz w:val="32"/>
          <w:szCs w:val="32"/>
          <w:lang w:val="en-US" w:eastAsia="zh-CN"/>
        </w:rPr>
        <w:t>月完工。</w:t>
      </w:r>
      <w:r>
        <w:rPr>
          <w:rFonts w:hint="eastAsia" w:ascii="仿宋" w:hAnsi="仿宋" w:eastAsia="仿宋" w:cs="仿宋"/>
          <w:b w:val="0"/>
          <w:bCs w:val="0"/>
          <w:color w:val="auto"/>
          <w:sz w:val="32"/>
          <w:szCs w:val="32"/>
          <w:lang w:val="en-US" w:eastAsia="zh-CN"/>
        </w:rPr>
        <w:t>根据湿地花城建设要求，实施九峰一路、生态大走廊、二妃山花田花海总计约45公顷。将高新大道打造成花景大道，提升生物城、未来城、珞喻路等3处花漾街区；实施高新大道隙地沿线等6处立体花坛及</w:t>
      </w:r>
      <w:r>
        <w:rPr>
          <w:rFonts w:hint="eastAsia" w:ascii="仿宋" w:hAnsi="仿宋" w:cs="仿宋"/>
          <w:b w:val="0"/>
          <w:bCs w:val="0"/>
          <w:color w:val="auto"/>
          <w:sz w:val="32"/>
          <w:szCs w:val="32"/>
          <w:lang w:val="en-US" w:eastAsia="zh-CN"/>
        </w:rPr>
        <w:t>重要</w:t>
      </w:r>
      <w:r>
        <w:rPr>
          <w:rFonts w:hint="eastAsia" w:ascii="仿宋" w:hAnsi="仿宋" w:eastAsia="仿宋" w:cs="仿宋"/>
          <w:b w:val="0"/>
          <w:bCs w:val="0"/>
          <w:color w:val="auto"/>
          <w:sz w:val="32"/>
          <w:szCs w:val="32"/>
          <w:lang w:val="en-US" w:eastAsia="zh-CN"/>
        </w:rPr>
        <w:t>节庆活动景观更新；完成主干道布置时令花卉1.5公顷；实施高新大道和光谷大道高架等月季栽植约5万株，在今年市绿委组织的首批“武汉最美月季花路”评选活动中，我区光谷大道被评为“花路最长”的月季花特色道路。</w:t>
      </w:r>
      <w:r>
        <w:rPr>
          <w:rFonts w:hint="eastAsia" w:ascii="仿宋" w:hAnsi="仿宋" w:eastAsia="仿宋" w:cs="仿宋"/>
          <w:sz w:val="32"/>
          <w:szCs w:val="32"/>
        </w:rPr>
        <w:t>因地制宜</w:t>
      </w:r>
      <w:r>
        <w:rPr>
          <w:rFonts w:hint="eastAsia" w:ascii="仿宋" w:hAnsi="仿宋" w:eastAsia="仿宋" w:cs="仿宋"/>
          <w:sz w:val="32"/>
          <w:szCs w:val="32"/>
          <w:lang w:val="en-US" w:eastAsia="zh-CN"/>
        </w:rPr>
        <w:t>制定</w:t>
      </w:r>
      <w:r>
        <w:rPr>
          <w:rFonts w:hint="eastAsia" w:ascii="仿宋" w:hAnsi="仿宋" w:eastAsia="仿宋" w:cs="仿宋"/>
          <w:color w:val="000000" w:themeColor="text1"/>
          <w:sz w:val="32"/>
          <w:szCs w:val="32"/>
          <w:lang w:eastAsia="zh-CN"/>
          <w14:textFill>
            <w14:solidFill>
              <w14:schemeClr w14:val="tx1"/>
            </w14:solidFill>
          </w14:textFill>
        </w:rPr>
        <w:t>雄楚高架、光谷高架、高新大道、关山大道、</w:t>
      </w:r>
      <w:r>
        <w:rPr>
          <w:rFonts w:hint="eastAsia" w:ascii="仿宋" w:hAnsi="仿宋" w:eastAsia="仿宋" w:cs="仿宋"/>
          <w:color w:val="000000" w:themeColor="text1"/>
          <w:sz w:val="32"/>
          <w:szCs w:val="32"/>
          <w:lang w:val="en-US" w:eastAsia="zh-CN"/>
          <w14:textFill>
            <w14:solidFill>
              <w14:schemeClr w14:val="tx1"/>
            </w14:solidFill>
          </w14:textFill>
        </w:rPr>
        <w:t>左岭</w:t>
      </w:r>
      <w:r>
        <w:rPr>
          <w:rFonts w:hint="eastAsia" w:ascii="仿宋" w:hAnsi="仿宋" w:eastAsia="仿宋" w:cs="仿宋"/>
          <w:color w:val="000000" w:themeColor="text1"/>
          <w:sz w:val="32"/>
          <w:szCs w:val="32"/>
          <w:lang w:eastAsia="zh-CN"/>
          <w14:textFill>
            <w14:solidFill>
              <w14:schemeClr w14:val="tx1"/>
            </w14:solidFill>
          </w14:textFill>
        </w:rPr>
        <w:t>大道</w:t>
      </w:r>
      <w:r>
        <w:rPr>
          <w:rFonts w:hint="eastAsia" w:ascii="仿宋" w:hAnsi="仿宋" w:eastAsia="仿宋" w:cs="仿宋"/>
          <w:sz w:val="32"/>
          <w:szCs w:val="32"/>
          <w:lang w:val="en-US" w:eastAsia="zh-CN"/>
        </w:rPr>
        <w:t>等“十条路”</w:t>
      </w:r>
      <w:r>
        <w:rPr>
          <w:rFonts w:hint="eastAsia" w:ascii="仿宋" w:hAnsi="仿宋" w:eastAsia="仿宋" w:cs="仿宋"/>
          <w:sz w:val="32"/>
          <w:szCs w:val="32"/>
        </w:rPr>
        <w:t>增绿提质、增花添彩的工作目标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制定“一路一策”方案全力打造高新区特色道路绿化景观路。</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sz w:val="32"/>
          <w:szCs w:val="32"/>
          <w:lang w:val="en-US" w:eastAsia="zh-CN"/>
        </w:rPr>
        <w:t>养护管理日益精细</w:t>
      </w:r>
      <w:r>
        <w:rPr>
          <w:rFonts w:hint="eastAsia" w:ascii="仿宋" w:hAnsi="仿宋" w:eastAsia="仿宋" w:cs="仿宋"/>
          <w:b/>
          <w:bCs/>
          <w:sz w:val="32"/>
          <w:szCs w:val="32"/>
          <w:lang w:val="en-US" w:eastAsia="zh-CN"/>
        </w:rPr>
        <w:t>。</w:t>
      </w:r>
      <w:r>
        <w:rPr>
          <w:rFonts w:hint="eastAsia" w:ascii="仿宋" w:hAnsi="仿宋" w:eastAsia="仿宋" w:cs="仿宋"/>
          <w:sz w:val="32"/>
          <w:szCs w:val="32"/>
          <w:lang w:val="en-US" w:eastAsia="zh-CN"/>
        </w:rPr>
        <w:t>对全区绿化重新划分为12个片区及7个主要道路进行招标，投入商业养护1.2亿元，全面解决标段交叉重叠问题。搭建“东湖高新区园林数字化管理平台”，让绿化管理更加精细化、高效化。</w:t>
      </w:r>
      <w:r>
        <w:rPr>
          <w:rFonts w:hint="eastAsia" w:ascii="仿宋" w:hAnsi="仿宋" w:eastAsia="仿宋" w:cs="仿宋"/>
          <w:color w:val="auto"/>
          <w:kern w:val="2"/>
          <w:sz w:val="32"/>
          <w:szCs w:val="32"/>
          <w:lang w:val="en-US" w:eastAsia="zh-CN" w:bidi="ar-SA"/>
        </w:rPr>
        <w:t>韵湖、西苑公园等6家公园持续开展爱国卫生运动和文明创建工作，共计开展各类文化活动宣传76场次，应急演练活动3场，韵湖公园获评2022年度武汉市“精致公园”。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left"/>
        <w:textAlignment w:val="auto"/>
        <w:outlineLvl w:val="9"/>
        <w:rPr>
          <w:rFonts w:hint="eastAsia" w:ascii="仿宋" w:hAnsi="仿宋" w:eastAsia="仿宋" w:cs="仿宋"/>
          <w:b/>
          <w:bCs w:val="0"/>
          <w:color w:val="auto"/>
          <w:sz w:val="32"/>
          <w:szCs w:val="32"/>
          <w:highlight w:val="none"/>
          <w:lang w:val="en-US" w:eastAsia="zh-CN"/>
        </w:rPr>
      </w:pPr>
      <w:r>
        <w:rPr>
          <w:rFonts w:hint="eastAsia" w:ascii="仿宋" w:hAnsi="仿宋" w:eastAsia="仿宋" w:cs="仿宋"/>
          <w:sz w:val="32"/>
          <w:szCs w:val="32"/>
          <w:lang w:val="en-US" w:eastAsia="zh-CN"/>
        </w:rPr>
        <w:t>发动组织长岭山郊野公园等植树尽责活动15场。武汉市第40届金秋菊展东湖高新展区计划于11月在鸡公山公园举办，主题为“菊彩乐章、舞动浪潮”整体场地面积约12000㎡。目前相关准备工作就绪，正以崭新的姿态迎接2024年东湖高新区金秋菊展的到来。依据老旧小区更新改造政策，完成老旧小区（智苑小区）绿化提升工作，改善周边社区居民生活环境。</w:t>
      </w:r>
    </w:p>
    <w:p>
      <w:pPr>
        <w:pStyle w:val="8"/>
        <w:keepNext w:val="0"/>
        <w:keepLines w:val="0"/>
        <w:pageBreakBefore w:val="0"/>
        <w:widowControl w:val="0"/>
        <w:kinsoku/>
        <w:wordWrap/>
        <w:overflowPunct/>
        <w:topLinePunct w:val="0"/>
        <w:autoSpaceDE/>
        <w:autoSpaceDN/>
        <w:bidi w:val="0"/>
        <w:spacing w:after="0" w:line="580" w:lineRule="exact"/>
        <w:ind w:leftChars="0" w:firstLine="642" w:firstLineChars="200"/>
        <w:textAlignment w:val="auto"/>
        <w:rPr>
          <w:rFonts w:hint="eastAsia" w:ascii="仿宋" w:hAnsi="仿宋" w:eastAsia="仿宋" w:cs="仿宋"/>
          <w:lang w:val="en-US" w:eastAsia="zh-CN"/>
        </w:rPr>
      </w:pPr>
      <w:r>
        <w:rPr>
          <w:rFonts w:hint="eastAsia" w:ascii="仿宋" w:hAnsi="仿宋" w:eastAsia="仿宋" w:cs="仿宋"/>
          <w:b/>
          <w:bCs w:val="0"/>
          <w:color w:val="auto"/>
          <w:sz w:val="32"/>
          <w:szCs w:val="32"/>
          <w:highlight w:val="none"/>
          <w:lang w:val="en-US" w:eastAsia="zh-CN"/>
        </w:rPr>
        <w:t>2、林业</w:t>
      </w:r>
      <w:r>
        <w:rPr>
          <w:rFonts w:hint="eastAsia" w:ascii="仿宋" w:hAnsi="仿宋" w:cs="仿宋"/>
          <w:b/>
          <w:bCs w:val="0"/>
          <w:color w:val="auto"/>
          <w:sz w:val="32"/>
          <w:szCs w:val="32"/>
          <w:highlight w:val="none"/>
          <w:lang w:val="en-US" w:eastAsia="zh-CN"/>
        </w:rPr>
        <w:t>工作稳步推进。</w:t>
      </w:r>
      <w:r>
        <w:rPr>
          <w:rFonts w:hint="eastAsia" w:ascii="仿宋" w:hAnsi="仿宋" w:eastAsia="仿宋" w:cs="仿宋"/>
          <w:sz w:val="32"/>
          <w:szCs w:val="32"/>
          <w:lang w:val="en-US" w:eastAsia="zh-CN"/>
        </w:rPr>
        <w:t>开展6次林长制考核，</w:t>
      </w:r>
      <w:r>
        <w:rPr>
          <w:rFonts w:hint="eastAsia" w:ascii="仿宋" w:hAnsi="仿宋" w:eastAsia="仿宋" w:cs="仿宋"/>
          <w:i w:val="0"/>
          <w:caps w:val="0"/>
          <w:color w:val="auto"/>
          <w:spacing w:val="0"/>
          <w:sz w:val="32"/>
          <w:szCs w:val="32"/>
          <w:shd w:val="clear" w:color="auto" w:fill="FFFFFF"/>
          <w:lang w:val="en-US" w:eastAsia="zh-CN"/>
        </w:rPr>
        <w:t>促进全区</w:t>
      </w:r>
      <w:r>
        <w:rPr>
          <w:rFonts w:hint="eastAsia" w:ascii="仿宋" w:hAnsi="仿宋" w:eastAsia="仿宋" w:cs="仿宋"/>
          <w:sz w:val="32"/>
          <w:szCs w:val="32"/>
        </w:rPr>
        <w:t>林长制</w:t>
      </w:r>
      <w:r>
        <w:rPr>
          <w:rFonts w:hint="eastAsia" w:ascii="仿宋" w:hAnsi="仿宋" w:eastAsia="仿宋" w:cs="仿宋"/>
          <w:sz w:val="32"/>
          <w:szCs w:val="32"/>
          <w:lang w:val="en-US" w:eastAsia="zh-CN"/>
        </w:rPr>
        <w:t>工作的</w:t>
      </w:r>
      <w:r>
        <w:rPr>
          <w:rFonts w:hint="eastAsia" w:ascii="仿宋" w:hAnsi="仿宋" w:eastAsia="仿宋" w:cs="仿宋"/>
          <w:sz w:val="32"/>
          <w:szCs w:val="32"/>
        </w:rPr>
        <w:t>制度化、规范化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加强护林员队伍建设,与</w:t>
      </w:r>
      <w:r>
        <w:rPr>
          <w:rFonts w:hint="eastAsia" w:ascii="仿宋" w:hAnsi="仿宋" w:eastAsia="仿宋" w:cs="仿宋"/>
          <w:b w:val="0"/>
          <w:bCs w:val="0"/>
          <w:sz w:val="32"/>
          <w:szCs w:val="32"/>
          <w:lang w:val="en-US" w:eastAsia="zh-CN"/>
        </w:rPr>
        <w:t>区人民检察院</w:t>
      </w:r>
      <w:r>
        <w:rPr>
          <w:rFonts w:hint="eastAsia" w:ascii="仿宋" w:hAnsi="仿宋" w:eastAsia="仿宋" w:cs="仿宋"/>
          <w:sz w:val="32"/>
          <w:szCs w:val="32"/>
          <w:lang w:val="en-US" w:eastAsia="zh-CN"/>
        </w:rPr>
        <w:t>联合印发《关于建立“林长+检察长”协作机制的实施方案》，</w:t>
      </w:r>
      <w:r>
        <w:rPr>
          <w:rFonts w:hint="eastAsia" w:ascii="仿宋" w:hAnsi="仿宋" w:eastAsia="仿宋" w:cs="仿宋"/>
          <w:color w:val="auto"/>
          <w:kern w:val="0"/>
          <w:sz w:val="32"/>
          <w:szCs w:val="32"/>
          <w:lang w:val="en-US" w:eastAsia="zh-CN" w:bidi="ar-SA"/>
        </w:rPr>
        <w:t>严厉打击和惩治破坏野生动植物资源违法犯罪行为，切实维护生物安全、生态安全，遏制野生动植物非法交易。</w:t>
      </w:r>
      <w:r>
        <w:rPr>
          <w:rFonts w:hint="eastAsia" w:ascii="仿宋" w:hAnsi="仿宋" w:eastAsia="仿宋" w:cs="仿宋"/>
          <w:sz w:val="32"/>
          <w:szCs w:val="32"/>
          <w:lang w:val="en-US" w:eastAsia="zh-CN"/>
        </w:rPr>
        <w:t>11位区级林长、66位街级林长、103位村级林长开展巡林工作1695次，督导林长制重点工作落实。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left"/>
        <w:textAlignment w:val="auto"/>
        <w:rPr>
          <w:rFonts w:hint="eastAsia" w:ascii="仿宋" w:hAnsi="仿宋" w:eastAsia="仿宋" w:cs="仿宋"/>
          <w:b/>
          <w:bCs w:val="0"/>
          <w:color w:val="auto"/>
          <w:sz w:val="32"/>
          <w:szCs w:val="32"/>
          <w:highlight w:val="none"/>
          <w:lang w:val="en-US" w:eastAsia="zh-CN"/>
        </w:rPr>
      </w:pPr>
      <w:r>
        <w:rPr>
          <w:rFonts w:hint="eastAsia" w:ascii="仿宋" w:hAnsi="仿宋" w:eastAsia="仿宋" w:cs="仿宋"/>
          <w:sz w:val="32"/>
          <w:szCs w:val="32"/>
          <w:lang w:val="en-US" w:eastAsia="zh-CN"/>
        </w:rPr>
        <w:t>印发</w:t>
      </w:r>
      <w:r>
        <w:rPr>
          <w:rFonts w:hint="eastAsia" w:ascii="仿宋" w:hAnsi="仿宋" w:cs="仿宋"/>
          <w:sz w:val="32"/>
          <w:szCs w:val="32"/>
          <w:lang w:val="en-US" w:eastAsia="zh-CN"/>
        </w:rPr>
        <w:t>森林</w:t>
      </w:r>
      <w:r>
        <w:rPr>
          <w:rFonts w:hint="eastAsia" w:ascii="仿宋" w:hAnsi="仿宋" w:eastAsia="仿宋" w:cs="仿宋"/>
          <w:sz w:val="32"/>
          <w:szCs w:val="32"/>
          <w:lang w:val="en-US" w:eastAsia="zh-CN"/>
        </w:rPr>
        <w:t>防火知识宣传手册</w:t>
      </w:r>
      <w:r>
        <w:rPr>
          <w:rFonts w:hint="eastAsia" w:ascii="仿宋" w:hAnsi="仿宋" w:eastAsia="仿宋" w:cs="仿宋"/>
          <w:sz w:val="32"/>
          <w:szCs w:val="32"/>
          <w:u w:val="none"/>
          <w:lang w:val="en-US" w:eastAsia="zh-CN"/>
        </w:rPr>
        <w:t>1</w:t>
      </w:r>
      <w:r>
        <w:rPr>
          <w:rFonts w:hint="eastAsia" w:ascii="仿宋" w:hAnsi="仿宋" w:eastAsia="仿宋" w:cs="仿宋"/>
          <w:sz w:val="32"/>
          <w:szCs w:val="32"/>
          <w:lang w:val="en-US" w:eastAsia="zh-CN"/>
        </w:rPr>
        <w:t>万余份，防火教育警示案</w:t>
      </w:r>
      <w:r>
        <w:rPr>
          <w:rFonts w:hint="eastAsia" w:ascii="仿宋" w:hAnsi="仿宋" w:eastAsia="仿宋" w:cs="仿宋"/>
          <w:sz w:val="32"/>
          <w:szCs w:val="32"/>
          <w:u w:val="none"/>
          <w:lang w:val="en-US" w:eastAsia="zh-CN"/>
        </w:rPr>
        <w:t>例300余张、在森林主要入口处设置防火宣传杆21个，开展专业培训4次，应急演练1次。强化护林员管理，日均巡护时长4小时，日巡查近2公里/人，共发现毁林堆土2起，制止携带火种上山36起，现场制止烧荒8起，制止乱砍滥伐2起。完成黄龙山森林防火通道建设，积极推动森林防灭火规划编制及豹澥街道长岭山森林防火通道建设、龙泉山森林防火阻隔系统建设</w:t>
      </w:r>
      <w:r>
        <w:rPr>
          <w:rFonts w:hint="eastAsia" w:ascii="仿宋" w:hAnsi="仿宋" w:eastAsia="仿宋" w:cs="仿宋"/>
          <w:sz w:val="32"/>
          <w:szCs w:val="32"/>
          <w:lang w:val="en-US" w:eastAsia="zh-CN"/>
        </w:rPr>
        <w:t>。国家森林督查一、二、三期图斑上传至森林督查暨林政执法综合管理系统。松材线虫病防治工作取得良好成效，病枯死松树持续下降，松材线虫病疫木清理、打孔注药、化学防治、投放花绒寄甲工作均已完成，诱捕器检测开展9次、动态样地检测9次、涉木企业检疫调查9次</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全面落实野生动植物保护工作，截至目前共救助野生动物43只，开展救助野生动物放生活动2次。</w:t>
      </w:r>
      <w:r>
        <w:rPr>
          <w:rFonts w:hint="eastAsia" w:ascii="仿宋" w:hAnsi="仿宋" w:eastAsia="仿宋" w:cs="仿宋"/>
          <w:kern w:val="2"/>
          <w:sz w:val="32"/>
          <w:szCs w:val="32"/>
          <w:lang w:val="en-US" w:eastAsia="zh-CN" w:bidi="ar-SA"/>
        </w:rPr>
        <w:t>认真落实省、市关于湿地保护的部署，开展</w:t>
      </w:r>
      <w:r>
        <w:rPr>
          <w:rFonts w:hint="eastAsia" w:ascii="仿宋" w:hAnsi="仿宋" w:eastAsia="仿宋" w:cs="仿宋"/>
          <w:sz w:val="32"/>
          <w:szCs w:val="32"/>
        </w:rPr>
        <w:t>青头潜鸭摄影展、湿地研学、普法送法、爱鸟护鸟等</w:t>
      </w:r>
      <w:r>
        <w:rPr>
          <w:rFonts w:hint="eastAsia" w:ascii="仿宋" w:hAnsi="仿宋" w:eastAsia="仿宋" w:cs="仿宋"/>
          <w:sz w:val="32"/>
          <w:szCs w:val="32"/>
          <w:lang w:val="en-US" w:eastAsia="zh-CN"/>
        </w:rPr>
        <w:t>湿地保护</w:t>
      </w:r>
      <w:r>
        <w:rPr>
          <w:rFonts w:hint="eastAsia" w:ascii="仿宋" w:hAnsi="仿宋" w:eastAsia="仿宋" w:cs="仿宋"/>
          <w:sz w:val="32"/>
          <w:szCs w:val="32"/>
        </w:rPr>
        <w:t>活动</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完成湿地面积落地上图工作，定期开展湿地资源监测。</w:t>
      </w:r>
      <w:r>
        <w:rPr>
          <w:rFonts w:hint="eastAsia" w:ascii="仿宋" w:hAnsi="仿宋" w:eastAsia="仿宋" w:cs="仿宋"/>
          <w:sz w:val="32"/>
          <w:szCs w:val="32"/>
          <w:lang w:eastAsia="zh-CN"/>
        </w:rPr>
        <w:t>完成</w:t>
      </w:r>
      <w:r>
        <w:rPr>
          <w:rFonts w:hint="eastAsia" w:ascii="仿宋" w:hAnsi="仿宋" w:eastAsia="仿宋" w:cs="仿宋"/>
          <w:sz w:val="32"/>
          <w:szCs w:val="32"/>
        </w:rPr>
        <w:t>1处小微湿地修复项目。</w:t>
      </w:r>
      <w:r>
        <w:rPr>
          <w:rFonts w:hint="eastAsia" w:ascii="仿宋" w:hAnsi="仿宋" w:eastAsia="仿宋" w:cs="仿宋"/>
          <w:sz w:val="32"/>
          <w:szCs w:val="32"/>
          <w:lang w:val="en-US" w:eastAsia="zh-CN"/>
        </w:rPr>
        <w:t>申报2家林业产业省级龙头企业和申请重新认定林业产业省级龙头企业1家。四环线环城林带造林项目初步设计方案已完成，土地已基本平整，预计2023年底前完成植树造林工作。</w:t>
      </w:r>
      <w:r>
        <w:rPr>
          <w:rFonts w:hint="eastAsia" w:ascii="仿宋" w:hAnsi="仿宋" w:eastAsia="仿宋" w:cs="仿宋"/>
          <w:sz w:val="32"/>
          <w:szCs w:val="32"/>
        </w:rPr>
        <w:t>现有28座破损山体，破损面积1912亩，按照“一山一策”要求，</w:t>
      </w:r>
      <w:r>
        <w:rPr>
          <w:rFonts w:hint="eastAsia" w:ascii="仿宋" w:hAnsi="仿宋" w:eastAsia="仿宋" w:cs="仿宋"/>
          <w:sz w:val="32"/>
          <w:szCs w:val="32"/>
          <w:lang w:eastAsia="zh-CN"/>
        </w:rPr>
        <w:t>完成</w:t>
      </w:r>
      <w:r>
        <w:rPr>
          <w:rFonts w:hint="eastAsia" w:ascii="仿宋" w:hAnsi="仿宋" w:eastAsia="仿宋" w:cs="仿宋"/>
          <w:sz w:val="32"/>
          <w:szCs w:val="32"/>
        </w:rPr>
        <w:t>修复方案编制。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jc w:val="both"/>
        <w:textAlignment w:val="auto"/>
        <w:rPr>
          <w:rFonts w:hint="eastAsia" w:ascii="楷体" w:hAnsi="楷体" w:eastAsia="楷体" w:cs="楷体"/>
          <w:b/>
          <w:bCs w:val="0"/>
          <w:color w:val="auto"/>
          <w:sz w:val="32"/>
          <w:szCs w:val="32"/>
          <w:highlight w:val="none"/>
          <w:lang w:val="en-US" w:eastAsia="zh-CN"/>
        </w:rPr>
      </w:pPr>
      <w:r>
        <w:rPr>
          <w:rFonts w:hint="eastAsia" w:ascii="楷体" w:hAnsi="楷体" w:eastAsia="楷体" w:cs="楷体"/>
          <w:b/>
          <w:bCs w:val="0"/>
          <w:color w:val="auto"/>
          <w:sz w:val="32"/>
          <w:szCs w:val="32"/>
          <w:highlight w:val="none"/>
          <w:lang w:val="en-US" w:eastAsia="zh-CN"/>
        </w:rPr>
        <w:t>（三）做实党的建设根本，干部队伍作风建设进一步加强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702" w:firstLineChars="200"/>
        <w:jc w:val="both"/>
        <w:textAlignment w:val="auto"/>
        <w:rPr>
          <w:rFonts w:hint="eastAsia" w:ascii="楷体" w:hAnsi="楷体" w:eastAsia="楷体" w:cs="楷体"/>
          <w:b/>
          <w:bCs/>
          <w:i w:val="0"/>
          <w:iCs w:val="0"/>
          <w:caps w:val="0"/>
          <w:color w:val="000000"/>
          <w:spacing w:val="15"/>
          <w:sz w:val="32"/>
          <w:szCs w:val="32"/>
          <w:shd w:val="clear" w:color="auto" w:fill="FFFFFF"/>
          <w:lang w:val="en-US" w:eastAsia="zh-CN"/>
        </w:rPr>
      </w:pPr>
      <w:r>
        <w:rPr>
          <w:rFonts w:hint="eastAsia" w:ascii="楷体" w:hAnsi="楷体" w:eastAsia="楷体" w:cs="楷体"/>
          <w:b/>
          <w:bCs/>
          <w:i w:val="0"/>
          <w:iCs w:val="0"/>
          <w:caps w:val="0"/>
          <w:color w:val="000000"/>
          <w:spacing w:val="15"/>
          <w:sz w:val="32"/>
          <w:szCs w:val="32"/>
          <w:shd w:val="clear" w:color="auto" w:fill="FFFFFF"/>
          <w:lang w:val="en-US" w:eastAsia="zh-CN"/>
        </w:rPr>
        <w:t>1、扎实开展主题教育，队伍建设展现新风貌。</w:t>
      </w:r>
    </w:p>
    <w:p>
      <w:pPr>
        <w:keepNext w:val="0"/>
        <w:keepLines w:val="0"/>
        <w:pageBreakBefore w:val="0"/>
        <w:widowControl w:val="0"/>
        <w:numPr>
          <w:ilvl w:val="0"/>
          <w:numId w:val="0"/>
        </w:numPr>
        <w:kinsoku/>
        <w:wordWrap/>
        <w:overflowPunct/>
        <w:topLinePunct w:val="0"/>
        <w:autoSpaceDE/>
        <w:autoSpaceDN/>
        <w:bidi w:val="0"/>
        <w:spacing w:line="580" w:lineRule="exact"/>
        <w:ind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Times New Roman" w:hAnsi="Times New Roman" w:eastAsia="仿宋_GB2312" w:cs="Times New Roman"/>
          <w:color w:val="000000"/>
          <w:sz w:val="32"/>
          <w:szCs w:val="32"/>
          <w:lang w:val="en-US" w:eastAsia="zh-CN"/>
        </w:rPr>
        <w:t>坚决落实高新区党工委部署，以提升高新区城市精细化管理水平为主线，以高新区城市环境品质提升成果检验主题教育的成效，扎实开展主题教育。</w:t>
      </w:r>
      <w:r>
        <w:rPr>
          <w:rFonts w:hint="eastAsia" w:ascii="仿宋" w:hAnsi="仿宋" w:eastAsia="仿宋" w:cs="仿宋"/>
          <w:sz w:val="32"/>
          <w:szCs w:val="32"/>
          <w:lang w:val="en-US" w:eastAsia="zh-CN"/>
        </w:rPr>
        <w:t>在全市城管执法队伍练兵比武模拟执法办案和队列会操比武活动中，分别荣获两个二等奖，展现了良好的精神风貌和过硬的专业素养。</w:t>
      </w:r>
      <w:r>
        <w:rPr>
          <w:rFonts w:hint="eastAsia" w:ascii="仿宋" w:hAnsi="仿宋" w:eastAsia="仿宋" w:cs="仿宋"/>
          <w:kern w:val="2"/>
          <w:sz w:val="32"/>
          <w:szCs w:val="32"/>
          <w:lang w:val="en-US" w:eastAsia="zh-CN" w:bidi="ar-SA"/>
        </w:rPr>
        <w:t>精心策划了一批重点报道</w:t>
      </w:r>
      <w:r>
        <w:rPr>
          <w:rFonts w:hint="eastAsia" w:ascii="仿宋" w:hAnsi="仿宋" w:eastAsia="仿宋" w:cs="仿宋"/>
          <w:sz w:val="32"/>
          <w:szCs w:val="32"/>
          <w:lang w:val="en-US" w:eastAsia="zh-CN"/>
        </w:rPr>
        <w:t>，取得了良好的社会效果</w:t>
      </w:r>
      <w:r>
        <w:rPr>
          <w:rFonts w:hint="eastAsia" w:ascii="仿宋" w:hAnsi="仿宋" w:eastAsia="仿宋" w:cs="仿宋"/>
          <w:kern w:val="2"/>
          <w:sz w:val="32"/>
          <w:szCs w:val="32"/>
          <w:lang w:val="en-US" w:eastAsia="zh-CN" w:bidi="ar-SA"/>
        </w:rPr>
        <w:t>。在各类媒体发布外稿430篇，其中《城管革命》报整版报道6次，《楚天都市报》整版报道2次。自有媒体渠道中发布抖音36条，微信公众号37篇，被武汉城管转载16篇，其中1篇公号省住建厅大城管微信号转载。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702" w:firstLineChars="200"/>
        <w:jc w:val="both"/>
        <w:textAlignment w:val="auto"/>
        <w:rPr>
          <w:rFonts w:hint="eastAsia" w:ascii="楷体" w:hAnsi="楷体" w:eastAsia="楷体" w:cs="楷体"/>
          <w:b/>
          <w:bCs/>
          <w:i w:val="0"/>
          <w:iCs w:val="0"/>
          <w:caps w:val="0"/>
          <w:color w:val="000000"/>
          <w:spacing w:val="15"/>
          <w:sz w:val="32"/>
          <w:szCs w:val="32"/>
          <w:shd w:val="clear" w:color="auto" w:fill="FFFFFF"/>
          <w:lang w:val="en-US" w:eastAsia="zh-CN"/>
        </w:rPr>
      </w:pPr>
      <w:r>
        <w:rPr>
          <w:rFonts w:hint="eastAsia" w:ascii="楷体" w:hAnsi="楷体" w:eastAsia="楷体" w:cs="楷体"/>
          <w:b/>
          <w:bCs/>
          <w:i w:val="0"/>
          <w:iCs w:val="0"/>
          <w:caps w:val="0"/>
          <w:color w:val="000000"/>
          <w:spacing w:val="15"/>
          <w:sz w:val="32"/>
          <w:szCs w:val="32"/>
          <w:shd w:val="clear" w:color="auto" w:fill="FFFFFF"/>
          <w:lang w:val="en-US" w:eastAsia="zh-CN"/>
        </w:rPr>
        <w:t>2、压实主体责任，全面从严治党向纵深发展。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rPr>
      </w:pPr>
      <w:r>
        <w:rPr>
          <w:rFonts w:hint="eastAsia" w:ascii="仿宋" w:hAnsi="仿宋" w:eastAsia="仿宋" w:cs="仿宋"/>
          <w:sz w:val="32"/>
          <w:szCs w:val="32"/>
          <w:lang w:val="en-US" w:eastAsia="zh-CN"/>
        </w:rPr>
        <w:t>制定下发《城管局2023年度纪检监察工作计划》和《城管局党委落实党风廉政建设“两个责任”任务清单》。扎实开展违规吃喝专项整治，共开展监督检查10余次。深入开展不担当、不作为专项治理突出问题</w:t>
      </w:r>
      <w:r>
        <w:rPr>
          <w:rFonts w:hint="eastAsia" w:ascii="仿宋" w:hAnsi="仿宋" w:eastAsia="仿宋" w:cs="仿宋"/>
          <w:sz w:val="32"/>
          <w:szCs w:val="32"/>
          <w:lang w:eastAsia="zh-CN"/>
        </w:rPr>
        <w:t>和党风廉政监督检查，共发现解决问题</w:t>
      </w:r>
      <w:r>
        <w:rPr>
          <w:rFonts w:hint="eastAsia" w:ascii="仿宋" w:hAnsi="仿宋" w:eastAsia="仿宋" w:cs="仿宋"/>
          <w:sz w:val="32"/>
          <w:szCs w:val="32"/>
          <w:lang w:val="en-US" w:eastAsia="zh-CN"/>
        </w:rPr>
        <w:t>1个。扎实开展党风廉政宣教月活动，</w:t>
      </w:r>
      <w:r>
        <w:rPr>
          <w:rFonts w:hint="eastAsia" w:ascii="仿宋" w:hAnsi="仿宋" w:eastAsia="仿宋" w:cs="仿宋"/>
          <w:sz w:val="32"/>
          <w:szCs w:val="32"/>
          <w:lang w:eastAsia="zh-CN"/>
        </w:rPr>
        <w:t>组织开展清廉城管微党课、清廉城管大家谈活动</w:t>
      </w:r>
      <w:r>
        <w:rPr>
          <w:rFonts w:hint="eastAsia" w:ascii="仿宋" w:hAnsi="仿宋" w:eastAsia="仿宋" w:cs="仿宋"/>
          <w:sz w:val="32"/>
          <w:szCs w:val="32"/>
          <w:lang w:val="en-US" w:eastAsia="zh-CN"/>
        </w:rPr>
        <w:t>，局主要负责人带头讲廉政党课1次，各支部书讲廉政党课2次。组织党员干部赴廉政教育基地接受警示教育1次，传达上级典型案例通报10余次</w:t>
      </w:r>
      <w:r>
        <w:rPr>
          <w:rFonts w:hint="eastAsia" w:ascii="仿宋" w:hAnsi="仿宋" w:eastAsia="仿宋" w:cs="仿宋"/>
          <w:color w:val="auto"/>
          <w:sz w:val="32"/>
          <w:szCs w:val="32"/>
          <w:lang w:val="en-US" w:eastAsia="zh-CN"/>
        </w:rPr>
        <w:t>。</w:t>
      </w:r>
      <w:r>
        <w:rPr>
          <w:rFonts w:hint="eastAsia" w:ascii="仿宋" w:hAnsi="仿宋" w:eastAsia="仿宋" w:cs="仿宋"/>
          <w:sz w:val="32"/>
          <w:szCs w:val="32"/>
          <w:lang w:eastAsia="zh-CN"/>
        </w:rPr>
        <w:t>充分利用</w:t>
      </w:r>
      <w:r>
        <w:rPr>
          <w:rFonts w:hint="eastAsia" w:ascii="仿宋" w:hAnsi="仿宋" w:eastAsia="仿宋" w:cs="仿宋"/>
          <w:sz w:val="32"/>
          <w:szCs w:val="32"/>
        </w:rPr>
        <w:t>“第一种形态”，抓早抓小抓苗头</w:t>
      </w:r>
      <w:r>
        <w:rPr>
          <w:rFonts w:hint="eastAsia" w:ascii="仿宋" w:hAnsi="仿宋" w:eastAsia="仿宋" w:cs="仿宋"/>
          <w:sz w:val="32"/>
          <w:szCs w:val="32"/>
          <w:lang w:eastAsia="zh-CN"/>
        </w:rPr>
        <w:t>，</w:t>
      </w:r>
      <w:r>
        <w:rPr>
          <w:rFonts w:hint="eastAsia" w:ascii="仿宋" w:hAnsi="仿宋" w:eastAsia="仿宋" w:cs="仿宋"/>
          <w:color w:val="auto"/>
          <w:kern w:val="0"/>
          <w:sz w:val="32"/>
          <w:szCs w:val="32"/>
          <w:lang w:val="en-US" w:eastAsia="zh-CN" w:bidi="ar-SA"/>
        </w:rPr>
        <w:t>累计提醒谈话10人次，对新任骨干开展任前谈话36人次。结合</w:t>
      </w:r>
      <w:r>
        <w:rPr>
          <w:rFonts w:hint="eastAsia" w:ascii="仿宋" w:hAnsi="仿宋" w:eastAsia="仿宋" w:cs="仿宋"/>
          <w:kern w:val="2"/>
          <w:sz w:val="32"/>
          <w:szCs w:val="32"/>
          <w:lang w:val="en-US" w:eastAsia="zh-CN" w:bidi="ar-SA"/>
        </w:rPr>
        <w:t>全区评议“三优满意单位”“三差不满意单位”活动，紧盯群众不满意评价中暴露的作风问题，共</w:t>
      </w:r>
      <w:r>
        <w:rPr>
          <w:rFonts w:hint="eastAsia" w:ascii="仿宋" w:hAnsi="仿宋" w:eastAsia="仿宋" w:cs="仿宋"/>
          <w:sz w:val="32"/>
          <w:szCs w:val="32"/>
          <w:lang w:val="en-US" w:eastAsia="zh-CN"/>
        </w:rPr>
        <w:t>问责1人，推动解决问题1个。完成上级纪检部门督办、转办问题15件。</w:t>
      </w:r>
      <w:r>
        <w:rPr>
          <w:rFonts w:hint="eastAsia" w:ascii="仿宋" w:hAnsi="仿宋" w:eastAsia="仿宋" w:cs="仿宋"/>
          <w:kern w:val="2"/>
          <w:sz w:val="32"/>
          <w:szCs w:val="32"/>
          <w:lang w:val="en-US" w:eastAsia="zh-CN" w:bidi="ar-SA"/>
        </w:rPr>
        <w:t>开展下沉式、嵌入式跟班执法监督</w:t>
      </w:r>
      <w:r>
        <w:rPr>
          <w:rFonts w:hint="eastAsia" w:ascii="仿宋" w:hAnsi="仿宋" w:eastAsia="仿宋" w:cs="仿宋"/>
          <w:sz w:val="32"/>
          <w:szCs w:val="32"/>
          <w:lang w:val="en-US" w:eastAsia="zh-CN"/>
        </w:rPr>
        <w:t>5</w:t>
      </w:r>
      <w:r>
        <w:rPr>
          <w:rFonts w:hint="eastAsia" w:ascii="仿宋" w:hAnsi="仿宋" w:eastAsia="仿宋" w:cs="仿宋"/>
          <w:kern w:val="2"/>
          <w:sz w:val="32"/>
          <w:szCs w:val="32"/>
          <w:lang w:val="en-US" w:eastAsia="zh-CN" w:bidi="ar-SA"/>
        </w:rPr>
        <w:t>次，确保执法权力规范运行。</w:t>
      </w:r>
    </w:p>
    <w:p>
      <w:pPr>
        <w:pStyle w:val="8"/>
        <w:keepNext w:val="0"/>
        <w:keepLines w:val="0"/>
        <w:pageBreakBefore w:val="0"/>
        <w:widowControl w:val="0"/>
        <w:kinsoku/>
        <w:wordWrap/>
        <w:overflowPunct/>
        <w:topLinePunct w:val="0"/>
        <w:autoSpaceDE/>
        <w:autoSpaceDN/>
        <w:bidi w:val="0"/>
        <w:spacing w:before="0" w:after="0" w:line="580" w:lineRule="exact"/>
        <w:ind w:leftChars="0" w:firstLine="640" w:firstLineChars="200"/>
        <w:textAlignment w:val="auto"/>
        <w:rPr>
          <w:rFonts w:hint="eastAsia" w:ascii="黑体" w:hAnsi="黑体" w:eastAsia="黑体" w:cs="黑体"/>
          <w:spacing w:val="-11"/>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pacing w:val="-11"/>
          <w:sz w:val="32"/>
          <w:szCs w:val="32"/>
          <w:lang w:eastAsia="zh-CN"/>
        </w:rPr>
        <w:t>二〇二四年工作思路</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 w:hAnsi="仿宋" w:eastAsia="仿宋" w:cs="仿宋"/>
          <w:snapToGrid w:val="0"/>
          <w:kern w:val="0"/>
          <w:sz w:val="32"/>
          <w:szCs w:val="32"/>
          <w:lang w:val="en-US" w:eastAsia="zh-CN"/>
        </w:rPr>
      </w:pPr>
      <w:r>
        <w:rPr>
          <w:rFonts w:hint="eastAsia" w:ascii="仿宋" w:hAnsi="仿宋" w:eastAsia="仿宋" w:cs="仿宋"/>
          <w:snapToGrid w:val="0"/>
          <w:kern w:val="0"/>
          <w:sz w:val="32"/>
          <w:szCs w:val="32"/>
          <w:lang w:val="en-US" w:eastAsia="zh-CN"/>
        </w:rPr>
        <w:t>今年初，省委省政府决策部署以武鄂黄黄为核心的武汉都市圈，全面拉开了武汉新城规划建设的序幕。2024年，我们要以强烈的政治敏感性，切实把思想和行动统一到高新区党工委管委会的部署要求上来，强化以武汉新城引领“世界光谷”建设的思想共识，以新理念、新思想、新举措推动高新区城市管理工作再上新台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702" w:firstLineChars="200"/>
        <w:jc w:val="both"/>
        <w:textAlignment w:val="auto"/>
        <w:rPr>
          <w:rFonts w:hint="eastAsia" w:ascii="楷体" w:hAnsi="楷体" w:eastAsia="楷体" w:cs="楷体"/>
          <w:b/>
          <w:bCs/>
          <w:i w:val="0"/>
          <w:iCs w:val="0"/>
          <w:caps w:val="0"/>
          <w:color w:val="000000"/>
          <w:spacing w:val="15"/>
          <w:sz w:val="32"/>
          <w:szCs w:val="32"/>
          <w:shd w:val="clear" w:color="auto" w:fill="FFFFFF"/>
          <w:lang w:val="en-US" w:eastAsia="zh-CN"/>
        </w:rPr>
      </w:pPr>
      <w:r>
        <w:rPr>
          <w:rFonts w:hint="eastAsia" w:ascii="楷体" w:hAnsi="楷体" w:eastAsia="楷体" w:cs="楷体"/>
          <w:b/>
          <w:bCs/>
          <w:i w:val="0"/>
          <w:iCs w:val="0"/>
          <w:caps w:val="0"/>
          <w:color w:val="000000"/>
          <w:spacing w:val="15"/>
          <w:sz w:val="32"/>
          <w:szCs w:val="32"/>
          <w:shd w:val="clear" w:color="auto" w:fill="FFFFFF"/>
          <w:lang w:val="en-US" w:eastAsia="zh-CN"/>
        </w:rPr>
        <w:t>（一）持续抓好精致环卫，让城市环境更干净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 w:hAnsi="仿宋" w:eastAsia="仿宋" w:cs="仿宋"/>
          <w:snapToGrid w:val="0"/>
          <w:kern w:val="0"/>
          <w:sz w:val="32"/>
          <w:szCs w:val="32"/>
          <w:lang w:val="en-US" w:eastAsia="zh-CN"/>
        </w:rPr>
      </w:pPr>
      <w:r>
        <w:rPr>
          <w:rFonts w:hint="eastAsia" w:ascii="仿宋" w:hAnsi="仿宋" w:eastAsia="仿宋" w:cs="仿宋"/>
          <w:snapToGrid w:val="0"/>
          <w:kern w:val="0"/>
          <w:sz w:val="32"/>
          <w:szCs w:val="32"/>
          <w:lang w:val="en-US" w:eastAsia="zh-CN" w:bidi="ar-SA"/>
        </w:rPr>
        <w:t>优化环卫作业标段划分，坚持开展“十佳十差”道路评比，建立完善不良企业的淘汰机制，激发环卫企业的服务热情。全面推进智慧环卫平台建设，切实加强环卫作业车辆、人员的实时管控，切实解决违规作业等问题，全面提升环卫作业质量，力争达到街净巷洁、路见本色的光谷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702" w:firstLineChars="200"/>
        <w:jc w:val="both"/>
        <w:textAlignment w:val="auto"/>
        <w:rPr>
          <w:rFonts w:hint="eastAsia" w:ascii="楷体" w:hAnsi="楷体" w:eastAsia="楷体" w:cs="楷体"/>
          <w:b/>
          <w:bCs/>
          <w:i w:val="0"/>
          <w:iCs w:val="0"/>
          <w:caps w:val="0"/>
          <w:color w:val="000000"/>
          <w:spacing w:val="15"/>
          <w:sz w:val="32"/>
          <w:szCs w:val="32"/>
          <w:shd w:val="clear" w:color="auto" w:fill="FFFFFF"/>
          <w:lang w:val="en-US" w:eastAsia="zh-CN"/>
        </w:rPr>
      </w:pPr>
      <w:r>
        <w:rPr>
          <w:rFonts w:hint="eastAsia" w:ascii="楷体" w:hAnsi="楷体" w:eastAsia="楷体" w:cs="楷体"/>
          <w:b/>
          <w:bCs/>
          <w:i w:val="0"/>
          <w:iCs w:val="0"/>
          <w:caps w:val="0"/>
          <w:color w:val="000000"/>
          <w:spacing w:val="15"/>
          <w:sz w:val="32"/>
          <w:szCs w:val="32"/>
          <w:shd w:val="clear" w:color="auto" w:fill="FFFFFF"/>
          <w:lang w:val="en-US" w:eastAsia="zh-CN"/>
        </w:rPr>
        <w:t>（二）持续抓好精细管养，让城市颜值更漂亮。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优化园林绿化商业养护项目标段的划分，坚持开展“十优十差”评先活动，严格实施考核惩处机制。按照人行道建设维护提档升级工作的要求，实施人行道维修提档升级，切实提升人行道铺装美感和品质。认真做好景观亮化设施巡查维护，精心组织重要节日、重要路段国旗、灯笼悬挂，努力营造灯明景靓的城市氛围。推进建设口袋公园、街角小景、花田花海、文化街区，力争达到目光所见，皆是风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702" w:firstLineChars="200"/>
        <w:jc w:val="both"/>
        <w:textAlignment w:val="auto"/>
        <w:rPr>
          <w:rFonts w:hint="eastAsia" w:ascii="楷体" w:hAnsi="楷体" w:eastAsia="楷体" w:cs="楷体"/>
          <w:b/>
          <w:bCs/>
          <w:i w:val="0"/>
          <w:iCs w:val="0"/>
          <w:caps w:val="0"/>
          <w:color w:val="000000"/>
          <w:spacing w:val="15"/>
          <w:sz w:val="32"/>
          <w:szCs w:val="32"/>
          <w:shd w:val="clear" w:color="auto" w:fill="FFFFFF"/>
          <w:lang w:val="en-US" w:eastAsia="zh-CN"/>
        </w:rPr>
      </w:pPr>
      <w:r>
        <w:rPr>
          <w:rFonts w:hint="eastAsia" w:ascii="楷体" w:hAnsi="楷体" w:eastAsia="楷体" w:cs="楷体"/>
          <w:b/>
          <w:bCs/>
          <w:i w:val="0"/>
          <w:iCs w:val="0"/>
          <w:caps w:val="0"/>
          <w:color w:val="000000"/>
          <w:spacing w:val="15"/>
          <w:sz w:val="32"/>
          <w:szCs w:val="32"/>
          <w:shd w:val="clear" w:color="auto" w:fill="FFFFFF"/>
          <w:lang w:val="en-US" w:eastAsia="zh-CN"/>
        </w:rPr>
        <w:t>（三）持续抓好隐患整治，让城市运行更安全。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面推进燃气安全报警器安装，严厉打击非法“黑气”窝点，从严处罚违规挖掘损毁燃气设施行为，广泛宣传安全用气常识，努力增大燃气安全底数。严格落实桥隧日常巡查、定期检测、应急维修管养等各项制度，充分发挥智慧桥隧系统监测预警作用，加强桥隧应急演练，加大桥梁保护区整治和桥隧治超执法力度，确保“桥固气安”</w:t>
      </w:r>
      <w:r>
        <w:rPr>
          <w:rFonts w:hint="eastAsia" w:ascii="仿宋" w:hAnsi="仿宋" w:eastAsia="仿宋" w:cs="仿宋"/>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702" w:firstLineChars="200"/>
        <w:jc w:val="both"/>
        <w:textAlignment w:val="auto"/>
        <w:rPr>
          <w:rFonts w:hint="eastAsia" w:ascii="楷体" w:hAnsi="楷体" w:eastAsia="楷体" w:cs="楷体"/>
          <w:b/>
          <w:bCs/>
          <w:i w:val="0"/>
          <w:iCs w:val="0"/>
          <w:caps w:val="0"/>
          <w:color w:val="000000"/>
          <w:spacing w:val="15"/>
          <w:sz w:val="32"/>
          <w:szCs w:val="32"/>
          <w:shd w:val="clear" w:color="auto" w:fill="FFFFFF"/>
          <w:lang w:val="en-US" w:eastAsia="zh-CN"/>
        </w:rPr>
      </w:pPr>
      <w:r>
        <w:rPr>
          <w:rFonts w:hint="eastAsia" w:ascii="楷体" w:hAnsi="楷体" w:eastAsia="楷体" w:cs="楷体"/>
          <w:b/>
          <w:bCs/>
          <w:i w:val="0"/>
          <w:iCs w:val="0"/>
          <w:caps w:val="0"/>
          <w:color w:val="000000"/>
          <w:spacing w:val="15"/>
          <w:sz w:val="32"/>
          <w:szCs w:val="32"/>
          <w:shd w:val="clear" w:color="auto" w:fill="FFFFFF"/>
          <w:lang w:val="en-US" w:eastAsia="zh-CN"/>
        </w:rPr>
        <w:t>（四）持续抓好民生痛点，让人民群众更满意。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聚焦城市痛点难点，下大力解决群众投诉较多的违法占道、噪音扰民、违法建设、渣土扬尘、垃圾异味、共享单车无序停放等问题，着力提升市民群众的幸福感和满意度。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702" w:firstLineChars="200"/>
        <w:jc w:val="both"/>
        <w:textAlignment w:val="auto"/>
        <w:rPr>
          <w:rFonts w:hint="eastAsia" w:ascii="楷体" w:hAnsi="楷体" w:eastAsia="楷体" w:cs="楷体"/>
          <w:b/>
          <w:bCs/>
          <w:i w:val="0"/>
          <w:iCs w:val="0"/>
          <w:caps w:val="0"/>
          <w:color w:val="000000"/>
          <w:spacing w:val="15"/>
          <w:sz w:val="32"/>
          <w:szCs w:val="32"/>
          <w:shd w:val="clear" w:color="auto" w:fill="FFFFFF"/>
          <w:lang w:val="en-US" w:eastAsia="zh-CN"/>
        </w:rPr>
      </w:pPr>
      <w:r>
        <w:rPr>
          <w:rFonts w:hint="eastAsia" w:ascii="楷体" w:hAnsi="楷体" w:eastAsia="楷体" w:cs="楷体"/>
          <w:b/>
          <w:bCs/>
          <w:i w:val="0"/>
          <w:iCs w:val="0"/>
          <w:caps w:val="0"/>
          <w:color w:val="000000"/>
          <w:spacing w:val="15"/>
          <w:sz w:val="32"/>
          <w:szCs w:val="32"/>
          <w:shd w:val="clear" w:color="auto" w:fill="FFFFFF"/>
          <w:lang w:val="en-US" w:eastAsia="zh-CN"/>
        </w:rPr>
        <w:t>（五）持续抓好队伍建设，让城管执法更规范。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深入开展“强基础、转作风、树形象”活动，坚决落实城市管理“721工作法”和文明执法“六要六不”，切实增强执法队伍的法制观念、文明意识和化解矛盾、解决问题的素质能力。努力打造一支素质全面、作风优良、能打硬仗的光谷城管队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702" w:firstLineChars="200"/>
        <w:jc w:val="both"/>
        <w:textAlignment w:val="auto"/>
        <w:rPr>
          <w:rFonts w:hint="eastAsia" w:ascii="楷体" w:hAnsi="楷体" w:eastAsia="楷体" w:cs="楷体"/>
          <w:b/>
          <w:bCs/>
          <w:i w:val="0"/>
          <w:iCs w:val="0"/>
          <w:caps w:val="0"/>
          <w:color w:val="000000"/>
          <w:spacing w:val="15"/>
          <w:sz w:val="32"/>
          <w:szCs w:val="32"/>
          <w:shd w:val="clear" w:color="auto" w:fill="FFFFFF"/>
          <w:lang w:val="en-US" w:eastAsia="zh-CN"/>
        </w:rPr>
      </w:pPr>
      <w:r>
        <w:rPr>
          <w:rFonts w:hint="eastAsia" w:ascii="楷体" w:hAnsi="楷体" w:eastAsia="楷体" w:cs="楷体"/>
          <w:b/>
          <w:bCs/>
          <w:i w:val="0"/>
          <w:iCs w:val="0"/>
          <w:caps w:val="0"/>
          <w:color w:val="000000"/>
          <w:spacing w:val="15"/>
          <w:sz w:val="32"/>
          <w:szCs w:val="32"/>
          <w:shd w:val="clear" w:color="auto" w:fill="FFFFFF"/>
          <w:lang w:val="en-US" w:eastAsia="zh-CN"/>
        </w:rPr>
        <w:t>（六）持续抓好党的建设，让领导班子更坚强。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700" w:firstLineChars="200"/>
        <w:jc w:val="both"/>
        <w:textAlignment w:val="auto"/>
        <w:rPr>
          <w:rFonts w:hint="eastAsia" w:ascii="仿宋" w:hAnsi="仿宋" w:eastAsia="仿宋" w:cs="仿宋"/>
          <w:b w:val="0"/>
          <w:bCs/>
          <w:kern w:val="2"/>
          <w:sz w:val="32"/>
          <w:szCs w:val="24"/>
          <w:lang w:val="en-US" w:eastAsia="zh-CN" w:bidi="ar-SA"/>
        </w:rPr>
      </w:pPr>
      <w:r>
        <w:rPr>
          <w:rFonts w:hint="eastAsia" w:ascii="仿宋" w:hAnsi="仿宋" w:eastAsia="仿宋" w:cs="仿宋"/>
          <w:i w:val="0"/>
          <w:iCs w:val="0"/>
          <w:caps w:val="0"/>
          <w:color w:val="000000"/>
          <w:spacing w:val="15"/>
          <w:sz w:val="32"/>
          <w:szCs w:val="32"/>
          <w:shd w:val="clear" w:color="auto" w:fill="FFFFFF"/>
          <w:lang w:val="en-US" w:eastAsia="zh-CN"/>
        </w:rPr>
        <w:t>要通过持续抓党的建设，把城管局党委班子建设得更坚强，把局中层干部队伍建设得更有战斗力。在抓党建上有新的举措，推动党建和城市管理业务工作的深度融合。</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88"/>
    <w:family w:val="moder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华文细黑">
    <w:altName w:val="文泉驿微米黑"/>
    <w:panose1 w:val="02010600040101010101"/>
    <w:charset w:val="86"/>
    <w:family w:val="auto"/>
    <w:pitch w:val="default"/>
    <w:sig w:usb0="00000000" w:usb1="00000000" w:usb2="00000000" w:usb3="00000000" w:csb0="0004009F" w:csb1="DFD70000"/>
  </w:font>
  <w:font w:name="文泉驿微米黑">
    <w:panose1 w:val="020B0606030804020204"/>
    <w:charset w:val="86"/>
    <w:family w:val="auto"/>
    <w:pitch w:val="default"/>
    <w:sig w:usb0="E10002EF" w:usb1="6BDFFCFB" w:usb2="00800036" w:usb3="00000000" w:csb0="603E019F" w:csb1="DFD7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C3731"/>
    <w:multiLevelType w:val="singleLevel"/>
    <w:tmpl w:val="D32C3731"/>
    <w:lvl w:ilvl="0" w:tentative="0">
      <w:start w:val="4"/>
      <w:numFmt w:val="decimal"/>
      <w:suff w:val="nothing"/>
      <w:lvlText w:val="%1、"/>
      <w:lvlJc w:val="left"/>
      <w:rPr>
        <w:rFonts w:hint="default"/>
        <w:b/>
        <w:bCs/>
      </w:rPr>
    </w:lvl>
  </w:abstractNum>
  <w:abstractNum w:abstractNumId="1">
    <w:nsid w:val="1DA216F0"/>
    <w:multiLevelType w:val="multilevel"/>
    <w:tmpl w:val="1DA216F0"/>
    <w:lvl w:ilvl="0" w:tentative="0">
      <w:start w:val="1"/>
      <w:numFmt w:val="chineseCountingThousand"/>
      <w:pStyle w:val="12"/>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YjY0Yjg0MjVhODAzMzhhZjUzNzllZjI4YmU1ZGYifQ=="/>
  </w:docVars>
  <w:rsids>
    <w:rsidRoot w:val="7FEF0A74"/>
    <w:rsid w:val="00D82C3A"/>
    <w:rsid w:val="01BE7F43"/>
    <w:rsid w:val="06D96A4A"/>
    <w:rsid w:val="0987540F"/>
    <w:rsid w:val="0D3752CB"/>
    <w:rsid w:val="0EFC3D0C"/>
    <w:rsid w:val="10CA634E"/>
    <w:rsid w:val="115B321A"/>
    <w:rsid w:val="12E42DAE"/>
    <w:rsid w:val="130F3868"/>
    <w:rsid w:val="13DC59AE"/>
    <w:rsid w:val="17901A14"/>
    <w:rsid w:val="1A8E0CF3"/>
    <w:rsid w:val="1C69C5B5"/>
    <w:rsid w:val="1CF002DC"/>
    <w:rsid w:val="1F777C16"/>
    <w:rsid w:val="1FB696E0"/>
    <w:rsid w:val="227F3400"/>
    <w:rsid w:val="23FCB547"/>
    <w:rsid w:val="24333BD7"/>
    <w:rsid w:val="24C84849"/>
    <w:rsid w:val="277B7AA2"/>
    <w:rsid w:val="27DA1FDA"/>
    <w:rsid w:val="286A5E3C"/>
    <w:rsid w:val="29E27A98"/>
    <w:rsid w:val="2EAB6D14"/>
    <w:rsid w:val="2F0A28FD"/>
    <w:rsid w:val="2F741200"/>
    <w:rsid w:val="2FC9364E"/>
    <w:rsid w:val="2FE27F92"/>
    <w:rsid w:val="30350C3F"/>
    <w:rsid w:val="317B40EB"/>
    <w:rsid w:val="319C5AC0"/>
    <w:rsid w:val="32760C13"/>
    <w:rsid w:val="33A22750"/>
    <w:rsid w:val="34100B4E"/>
    <w:rsid w:val="346C7914"/>
    <w:rsid w:val="3676000F"/>
    <w:rsid w:val="36B00DA7"/>
    <w:rsid w:val="37BB763B"/>
    <w:rsid w:val="37D6610E"/>
    <w:rsid w:val="3A3D4D15"/>
    <w:rsid w:val="3ADFF26B"/>
    <w:rsid w:val="3CFF4FF0"/>
    <w:rsid w:val="3D5D0633"/>
    <w:rsid w:val="3DCBA9B4"/>
    <w:rsid w:val="3E4FB4D1"/>
    <w:rsid w:val="3E697EB2"/>
    <w:rsid w:val="3EE6D21A"/>
    <w:rsid w:val="3F76103A"/>
    <w:rsid w:val="3F774F0C"/>
    <w:rsid w:val="3FCB3385"/>
    <w:rsid w:val="3FD5F9D0"/>
    <w:rsid w:val="3FE618BA"/>
    <w:rsid w:val="3FFAAA85"/>
    <w:rsid w:val="41FF5A60"/>
    <w:rsid w:val="43767B03"/>
    <w:rsid w:val="43BF0984"/>
    <w:rsid w:val="46FF2ED1"/>
    <w:rsid w:val="47D739EB"/>
    <w:rsid w:val="4AE02F0C"/>
    <w:rsid w:val="4BDA46CB"/>
    <w:rsid w:val="4DFF89FA"/>
    <w:rsid w:val="4FEB0021"/>
    <w:rsid w:val="53DF64E8"/>
    <w:rsid w:val="544E7B06"/>
    <w:rsid w:val="558120E3"/>
    <w:rsid w:val="55FEDE23"/>
    <w:rsid w:val="578946AC"/>
    <w:rsid w:val="57AC5D43"/>
    <w:rsid w:val="57DFF504"/>
    <w:rsid w:val="58A6744F"/>
    <w:rsid w:val="58EC3198"/>
    <w:rsid w:val="598C12F9"/>
    <w:rsid w:val="5A3EC75B"/>
    <w:rsid w:val="5AB860D2"/>
    <w:rsid w:val="5B8C59AC"/>
    <w:rsid w:val="5BB620C6"/>
    <w:rsid w:val="5C5640BA"/>
    <w:rsid w:val="5D7D0923"/>
    <w:rsid w:val="5DFF5931"/>
    <w:rsid w:val="5EABFB6F"/>
    <w:rsid w:val="5EFFEA77"/>
    <w:rsid w:val="5F6CD5FA"/>
    <w:rsid w:val="5F77C953"/>
    <w:rsid w:val="5F9D2E65"/>
    <w:rsid w:val="5FB7C525"/>
    <w:rsid w:val="5FEEE369"/>
    <w:rsid w:val="60AB1B66"/>
    <w:rsid w:val="65AD4D3C"/>
    <w:rsid w:val="66156538"/>
    <w:rsid w:val="67BFB23A"/>
    <w:rsid w:val="68A7166B"/>
    <w:rsid w:val="69397E32"/>
    <w:rsid w:val="6B439BD7"/>
    <w:rsid w:val="6B77B47E"/>
    <w:rsid w:val="6BDFF5A3"/>
    <w:rsid w:val="6C2C2D8F"/>
    <w:rsid w:val="6C5F3DDF"/>
    <w:rsid w:val="6CE23EF9"/>
    <w:rsid w:val="6CFF9DC3"/>
    <w:rsid w:val="6DBB95AB"/>
    <w:rsid w:val="6DDE5DBF"/>
    <w:rsid w:val="6DFFFA2D"/>
    <w:rsid w:val="6E193A60"/>
    <w:rsid w:val="6F263A20"/>
    <w:rsid w:val="6FF78E46"/>
    <w:rsid w:val="71DA5861"/>
    <w:rsid w:val="73EB302A"/>
    <w:rsid w:val="73FF2A1E"/>
    <w:rsid w:val="777F40D5"/>
    <w:rsid w:val="77BEB8DC"/>
    <w:rsid w:val="77D9028D"/>
    <w:rsid w:val="77FE52FD"/>
    <w:rsid w:val="795BB761"/>
    <w:rsid w:val="79CCB05A"/>
    <w:rsid w:val="79DF4712"/>
    <w:rsid w:val="79E9A602"/>
    <w:rsid w:val="79EF2B83"/>
    <w:rsid w:val="7AB16025"/>
    <w:rsid w:val="7B3B467A"/>
    <w:rsid w:val="7BDBF320"/>
    <w:rsid w:val="7BDF56D7"/>
    <w:rsid w:val="7D3967E1"/>
    <w:rsid w:val="7D746A49"/>
    <w:rsid w:val="7DD910E7"/>
    <w:rsid w:val="7E6B311D"/>
    <w:rsid w:val="7E77C6A8"/>
    <w:rsid w:val="7EBD6E4B"/>
    <w:rsid w:val="7EF97DD2"/>
    <w:rsid w:val="7EFFDA0E"/>
    <w:rsid w:val="7EFFDDDE"/>
    <w:rsid w:val="7F3F099E"/>
    <w:rsid w:val="7F57B4F1"/>
    <w:rsid w:val="7F7BE8F5"/>
    <w:rsid w:val="7F7D204E"/>
    <w:rsid w:val="7F7FF72C"/>
    <w:rsid w:val="7F8F76DC"/>
    <w:rsid w:val="7FBE8659"/>
    <w:rsid w:val="7FD32117"/>
    <w:rsid w:val="7FEE65CB"/>
    <w:rsid w:val="7FEF0A74"/>
    <w:rsid w:val="7FF5BCBA"/>
    <w:rsid w:val="7FFD82FB"/>
    <w:rsid w:val="7FFF1F64"/>
    <w:rsid w:val="7FFFB0A7"/>
    <w:rsid w:val="969136BB"/>
    <w:rsid w:val="9DF3E62E"/>
    <w:rsid w:val="9EEA790A"/>
    <w:rsid w:val="A6FEFD1A"/>
    <w:rsid w:val="AEEBDAE6"/>
    <w:rsid w:val="B17B5F7A"/>
    <w:rsid w:val="B5778548"/>
    <w:rsid w:val="B5FB04E5"/>
    <w:rsid w:val="B6DAD641"/>
    <w:rsid w:val="B7FF8E88"/>
    <w:rsid w:val="B9160578"/>
    <w:rsid w:val="BB962D56"/>
    <w:rsid w:val="BB9F13B4"/>
    <w:rsid w:val="BBBF733F"/>
    <w:rsid w:val="BD3F3CA9"/>
    <w:rsid w:val="BDEEFE4B"/>
    <w:rsid w:val="BFFBE4E7"/>
    <w:rsid w:val="CF035FAC"/>
    <w:rsid w:val="D0D75C6A"/>
    <w:rsid w:val="D1FEF89C"/>
    <w:rsid w:val="D4D1FA8C"/>
    <w:rsid w:val="D7FDCA3A"/>
    <w:rsid w:val="D9B72944"/>
    <w:rsid w:val="DB6FD95D"/>
    <w:rsid w:val="DBFEC0A1"/>
    <w:rsid w:val="DDBF4DDD"/>
    <w:rsid w:val="DDCBA21B"/>
    <w:rsid w:val="DF6FBEF4"/>
    <w:rsid w:val="DFEDF0AD"/>
    <w:rsid w:val="E1FE578C"/>
    <w:rsid w:val="E3750F4B"/>
    <w:rsid w:val="E4D929EB"/>
    <w:rsid w:val="E6BE0D19"/>
    <w:rsid w:val="E7D9C1BD"/>
    <w:rsid w:val="E7FF298E"/>
    <w:rsid w:val="E9BEF8B6"/>
    <w:rsid w:val="EA6FFC0A"/>
    <w:rsid w:val="EBEF3685"/>
    <w:rsid w:val="EBF36634"/>
    <w:rsid w:val="EC6F29A0"/>
    <w:rsid w:val="EDD64D57"/>
    <w:rsid w:val="EDF8847F"/>
    <w:rsid w:val="EDFBCB1E"/>
    <w:rsid w:val="EF3F610D"/>
    <w:rsid w:val="EF77B27B"/>
    <w:rsid w:val="EFFFA0DC"/>
    <w:rsid w:val="F2EFC5C3"/>
    <w:rsid w:val="F37F2841"/>
    <w:rsid w:val="F3EE328F"/>
    <w:rsid w:val="F3F96D73"/>
    <w:rsid w:val="F4BD5E20"/>
    <w:rsid w:val="F76D0C67"/>
    <w:rsid w:val="F77BC7FA"/>
    <w:rsid w:val="F77F769B"/>
    <w:rsid w:val="F79C94DD"/>
    <w:rsid w:val="F7B7E14D"/>
    <w:rsid w:val="F7DFD66B"/>
    <w:rsid w:val="F7EE8C8E"/>
    <w:rsid w:val="F7F39FDE"/>
    <w:rsid w:val="F7FF9611"/>
    <w:rsid w:val="F8BEB9ED"/>
    <w:rsid w:val="F8E3E3B6"/>
    <w:rsid w:val="F8FC6CD1"/>
    <w:rsid w:val="FACFEB4C"/>
    <w:rsid w:val="FB57208E"/>
    <w:rsid w:val="FB6DEDA9"/>
    <w:rsid w:val="FBA130A1"/>
    <w:rsid w:val="FBFFCED9"/>
    <w:rsid w:val="FCFFFB2D"/>
    <w:rsid w:val="FD3DF90F"/>
    <w:rsid w:val="FDBA112F"/>
    <w:rsid w:val="FDF1E1F4"/>
    <w:rsid w:val="FDFCFB43"/>
    <w:rsid w:val="FDFCFE64"/>
    <w:rsid w:val="FDFF14AD"/>
    <w:rsid w:val="FE3FBA86"/>
    <w:rsid w:val="FE9DBCD2"/>
    <w:rsid w:val="FEBB74D7"/>
    <w:rsid w:val="FEFDB213"/>
    <w:rsid w:val="FF1F3640"/>
    <w:rsid w:val="FF5601A4"/>
    <w:rsid w:val="FF5B866E"/>
    <w:rsid w:val="FF6FBDC2"/>
    <w:rsid w:val="FF7A53EB"/>
    <w:rsid w:val="FFBCD7FC"/>
    <w:rsid w:val="FFD6F298"/>
    <w:rsid w:val="FFDEF495"/>
    <w:rsid w:val="FFDF4EA8"/>
    <w:rsid w:val="FFEB3A5D"/>
    <w:rsid w:val="FFEF370B"/>
    <w:rsid w:val="FFF3A670"/>
    <w:rsid w:val="FFFF2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仿宋" w:cs="Times New Roman"/>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ind w:firstLine="800" w:firstLineChars="200"/>
      <w:outlineLvl w:val="0"/>
    </w:pPr>
    <w:rPr>
      <w:rFonts w:eastAsia="黑体"/>
      <w:kern w:val="44"/>
    </w:rPr>
  </w:style>
  <w:style w:type="paragraph" w:styleId="4">
    <w:name w:val="heading 2"/>
    <w:basedOn w:val="1"/>
    <w:next w:val="1"/>
    <w:qFormat/>
    <w:uiPriority w:val="9"/>
    <w:pPr>
      <w:keepNext/>
      <w:keepLines/>
      <w:spacing w:beforeLines="0" w:beforeAutospacing="0" w:afterLines="0" w:afterAutospacing="0" w:line="580" w:lineRule="exact"/>
      <w:ind w:firstLine="800" w:firstLineChars="200"/>
      <w:outlineLvl w:val="1"/>
    </w:pPr>
    <w:rPr>
      <w:rFonts w:ascii="Arial" w:hAnsi="Arial" w:eastAsia="楷体"/>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eastAsia="仿宋_GB2312" w:cs="Courier New"/>
      <w:sz w:val="32"/>
      <w:szCs w:val="21"/>
    </w:rPr>
  </w:style>
  <w:style w:type="paragraph" w:styleId="6">
    <w:name w:val="Normal Indent"/>
    <w:basedOn w:val="1"/>
    <w:qFormat/>
    <w:uiPriority w:val="99"/>
    <w:pPr>
      <w:ind w:firstLine="420" w:firstLineChars="200"/>
    </w:pPr>
    <w:rPr>
      <w:rFonts w:eastAsia="仿宋"/>
      <w:sz w:val="32"/>
    </w:rPr>
  </w:style>
  <w:style w:type="paragraph" w:styleId="7">
    <w:name w:val="annotation text"/>
    <w:basedOn w:val="1"/>
    <w:qFormat/>
    <w:uiPriority w:val="0"/>
    <w:pPr>
      <w:jc w:val="left"/>
    </w:pPr>
    <w:rPr>
      <w:rFonts w:eastAsia="宋体"/>
      <w:sz w:val="21"/>
    </w:rPr>
  </w:style>
  <w:style w:type="paragraph" w:styleId="8">
    <w:name w:val="Body Text"/>
    <w:basedOn w:val="1"/>
    <w:qFormat/>
    <w:uiPriority w:val="0"/>
    <w:pPr>
      <w:spacing w:before="0" w:after="140" w:line="276" w:lineRule="auto"/>
    </w:pPr>
  </w:style>
  <w:style w:type="paragraph" w:styleId="9">
    <w:name w:val="Body Text Indent"/>
    <w:basedOn w:val="1"/>
    <w:next w:val="1"/>
    <w:qFormat/>
    <w:uiPriority w:val="99"/>
    <w:pPr>
      <w:ind w:firstLine="640" w:firstLineChars="200"/>
    </w:pPr>
    <w:rPr>
      <w:kern w:val="0"/>
      <w:sz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2"/>
    <w:basedOn w:val="1"/>
    <w:next w:val="1"/>
    <w:qFormat/>
    <w:uiPriority w:val="0"/>
    <w:pPr>
      <w:widowControl/>
      <w:numPr>
        <w:ilvl w:val="0"/>
        <w:numId w:val="1"/>
      </w:numPr>
      <w:tabs>
        <w:tab w:val="clear" w:pos="1440"/>
      </w:tabs>
      <w:ind w:left="0" w:firstLine="0"/>
    </w:pPr>
    <w:rPr>
      <w:szCs w:val="20"/>
      <w:lang w:val="en-GB"/>
    </w:r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4">
    <w:name w:val="Body Text First Indent 2"/>
    <w:basedOn w:val="9"/>
    <w:next w:val="1"/>
    <w:qFormat/>
    <w:uiPriority w:val="99"/>
    <w:pPr>
      <w:ind w:firstLine="420"/>
    </w:pPr>
  </w:style>
  <w:style w:type="character" w:styleId="17">
    <w:name w:val="Strong"/>
    <w:basedOn w:val="16"/>
    <w:qFormat/>
    <w:uiPriority w:val="0"/>
    <w:rPr>
      <w:b/>
    </w:rPr>
  </w:style>
  <w:style w:type="paragraph" w:customStyle="1" w:styleId="18">
    <w:name w:val="封面字体3"/>
    <w:next w:val="9"/>
    <w:qFormat/>
    <w:uiPriority w:val="0"/>
    <w:pPr>
      <w:widowControl w:val="0"/>
      <w:spacing w:line="240" w:lineRule="atLeast"/>
      <w:jc w:val="both"/>
    </w:pPr>
    <w:rPr>
      <w:rFonts w:ascii="华文细黑" w:hAnsi="Calibri" w:eastAsia="黑体" w:cs="Times New Roman"/>
      <w:color w:val="800000"/>
      <w:sz w:val="44"/>
      <w:szCs w:val="22"/>
      <w:lang w:val="en-US" w:eastAsia="zh-CN" w:bidi="ar-SA"/>
    </w:rPr>
  </w:style>
  <w:style w:type="character" w:customStyle="1" w:styleId="19">
    <w:name w:val="font01"/>
    <w:basedOn w:val="16"/>
    <w:qFormat/>
    <w:uiPriority w:val="0"/>
    <w:rPr>
      <w:rFonts w:hint="eastAsia" w:ascii="宋体" w:hAnsi="宋体" w:eastAsia="宋体" w:cs="宋体"/>
      <w:color w:val="000000"/>
      <w:sz w:val="20"/>
      <w:szCs w:val="20"/>
      <w:u w:val="none"/>
    </w:rPr>
  </w:style>
  <w:style w:type="paragraph" w:customStyle="1" w:styleId="20">
    <w:name w:val="正文 New"/>
    <w:qFormat/>
    <w:uiPriority w:val="0"/>
    <w:pPr>
      <w:widowControl w:val="0"/>
      <w:jc w:val="both"/>
    </w:pPr>
    <w:rPr>
      <w:rFonts w:ascii="Calibri" w:hAnsi="Calibri" w:eastAsia="仿宋_GB2312" w:cs="Times New Roman"/>
      <w:kern w:val="2"/>
      <w:sz w:val="32"/>
      <w:szCs w:val="24"/>
      <w:lang w:val="en-US" w:eastAsia="zh-CN" w:bidi="ar-SA"/>
    </w:rPr>
  </w:style>
  <w:style w:type="paragraph" w:customStyle="1" w:styleId="21">
    <w:name w:val="样式1"/>
    <w:basedOn w:val="1"/>
    <w:qFormat/>
    <w:uiPriority w:val="0"/>
    <w:pPr>
      <w:spacing w:after="150" w:line="580" w:lineRule="exact"/>
      <w:ind w:firstLine="200" w:firstLineChars="200"/>
      <w:jc w:val="left"/>
    </w:pPr>
    <w:rPr>
      <w:rFonts w:ascii="仿宋_GB2312" w:hAnsi="仿宋" w:eastAsia="仿宋_GB2312" w:cs="仿宋"/>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5691</Words>
  <Characters>6086</Characters>
  <Lines>0</Lines>
  <Paragraphs>0</Paragraphs>
  <TotalTime>22</TotalTime>
  <ScaleCrop>false</ScaleCrop>
  <LinksUpToDate>false</LinksUpToDate>
  <CharactersWithSpaces>6088</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2022-10-17T17:25:00Z</dcterms:created>
  <dc:creator>uos</dc:creator>
  <cp:lastModifiedBy>M740Z</cp:lastModifiedBy>
  <cp:lastPrinted>2023-12-21T22:35:00Z</cp:lastPrinted>
  <dcterms:modified xsi:type="dcterms:W3CDTF">2024-04-16T10:57:10Z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FFF331305CB8997006E91D66F4157104</vt:lpwstr>
  </property>
</Properties>
</file>