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pacing w:val="-10"/>
          <w:sz w:val="44"/>
          <w:szCs w:val="44"/>
          <w:lang w:eastAsia="zh-CN"/>
        </w:rPr>
        <w:t>市经信局</w:t>
      </w:r>
      <w:r>
        <w:rPr>
          <w:rFonts w:ascii="Times New Roman" w:hAnsi="Times New Roman" w:eastAsia="方正小标宋简体" w:cs="Times New Roman"/>
          <w:b/>
          <w:color w:val="000000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/>
          <w:color w:val="000000"/>
          <w:spacing w:val="-10"/>
          <w:sz w:val="44"/>
          <w:szCs w:val="44"/>
          <w:lang w:eastAsia="zh-CN"/>
        </w:rPr>
        <w:t>组织开展</w:t>
      </w:r>
      <w:r>
        <w:rPr>
          <w:rFonts w:ascii="Times New Roman" w:hAnsi="Times New Roman" w:eastAsia="方正小标宋简体" w:cs="Times New Roman"/>
          <w:b/>
          <w:color w:val="000000"/>
          <w:spacing w:val="-10"/>
          <w:sz w:val="44"/>
          <w:szCs w:val="44"/>
        </w:rPr>
        <w:t>工信部第</w:t>
      </w:r>
      <w:r>
        <w:rPr>
          <w:rFonts w:hint="eastAsia" w:ascii="Times New Roman" w:hAnsi="Times New Roman" w:eastAsia="方正小标宋简体" w:cs="Times New Roman"/>
          <w:b/>
          <w:color w:val="000000"/>
          <w:spacing w:val="-10"/>
          <w:sz w:val="44"/>
          <w:szCs w:val="44"/>
        </w:rPr>
        <w:t>五</w:t>
      </w:r>
      <w:r>
        <w:rPr>
          <w:rFonts w:ascii="Times New Roman" w:hAnsi="Times New Roman" w:eastAsia="方正小标宋简体" w:cs="Times New Roman"/>
          <w:b/>
          <w:color w:val="000000"/>
          <w:spacing w:val="-10"/>
          <w:sz w:val="44"/>
          <w:szCs w:val="44"/>
        </w:rPr>
        <w:t>批专精特新</w:t>
      </w: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“小巨人”企业培育和第</w:t>
      </w: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</w:rPr>
        <w:t>二</w:t>
      </w: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批专精特新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“小巨人”企业复核工作的通知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区（开发区）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经信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部门、各有关企业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根据《工业和信息化部办公厅关于开展第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批专精特新“小巨人”企业培育和第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批专精特新“小巨人”企业复核工作的通知》（工信厅企业函〔202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3号）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省经信厅办公室关于转发工信部第五批专精特新“小巨人”企业培育和第二批专精特新“小巨人”企业复核工作的通知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》（鄂经信办函〔202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〕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号）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要求，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市经信局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组织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批专精特新“小巨人”企业推荐和第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批专精特新“小巨人”企业复核工作。现将有关事项通知如下：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一、申报与复核条件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专精特新“小巨人”企业申报（复核）需同时满足以下指标：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（一）专业化指标。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坚持专业化发展道路，长期专注并深耕于产业链某一环节或某一产品。截至上年末，企业从事特定细分市场时间达到3年以上，主营业务收入总额占营业收入总额比重不低于70%，近2年主营业务收入平均增长率不低于5%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（二）精细化指标。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重视并实施长期发展战略，公司治理规范、信誉良好、社会责任感强，生产技术、工艺及产品质量性能国内领先，注重数字化、绿色化发展，在研发设计、生产制造、供应链管理等环节，至少1项核心业务采用信息系统支撑。取得相关管理体系认证，或产品通过发达国家和地区产品认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国际标准协会行业认证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。截至上年末，企业资产负债率不高于70%。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（三）特色化指标。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技术和产品有自身独特优势，主导产品在全国细分市场占有率达到10%以上，且享有较高知名度和影响力。拥有直接面向市场并具有竞争优势的自主品牌。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（四）创新能力指标。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（满足一般性条件或创新直通条件。）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1、一般性条件。需同时满足以下三项：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（1）上年度营业收入总额在1亿元以上的企业，近2年研发费用总额占营业收入总额比重均不低于3%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上年度营业收入总额在5000万元—1亿元的企业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近2年研发费用总额占营业收入总额比重均不低于6%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上年度营业收入总额在5000万元以下的企业，同时满足近2年新增股权融资总额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合格机构投资者的实缴额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8000万元以上，且研发费用总额3000万元以上、研发人员占企业职工总数比重50%以上。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（2）自建或与高等院校、科研机构联合建立研发机构，设立技术研究院、企业技术中心、企业工程中心、院士专家工作站、博士后工作站等。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（3）拥有2项以上与主导产品相关的Ⅰ类知识产权，且实际应用并已产生经济效益。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2、创新直通条件。满足以下一项即可：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（1）近三年获得国家级科技奖励，并在获奖单位中排名前三。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（2）近三年进入“创客中国”中小企业创新创业大赛全国50强企业组名单。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（五）产业链配套指标。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位于产业链关键环节，围绕重点产业链实现关键基础技术和产品的产业化应用，发挥“补短板”“锻长板”“填空白”等重要作用。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（六）主导产品所属领域指标。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主导产品原则上属于以下重点领域：从事细分产品市场属于制造业核心基础零部件、元器件、关键软件、先进基础工艺、关键基础材料和产业技术基础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或符合制造强国战略十大重点产业领域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或属于网络强国建设的信息基础设施、关键核心技术、网络安全、数据安全领域等产品。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（七）其他指标。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1、申报企业应为本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市有效期内的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专精特新中小企业（含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省级专精特新“小巨人”企业）。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、符合《中小企业划型标准规定》，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3、对于已列为工业和信息化部制造业单项冠军企业或产品的企业，不再推荐。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4、与已认定的专精特新“小巨人”企业存在控股关系的企业，以及同一集团内生产相似主导产品企业，不予推荐。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二、申报与复核要求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（一）组织单位。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按要求组织做好第五批专精特新“小巨人”企业申报和第二批专精特新“小巨人”企业复核工作。专精特新“小巨人”企业申报与复核坚持自愿原则。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（二）企业申报。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专精特新“小巨人”企业申报和复核采取线上填报与线下报送相结合的方式，线上与线下数据应保持一致。申报或复核企业应在3月1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日至4月1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日登陆工业和信息化部线上系统（zjtx.miit.gov.cn，技术支持电话：0571-56137700）在线填写“第五批专精特新‘小巨人’企业申请书”（附件1）或“第二批专精特新‘小巨人’企业复核申请书”（附件2）并上传相关佐证材料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申报或复核企业完成网上填报后，应在线打印申请书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份、佐证材料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份，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其中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份申请书和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佐证材料合订胶装成册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2份申请书单独装订，由各区经信部门统一报送至市经信局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（三）审核报送。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经信部门应对照专精特新“小巨人”企业申报（复核）条件进行初审。复核工作以各区为主，要坚持严标准、进行严把关，通过现场调研与材料审核相结合的方式进行审查核实。对于未通过复核的“小巨人”企业，需说明原因。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应于4月1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日前将加盖公章的正式推荐文件、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《第五批专精特新“小巨人”企业推荐汇总表》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、《第二批专精特新“小巨人”企业复核情况汇总表》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（书面盖章版各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份）以及企业申报（复核）书面材料报送至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武汉市经济和信息化局中小企业发展处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。过期不予受理。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三、培育管理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（一）强化梯度培育。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要围绕提升中小企业创新能力和专业化水平，按照优质中小企业梯度培育要求，不断培育孵化创新型中小企业、专精特新中小企业，并促进其向专精特新“小巨人”企业发展。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（二）加强政策支持。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要进一步完善专精特新中小企业和专精特新“小巨人”企业支持政策，建立部门协同配合、共同推动的工作机制。结合本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实际，着力在资金、人才、创新、数字化、绿色化转型等方面给予专精特新中小企业大力支持。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（三）开展精准服务。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集聚服务资源，完善公共服务体系，提升服务水平。强化融资服务，拓宽中小企业融资渠道，做好专精特新中小企业等优质企业上市培育。加强创新服务，实施大中小企业融通创新“携手行动”、中小企业数字化赋能专项行动以及知识产权创造保护运用水平，广泛开展管理咨询、人才培训等服务，为中小企业专精特新发展提供有力支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（四）优化发展环境。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以优质中小企业培育为抓手，深化“放管服”改革，最大限度降低中小企业准入门槛，营造公平竞争环境。将培优和纾困一体化考虑，同步加大防范化解拖欠中小企业账款力度，维护中小企业合法权益。推进大中小企业融通创新、产学研协同创新向纵深发展，不断完善中小企业特色产业集群创新生态。认真总结培育专精特新“小巨人”企业的经验和做法，注重发挥其示范引领作用，引导广大中小企业走专精特新发展道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</w:rPr>
        <w:t>（五）加强动态管理。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专精特新“小巨人”企业有效期为3年，到期复核。对不符合条件或未提交复核申请材料的企业将予以撤销。有效期内如发现虚假申报或存在违法违规行为的，一经查实，即取消认定。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四、联系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咨询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市经信局：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85316916，85316911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东湖高新区：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67880565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67886020，67880073；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武汉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经开</w:t>
      </w:r>
      <w:r>
        <w:rPr>
          <w:rFonts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区：84959659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东西湖区：83226255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蔡甸区：84946391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江夏区：81568081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黄陂区：61109201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新洲区：86925448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青山区：86862661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洪山区：87374326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汉阳区：84468592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江汉区：85580761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江岸区：85320155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武昌区：88936923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Times New Roman" w:hAnsi="Times New Roman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硚口区：83426465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.第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批专精特新“小巨人”企业申请书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.第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批专精特新“小巨人”企业复核申请书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.第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批专精特新“小巨人”企业推荐汇总表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.第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批专精特新“小巨人”企业复核情况汇总表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  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  <w:t>武汉市经济和信息化局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ascii="Times New Roman" w:hAnsi="Times New Roman" w:eastAsia="华文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日</w:t>
      </w:r>
    </w:p>
    <w:p>
      <w:pPr>
        <w:tabs>
          <w:tab w:val="left" w:pos="2038"/>
        </w:tabs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Theme="minorEastAsia" w:hAnsiTheme="minorEastAsia"/>
        <w:sz w:val="28"/>
        <w:szCs w:val="28"/>
      </w:rPr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WVlMjU1NGIyM2QyMDhjODdhZTZiZDY2YmI4MWYifQ=="/>
  </w:docVars>
  <w:rsids>
    <w:rsidRoot w:val="008A00CD"/>
    <w:rsid w:val="00046151"/>
    <w:rsid w:val="000721DD"/>
    <w:rsid w:val="000B1B91"/>
    <w:rsid w:val="00112E27"/>
    <w:rsid w:val="00167AA0"/>
    <w:rsid w:val="001B3C18"/>
    <w:rsid w:val="001F0968"/>
    <w:rsid w:val="00227CC3"/>
    <w:rsid w:val="00256E39"/>
    <w:rsid w:val="0027015A"/>
    <w:rsid w:val="002D0B6E"/>
    <w:rsid w:val="003767D6"/>
    <w:rsid w:val="004F25FC"/>
    <w:rsid w:val="005F1A80"/>
    <w:rsid w:val="00607D80"/>
    <w:rsid w:val="006221F4"/>
    <w:rsid w:val="00643B30"/>
    <w:rsid w:val="006A6CC7"/>
    <w:rsid w:val="006C7E69"/>
    <w:rsid w:val="007033C3"/>
    <w:rsid w:val="007606DB"/>
    <w:rsid w:val="008A00CD"/>
    <w:rsid w:val="008F40E3"/>
    <w:rsid w:val="00A61D78"/>
    <w:rsid w:val="00A84D4C"/>
    <w:rsid w:val="00AC46D6"/>
    <w:rsid w:val="00B234AA"/>
    <w:rsid w:val="00BA5E17"/>
    <w:rsid w:val="00BC6317"/>
    <w:rsid w:val="00CA0435"/>
    <w:rsid w:val="00DF7303"/>
    <w:rsid w:val="00E75562"/>
    <w:rsid w:val="00E90767"/>
    <w:rsid w:val="00EB7B42"/>
    <w:rsid w:val="00F026CF"/>
    <w:rsid w:val="00F90377"/>
    <w:rsid w:val="00FA2DEF"/>
    <w:rsid w:val="200D1749"/>
    <w:rsid w:val="20914128"/>
    <w:rsid w:val="2BAF25DF"/>
    <w:rsid w:val="306814F8"/>
    <w:rsid w:val="389F6AC2"/>
    <w:rsid w:val="3C7661C1"/>
    <w:rsid w:val="3DF742F9"/>
    <w:rsid w:val="40D10B1C"/>
    <w:rsid w:val="46653096"/>
    <w:rsid w:val="4CA905B9"/>
    <w:rsid w:val="4EF064E9"/>
    <w:rsid w:val="64C71DD3"/>
    <w:rsid w:val="68F40B39"/>
    <w:rsid w:val="69AE3E05"/>
    <w:rsid w:val="70384FF4"/>
    <w:rsid w:val="78191BAF"/>
    <w:rsid w:val="7FC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link w:val="24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subject"/>
    <w:basedOn w:val="5"/>
    <w:next w:val="5"/>
    <w:link w:val="29"/>
    <w:unhideWhenUsed/>
    <w:qFormat/>
    <w:uiPriority w:val="99"/>
    <w:rPr>
      <w:b/>
      <w:bCs/>
      <w:szCs w:val="22"/>
    </w:r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7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7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8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endnote reference"/>
    <w:basedOn w:val="13"/>
    <w:semiHidden/>
    <w:unhideWhenUsed/>
    <w:qFormat/>
    <w:uiPriority w:val="99"/>
    <w:rPr>
      <w:vertAlign w:val="superscript"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2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正文文本 Char"/>
    <w:basedOn w:val="13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标题 Char"/>
    <w:basedOn w:val="13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5">
    <w:name w:val="批注文字 Char"/>
    <w:basedOn w:val="13"/>
    <w:qFormat/>
    <w:uiPriority w:val="99"/>
  </w:style>
  <w:style w:type="character" w:customStyle="1" w:styleId="26">
    <w:name w:val="批注文字 Char1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7">
    <w:name w:val="批注框文本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"/>
    <w:basedOn w:val="13"/>
    <w:link w:val="11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9">
    <w:name w:val="批注主题 Char"/>
    <w:basedOn w:val="25"/>
    <w:link w:val="4"/>
    <w:qFormat/>
    <w:uiPriority w:val="99"/>
    <w:rPr>
      <w:rFonts w:ascii="Calibri" w:hAnsi="Calibri" w:eastAsia="宋体" w:cs="Times New Roman"/>
      <w:b/>
      <w:bCs/>
    </w:rPr>
  </w:style>
  <w:style w:type="paragraph" w:customStyle="1" w:styleId="30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31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10559</Words>
  <Characters>11168</Characters>
  <Lines>128</Lines>
  <Paragraphs>36</Paragraphs>
  <TotalTime>4</TotalTime>
  <ScaleCrop>false</ScaleCrop>
  <LinksUpToDate>false</LinksUpToDate>
  <CharactersWithSpaces>16960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2023-02-23T07:11:00Z</dcterms:created>
  <dc:creator>徐朝晖</dc:creator>
  <cp:lastModifiedBy>LiuXue</cp:lastModifiedBy>
  <cp:lastPrinted>2023-02-28T06:59:00Z</cp:lastPrinted>
  <dcterms:modified xsi:type="dcterms:W3CDTF">2023-02-28T07:58:28Z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7694E1F44D274A9C8C7FF690EF94CFDF</vt:lpwstr>
  </property>
</Properties>
</file>