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w:t>
      </w:r>
    </w:p>
    <w:p>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i w:val="0"/>
          <w:color w:val="000000"/>
          <w:kern w:val="0"/>
          <w:sz w:val="40"/>
          <w:szCs w:val="40"/>
          <w:u w:val="none"/>
          <w:lang w:val="en-US" w:eastAsia="zh-CN" w:bidi="ar"/>
        </w:rPr>
      </w:pPr>
      <w:r>
        <w:rPr>
          <w:rFonts w:hint="eastAsia" w:ascii="方正小标宋简体" w:hAnsi="方正小标宋简体" w:eastAsia="方正小标宋简体" w:cs="方正小标宋简体"/>
          <w:i w:val="0"/>
          <w:color w:val="000000"/>
          <w:kern w:val="0"/>
          <w:sz w:val="40"/>
          <w:szCs w:val="40"/>
          <w:u w:val="none"/>
          <w:lang w:val="en-US" w:eastAsia="zh-CN" w:bidi="ar"/>
        </w:rPr>
        <w:t>2025年度各部门双随机抽查工作计划表</w:t>
      </w:r>
    </w:p>
    <w:p>
      <w:pPr>
        <w:keepNext w:val="0"/>
        <w:keepLines w:val="0"/>
        <w:pageBreakBefore w:val="0"/>
        <w:kinsoku/>
        <w:wordWrap/>
        <w:overflowPunct/>
        <w:topLinePunct w:val="0"/>
        <w:autoSpaceDE/>
        <w:autoSpaceDN/>
        <w:bidi w:val="0"/>
        <w:adjustRightInd/>
        <w:snapToGrid/>
        <w:spacing w:line="560" w:lineRule="exact"/>
        <w:jc w:val="center"/>
        <w:rPr>
          <w:rFonts w:hint="eastAsia" w:ascii="黑体" w:hAnsi="黑体" w:eastAsia="黑体" w:cs="黑体"/>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jc w:val="left"/>
        <w:rPr>
          <w:rFonts w:hint="default" w:ascii="黑体" w:hAnsi="黑体" w:eastAsia="黑体" w:cs="黑体"/>
          <w:sz w:val="32"/>
          <w:szCs w:val="32"/>
          <w:lang w:val="en-US" w:eastAsia="zh-CN"/>
        </w:rPr>
      </w:pPr>
      <w:r>
        <w:rPr>
          <w:rFonts w:hint="eastAsia" w:ascii="黑体" w:hAnsi="黑体" w:eastAsia="黑体" w:cs="黑体"/>
          <w:sz w:val="28"/>
          <w:szCs w:val="28"/>
          <w:lang w:val="en-US" w:eastAsia="zh-CN"/>
        </w:rPr>
        <w:t>部门名称：</w:t>
      </w:r>
      <w:r>
        <w:rPr>
          <w:rFonts w:hint="eastAsia" w:ascii="黑体" w:hAnsi="黑体" w:eastAsia="黑体" w:cs="黑体"/>
          <w:b w:val="0"/>
          <w:bCs w:val="0"/>
          <w:kern w:val="2"/>
          <w:sz w:val="28"/>
          <w:szCs w:val="28"/>
          <w:lang w:val="en-US" w:eastAsia="zh-CN" w:bidi="ar-SA"/>
        </w:rPr>
        <w:t xml:space="preserve">武汉东湖新技术开发区文化旅游体育局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联系人：</w:t>
      </w:r>
      <w:r>
        <w:rPr>
          <w:rFonts w:hint="eastAsia" w:ascii="黑体" w:hAnsi="黑体" w:eastAsia="黑体" w:cs="黑体"/>
          <w:sz w:val="28"/>
          <w:szCs w:val="28"/>
          <w:lang w:eastAsia="zh-CN"/>
        </w:rPr>
        <w:t>张紫丹</w:t>
      </w:r>
      <w:r>
        <w:rPr>
          <w:rFonts w:hint="eastAsia" w:ascii="黑体" w:hAnsi="黑体" w:eastAsia="黑体" w:cs="黑体"/>
          <w:sz w:val="28"/>
          <w:szCs w:val="28"/>
        </w:rPr>
        <w:t xml:space="preserve">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 xml:space="preserve">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联系电话：</w:t>
      </w:r>
      <w:r>
        <w:rPr>
          <w:rFonts w:hint="eastAsia" w:ascii="黑体" w:hAnsi="黑体" w:eastAsia="黑体" w:cs="黑体"/>
          <w:sz w:val="28"/>
          <w:szCs w:val="28"/>
          <w:lang w:val="en-US" w:eastAsia="zh-CN"/>
        </w:rPr>
        <w:t>027-87537849</w:t>
      </w:r>
    </w:p>
    <w:tbl>
      <w:tblPr>
        <w:tblStyle w:val="7"/>
        <w:tblW w:w="14598" w:type="dxa"/>
        <w:tblInd w:w="-7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2"/>
        <w:gridCol w:w="3481"/>
        <w:gridCol w:w="1979"/>
        <w:gridCol w:w="3317"/>
        <w:gridCol w:w="1270"/>
        <w:gridCol w:w="1234"/>
        <w:gridCol w:w="1182"/>
        <w:gridCol w:w="14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27" w:hRule="atLeast"/>
        </w:trPr>
        <w:tc>
          <w:tcPr>
            <w:tcW w:w="7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序号</w:t>
            </w:r>
          </w:p>
        </w:tc>
        <w:tc>
          <w:tcPr>
            <w:tcW w:w="34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计划名称</w:t>
            </w:r>
          </w:p>
          <w:p>
            <w:pPr>
              <w:pStyle w:val="2"/>
              <w:keepNext w:val="0"/>
              <w:keepLines w:val="0"/>
              <w:pageBreakBefore w:val="0"/>
              <w:kinsoku/>
              <w:wordWrap/>
              <w:overflowPunct/>
              <w:topLinePunct w:val="0"/>
              <w:autoSpaceDE/>
              <w:autoSpaceDN/>
              <w:bidi w:val="0"/>
              <w:adjustRightInd/>
              <w:snapToGrid/>
              <w:spacing w:after="0" w:afterLines="0" w:line="400" w:lineRule="exact"/>
              <w:rPr>
                <w:rFonts w:hint="eastAsia"/>
                <w:sz w:val="24"/>
                <w:szCs w:val="24"/>
              </w:rPr>
            </w:pPr>
            <w:r>
              <w:rPr>
                <w:rFonts w:hint="eastAsia" w:ascii="黑体" w:hAnsi="宋体" w:eastAsia="黑体" w:cs="黑体"/>
                <w:i w:val="0"/>
                <w:color w:val="000000"/>
                <w:kern w:val="0"/>
                <w:sz w:val="24"/>
                <w:szCs w:val="24"/>
                <w:u w:val="none"/>
                <w:lang w:val="en-US" w:eastAsia="zh-CN" w:bidi="ar"/>
              </w:rPr>
              <w:t>（2025年东湖高新</w:t>
            </w:r>
            <w:r>
              <w:rPr>
                <w:rFonts w:hint="eastAsia" w:ascii="黑体" w:hAnsi="宋体" w:eastAsia="黑体" w:cs="黑体"/>
                <w:i w:val="0"/>
                <w:color w:val="000000"/>
                <w:sz w:val="24"/>
                <w:szCs w:val="24"/>
                <w:u w:val="none"/>
                <w:lang w:val="en-US" w:eastAsia="zh-CN"/>
              </w:rPr>
              <w:t>区对XXXX的抽查计划</w:t>
            </w:r>
            <w:r>
              <w:rPr>
                <w:rFonts w:hint="eastAsia" w:ascii="黑体" w:hAnsi="宋体" w:eastAsia="黑体" w:cs="黑体"/>
                <w:i w:val="0"/>
                <w:color w:val="000000"/>
                <w:kern w:val="0"/>
                <w:sz w:val="24"/>
                <w:szCs w:val="24"/>
                <w:u w:val="none"/>
                <w:lang w:val="en-US" w:eastAsia="zh-CN" w:bidi="ar"/>
              </w:rPr>
              <w:t>）</w:t>
            </w:r>
          </w:p>
        </w:tc>
        <w:tc>
          <w:tcPr>
            <w:tcW w:w="19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抽查类别</w:t>
            </w:r>
          </w:p>
        </w:tc>
        <w:tc>
          <w:tcPr>
            <w:tcW w:w="3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rPr>
            </w:pPr>
            <w:r>
              <w:rPr>
                <w:rFonts w:hint="eastAsia" w:ascii="黑体" w:hAnsi="宋体" w:eastAsia="黑体" w:cs="黑体"/>
                <w:i w:val="0"/>
                <w:color w:val="000000"/>
                <w:kern w:val="0"/>
                <w:sz w:val="24"/>
                <w:szCs w:val="24"/>
                <w:u w:val="none"/>
                <w:lang w:val="en-US" w:eastAsia="zh-CN" w:bidi="ar"/>
              </w:rPr>
              <w:t>所覆盖的抽查事项</w:t>
            </w:r>
          </w:p>
        </w:tc>
        <w:tc>
          <w:tcPr>
            <w:tcW w:w="127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抽查对象</w:t>
            </w:r>
          </w:p>
        </w:tc>
        <w:tc>
          <w:tcPr>
            <w:tcW w:w="123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抽查比例</w:t>
            </w:r>
          </w:p>
        </w:tc>
        <w:tc>
          <w:tcPr>
            <w:tcW w:w="118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抽查频率</w:t>
            </w:r>
          </w:p>
        </w:tc>
        <w:tc>
          <w:tcPr>
            <w:tcW w:w="14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eastAsiaTheme="minorEastAsia"/>
                <w:sz w:val="24"/>
                <w:szCs w:val="24"/>
                <w:lang w:val="en-US" w:eastAsia="zh-CN"/>
              </w:rPr>
            </w:pPr>
            <w:r>
              <w:rPr>
                <w:rFonts w:hint="eastAsia" w:ascii="黑体" w:hAnsi="宋体" w:eastAsia="黑体" w:cs="黑体"/>
                <w:i w:val="0"/>
                <w:color w:val="000000"/>
                <w:kern w:val="0"/>
                <w:sz w:val="24"/>
                <w:szCs w:val="24"/>
                <w:u w:val="none"/>
                <w:lang w:val="en-US" w:eastAsia="zh-CN" w:bidi="ar"/>
              </w:rPr>
              <w:t>实施时间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trPr>
        <w:tc>
          <w:tcPr>
            <w:tcW w:w="7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1</w:t>
            </w:r>
          </w:p>
        </w:tc>
        <w:tc>
          <w:tcPr>
            <w:tcW w:w="34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2025年东湖高新区对艺术品经营单位的联合抽查计划</w:t>
            </w:r>
          </w:p>
        </w:tc>
        <w:tc>
          <w:tcPr>
            <w:tcW w:w="19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i w:val="0"/>
                <w:color w:val="000000"/>
                <w:sz w:val="22"/>
                <w:szCs w:val="22"/>
                <w:u w:val="none"/>
                <w:lang w:eastAsia="zh-CN"/>
              </w:rPr>
            </w:pPr>
            <w:r>
              <w:rPr>
                <w:rFonts w:hint="eastAsia" w:ascii="仿宋_GB2312" w:hAnsi="仿宋_GB2312" w:eastAsia="仿宋_GB2312" w:cs="仿宋_GB2312"/>
                <w:i w:val="0"/>
                <w:color w:val="000000"/>
                <w:sz w:val="22"/>
                <w:szCs w:val="22"/>
                <w:u w:val="none"/>
                <w:lang w:eastAsia="zh-CN"/>
              </w:rPr>
              <w:t>艺术品经营单位监督抽查</w:t>
            </w:r>
          </w:p>
        </w:tc>
        <w:tc>
          <w:tcPr>
            <w:tcW w:w="3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对设立从事艺术品经营活动的经营单位未按规定到住所地县级以上人民政府文化行政部门备案等行为的检查；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对所经营的艺术品未标明作者、年代、尺寸、材料、保存状况和销售价格等信息等行为的检查；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对向消费者隐瞒艺术品来源，或者在艺术品说明中隐瞒重要事项，误导消费者等行为的检查；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对违反《艺术品经营管理办法》第六条、第七条规定经营艺术品的检查；</w:t>
            </w:r>
          </w:p>
        </w:tc>
        <w:tc>
          <w:tcPr>
            <w:tcW w:w="1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sz w:val="22"/>
                <w:szCs w:val="22"/>
                <w:u w:val="none"/>
                <w:lang w:val="en-US" w:eastAsia="zh-CN"/>
              </w:rPr>
              <w:t>艺术品经营单位</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3%</w:t>
            </w:r>
          </w:p>
        </w:tc>
        <w:tc>
          <w:tcPr>
            <w:tcW w:w="118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1次/年</w:t>
            </w:r>
          </w:p>
        </w:tc>
        <w:tc>
          <w:tcPr>
            <w:tcW w:w="14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ind w:firstLine="240" w:firstLineChars="100"/>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4-10月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trPr>
        <w:tc>
          <w:tcPr>
            <w:tcW w:w="7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2</w:t>
            </w:r>
          </w:p>
        </w:tc>
        <w:tc>
          <w:tcPr>
            <w:tcW w:w="34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2025年东湖高新区对校外培训机构（文化艺术类、体育类）规范办学的联合抽查计划</w:t>
            </w:r>
          </w:p>
        </w:tc>
        <w:tc>
          <w:tcPr>
            <w:tcW w:w="19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i w:val="0"/>
                <w:color w:val="000000"/>
                <w:sz w:val="22"/>
                <w:szCs w:val="22"/>
                <w:u w:val="none"/>
                <w:lang w:eastAsia="zh-CN"/>
              </w:rPr>
            </w:pPr>
            <w:r>
              <w:rPr>
                <w:rFonts w:hint="eastAsia" w:ascii="仿宋_GB2312" w:hAnsi="仿宋_GB2312" w:eastAsia="仿宋_GB2312" w:cs="仿宋_GB2312"/>
                <w:i w:val="0"/>
                <w:color w:val="000000"/>
                <w:sz w:val="22"/>
                <w:szCs w:val="22"/>
                <w:u w:val="none"/>
                <w:lang w:eastAsia="zh-CN"/>
              </w:rPr>
              <w:t>校外培训机构（文化艺术类、体育类）规范办学抽查</w:t>
            </w:r>
          </w:p>
        </w:tc>
        <w:tc>
          <w:tcPr>
            <w:tcW w:w="3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有符合安全条件的固定培训场所，培训时有预留安全距离，确保不拥挤、易疏散；</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专兼职教职人员基本信息在办学场所显著位置公示，专职教师不少于教师总量的50％；</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办学场所显著位置悬挂办学许可证、营业执照或民办非企业单位登记证书（提供餐饮服务的，还应当符合食品经营等管理规定要求）；</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应当全面使用《中小学生校外培训服务合同（示范文本）》（2021年修订版）；</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应当规范选用教学材料；</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不得聘用中小学校在职教职人员或为其从事有偿辅导提供场地等条件，不得与中小学校联合开展招生或者培训，不得为中小学校推荐生源或者提供招生考试等服务，不得以任何形式借举办文化艺术类培训之名开设学科类课程内容；</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有制定事故应急处置预案，定期开展应急处置演练；</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收费实行明码标价，培训内容、培训时长、收费项目、收费标准等信息在办学场所显著位置公示；</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不得一次性收取或以充值、次卡等形式变相收取时间跨度超过3个月或60课时的费用，且不得超过5000元。</w:t>
            </w:r>
          </w:p>
        </w:tc>
        <w:tc>
          <w:tcPr>
            <w:tcW w:w="1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sz w:val="22"/>
                <w:szCs w:val="22"/>
                <w:u w:val="none"/>
                <w:lang w:val="en-US" w:eastAsia="zh-CN"/>
              </w:rPr>
              <w:t>文化艺术类、体育类培训机构</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3%</w:t>
            </w:r>
          </w:p>
        </w:tc>
        <w:tc>
          <w:tcPr>
            <w:tcW w:w="118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1次/年</w:t>
            </w:r>
          </w:p>
        </w:tc>
        <w:tc>
          <w:tcPr>
            <w:tcW w:w="14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ind w:firstLine="240" w:firstLineChars="100"/>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4-10月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trPr>
        <w:tc>
          <w:tcPr>
            <w:tcW w:w="7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3</w:t>
            </w:r>
          </w:p>
        </w:tc>
        <w:tc>
          <w:tcPr>
            <w:tcW w:w="34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2025年东湖高新区对互联网上网服务营业场所经营情况的联合抽查计划</w:t>
            </w:r>
          </w:p>
        </w:tc>
        <w:tc>
          <w:tcPr>
            <w:tcW w:w="19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i w:val="0"/>
                <w:color w:val="000000"/>
                <w:sz w:val="22"/>
                <w:szCs w:val="22"/>
                <w:u w:val="none"/>
                <w:lang w:eastAsia="zh-CN"/>
              </w:rPr>
            </w:pPr>
            <w:r>
              <w:rPr>
                <w:rFonts w:hint="eastAsia" w:ascii="仿宋_GB2312" w:hAnsi="仿宋_GB2312" w:eastAsia="仿宋_GB2312" w:cs="仿宋_GB2312"/>
                <w:i w:val="0"/>
                <w:color w:val="000000"/>
                <w:sz w:val="22"/>
                <w:szCs w:val="22"/>
                <w:u w:val="none"/>
                <w:lang w:eastAsia="zh-CN"/>
              </w:rPr>
              <w:t>互联网上网服务营业场所经营情况抽查</w:t>
            </w:r>
          </w:p>
        </w:tc>
        <w:tc>
          <w:tcPr>
            <w:tcW w:w="3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网吧不能登录</w:t>
            </w:r>
            <w:bookmarkStart w:id="0" w:name="_GoBack"/>
            <w:bookmarkEnd w:id="0"/>
            <w:r>
              <w:rPr>
                <w:rFonts w:hint="eastAsia" w:ascii="仿宋_GB2312" w:hAnsi="仿宋_GB2312" w:eastAsia="仿宋_GB2312" w:cs="仿宋_GB2312"/>
                <w:lang w:val="en-US" w:eastAsia="zh-CN"/>
              </w:rPr>
              <w:t>含有色情、暴力、赌博、邪教等违法内容的网页和网络游戏</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室内公共场所和办公场所设有禁烟标识，无人吸烟；消防设施符合标准</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加强网吧管理、取缔“黑网吧”，在营业场所显著位置悬挂《网络文化经营许可证》和营业执照（证照齐全，有《文化经营许可证》、《安全合格证》、《营业执照》，亮证经营）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网吧严格执行上网消费者实名登记制度，有查看身份证记录，在显著位置设有“未成年人不得进入”警示牌；网吧无接纳未成年人上网现象；</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设有学雷锋志愿服务岗，有相应佩戴“志愿者”标识的公共文明引导志愿服务人员；</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工作人员对社会主义核心价值观“24字”、中国梦、志愿精神和建设全国文明城市知晓率100%；</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公共场所无争吵谩骂、乱扔杂物、随地吐痰、损坏公共设施及花木、乱贴乱画小广告等不文明行为，环境卫生干净整洁；</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有社会主义核心价值观“24字”、中国梦、志愿精神、建设全国文明城市、未成年人思想道德建设“讲文明树新风”公益广告宣传；有与周边环境协调融合的“遵德守礼”提示牌</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开展行业诚信建设和行业规范教育实践活动，在显著位置展示行业规范，行业规范里有社会主义核心价值观、志愿服务内容；有高效的投诉处理机制（查看投诉箱、投诉电话、投诉处理记录本等）；</w:t>
            </w:r>
          </w:p>
        </w:tc>
        <w:tc>
          <w:tcPr>
            <w:tcW w:w="1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sz w:val="22"/>
                <w:szCs w:val="22"/>
                <w:u w:val="none"/>
                <w:lang w:val="en-US" w:eastAsia="zh-CN"/>
              </w:rPr>
              <w:t>互联网上网服务营业场所</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3%</w:t>
            </w:r>
          </w:p>
        </w:tc>
        <w:tc>
          <w:tcPr>
            <w:tcW w:w="118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1次/年</w:t>
            </w:r>
          </w:p>
        </w:tc>
        <w:tc>
          <w:tcPr>
            <w:tcW w:w="14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ind w:firstLine="240" w:firstLineChars="100"/>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4-10月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trPr>
        <w:tc>
          <w:tcPr>
            <w:tcW w:w="7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4</w:t>
            </w:r>
          </w:p>
        </w:tc>
        <w:tc>
          <w:tcPr>
            <w:tcW w:w="34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2025年东湖高新区对互联网文化活动的联合抽查计划</w:t>
            </w:r>
          </w:p>
        </w:tc>
        <w:tc>
          <w:tcPr>
            <w:tcW w:w="19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i w:val="0"/>
                <w:color w:val="000000"/>
                <w:sz w:val="22"/>
                <w:szCs w:val="22"/>
                <w:u w:val="none"/>
                <w:lang w:eastAsia="zh-CN"/>
              </w:rPr>
            </w:pPr>
            <w:r>
              <w:rPr>
                <w:rFonts w:hint="eastAsia" w:ascii="仿宋_GB2312" w:hAnsi="仿宋_GB2312" w:eastAsia="仿宋_GB2312" w:cs="仿宋_GB2312"/>
                <w:i w:val="0"/>
                <w:color w:val="000000"/>
                <w:sz w:val="22"/>
                <w:szCs w:val="22"/>
                <w:u w:val="none"/>
                <w:lang w:eastAsia="zh-CN"/>
              </w:rPr>
              <w:t>互联网文化活动监督抽查</w:t>
            </w:r>
          </w:p>
        </w:tc>
        <w:tc>
          <w:tcPr>
            <w:tcW w:w="3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网络表演经营单位从事网络表演经营活动未申请许可证；从事网络表演经营活动未按照许可证业务范围从事网络表演活动的检查；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网络表演经营单位发现本单位所提供的网络表演含有违法违规内容，未立即停止提供服务，保存有关记录，并立即向本单位注册地或者实际经营地省级文化行政部门或文化市场综合执法机构报告的检查；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互联网文化单位应当在其网站主页的显著位置标明文化行政部门颁发的《网络文化经营许可证》编号或者备案编号，标明国务院信息产业主管部门或者省、自治区、直辖市电信管理机构颁发的经营许可证编号或者备案编号的检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网络表演经营单位提供载有禁止内容的文化产品的检查；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经营性互联网文化单位经营进口互联网文化产品是否在其显著位置标明文化部批准文号、经营国产互联网文化产品未在其显著位置标明文化部备案编号的检查；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非经营性互联网文化单位未向省、自治区、直辖市文化行政部门备案的检查；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互联网文化单位是否建立自审制度，明确专门部门，配备专业人员负责互联网文化产品内容和活动的自查与管理，保障互联网文化产品内容和活动的合法性的检查；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网络表演经营单位未在表演频道内及表演音视频上，标注经营单位标识等信息；未根据表演者信用等级、所提供的表演内容类型等，对表演频道采取针对性管理措施的检查；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网络表演经营单位未按规定将本单位上季度的自审信息（包括实时监运情况、发现问题处置情况和提供违法违规内容的表演者信息等）报送文化部的检查；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网络表演经营单位发现用户发布违法信息的未立即停止为其提供服务，保存有关记录并向有关部门报告的检查；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非经营性互联网文化单位是否提供含有明令禁止内容的互联网文化产品或未经文化行政部门批准的进口互联网文化产品的检查；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互联网文化单位发现所提供的互联网文化产品含有禁止内容是否立即停止提供并保存有关记录，或者未向所在地省、自治区、直辖市人民政府文化行政部门报告并抄报文化部的检查；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非经营性互联网文化单位变更是否按规定时限到文化行政部门办理变更手续的检查；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未经批准，擅自从事经营性互联网文化活动的检查；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网络表演经营单位未建立健全内容审核管理制度，配备满足自审需要并取得相应资质的审核人员，未建立适应内容管理需要的技术监管措施的检查；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经营性互联网文化单位是否擅自变更进口互联网文化产品的名称或者增删内容的检查；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网络表演经营单位未建立内部巡查监督管理制度，对网络表演进行实时监管；未记录全部网络表演视频资料并妥善保存；向公众提供的非实时的网络表演音视频（包括用户上传的），未严格实行先自审后上线的检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网络表演经营单位为未经批准的境外表演者开通表演频道；为境内表演者开通表演频道逾期未备案的检查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网络表演经营单位未与表演者签订协议,约定权利义务；未要求表演者使用有效身份证件进行实名注册并核实；未依法保护表演者的身份信息的检查；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不具备内容自审及实时监管能力的网络表演经营单位开通表演频道；未采取监管措施或未通过内容自审的网络表演产品向公众提供的检查；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经营性互联网文化单位是否提供含有明令禁止内容的互联网文化产品或未经文化行政部门批准进口的互联网文化产品的检查；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经营性互联网文化单位经营国产互联网文化产品是否逾期未报文化行政部门备案的检查；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p>
        </w:tc>
        <w:tc>
          <w:tcPr>
            <w:tcW w:w="1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sz w:val="22"/>
                <w:szCs w:val="22"/>
                <w:u w:val="none"/>
                <w:lang w:val="en-US" w:eastAsia="zh-CN"/>
              </w:rPr>
              <w:t>互联网文化经营单位</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3%</w:t>
            </w:r>
          </w:p>
        </w:tc>
        <w:tc>
          <w:tcPr>
            <w:tcW w:w="118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1次/年</w:t>
            </w:r>
          </w:p>
        </w:tc>
        <w:tc>
          <w:tcPr>
            <w:tcW w:w="14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ind w:firstLine="240" w:firstLineChars="100"/>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4-10月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trPr>
        <w:tc>
          <w:tcPr>
            <w:tcW w:w="7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5</w:t>
            </w:r>
          </w:p>
        </w:tc>
        <w:tc>
          <w:tcPr>
            <w:tcW w:w="34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2025年东湖高新区对营业性演出经营活动从业单位的联合抽查计划</w:t>
            </w:r>
          </w:p>
        </w:tc>
        <w:tc>
          <w:tcPr>
            <w:tcW w:w="19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i w:val="0"/>
                <w:color w:val="000000"/>
                <w:sz w:val="22"/>
                <w:szCs w:val="22"/>
                <w:u w:val="none"/>
                <w:lang w:eastAsia="zh-CN"/>
              </w:rPr>
            </w:pPr>
            <w:r>
              <w:rPr>
                <w:rFonts w:hint="eastAsia" w:ascii="仿宋_GB2312" w:hAnsi="仿宋_GB2312" w:eastAsia="仿宋_GB2312" w:cs="仿宋_GB2312"/>
                <w:i w:val="0"/>
                <w:color w:val="000000"/>
                <w:sz w:val="22"/>
                <w:szCs w:val="22"/>
                <w:u w:val="none"/>
                <w:lang w:val="en-US" w:eastAsia="zh-CN"/>
              </w:rPr>
              <w:t>营业性演出经营活动从业单位监督抽查</w:t>
            </w:r>
          </w:p>
        </w:tc>
        <w:tc>
          <w:tcPr>
            <w:tcW w:w="3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演出经纪机构申请从事营业性演出经营活动，是否有3名以上专职演出经纪人员；</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演出经纪机构是否在注册地经营；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是否到省、自治区、直辖市文化和旅游行政部门进行审批或者备案；</w:t>
            </w:r>
          </w:p>
        </w:tc>
        <w:tc>
          <w:tcPr>
            <w:tcW w:w="1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演出经纪机构</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3%</w:t>
            </w:r>
          </w:p>
        </w:tc>
        <w:tc>
          <w:tcPr>
            <w:tcW w:w="118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1次/年</w:t>
            </w:r>
          </w:p>
        </w:tc>
        <w:tc>
          <w:tcPr>
            <w:tcW w:w="14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ind w:firstLine="240" w:firstLineChars="100"/>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4-10月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trPr>
        <w:tc>
          <w:tcPr>
            <w:tcW w:w="7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6</w:t>
            </w:r>
          </w:p>
        </w:tc>
        <w:tc>
          <w:tcPr>
            <w:tcW w:w="34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2025年东湖高新区对旅游行业的联合抽查计划</w:t>
            </w:r>
          </w:p>
        </w:tc>
        <w:tc>
          <w:tcPr>
            <w:tcW w:w="19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i w:val="0"/>
                <w:color w:val="000000"/>
                <w:sz w:val="22"/>
                <w:szCs w:val="22"/>
                <w:u w:val="none"/>
                <w:lang w:eastAsia="zh-CN"/>
              </w:rPr>
            </w:pPr>
            <w:r>
              <w:rPr>
                <w:rFonts w:hint="eastAsia" w:ascii="仿宋_GB2312" w:hAnsi="仿宋_GB2312" w:eastAsia="仿宋_GB2312" w:cs="仿宋_GB2312"/>
                <w:i w:val="0"/>
                <w:color w:val="000000"/>
                <w:sz w:val="22"/>
                <w:szCs w:val="22"/>
                <w:u w:val="none"/>
                <w:lang w:val="en-US" w:eastAsia="zh-CN"/>
              </w:rPr>
              <w:t>旅游行业监督抽查</w:t>
            </w:r>
          </w:p>
        </w:tc>
        <w:tc>
          <w:tcPr>
            <w:tcW w:w="3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对旅行社未在规定期限内向其质量保证金账户存入、增存、补足质量保证金或者提交相应的银行担保，拒不改正的行为的监督检查；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对以不合理的低价组织旅游活动的监督检查；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对旅行社未经批准，擅自引进外商投资；</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对外商投资旅行社违法经营中国内地居民出国旅游业务以及赴香港特别行政区、澳门特别行政区和台湾地区旅游业务的行为的监督检查；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对旅行社支付费用不规范的监督检查；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对旅行社与旅游者签订旅游合同及按规定履行旅游合同等行为的检查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对旅行社违反《旅游安全管理办法》相关规定行为的监督检查；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对旅游经营者给予或收受贿赂的行为的监督检查；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旅行社未经许可经营出境旅游或边境旅游业务；出租、出借或以其他方式非法转让旅行社业务经营许可证、受让或者租借旅行社业务经营许可证等行为的检查的检查；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对旅行社及其委派的导游人员、领队人员发生危及旅游者人身安全的情形，未采取必要的处置措施并及时报告的行为的监督检查；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对旅行社经批准擅自经营或者以商务、考察、培训等方式变相经营出国旅游业务；</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对旅行社组织、接待出入境旅游，发现旅游经营者、旅游者或者领队导游人员从事违法活动；非法滞留、擅自分团脱团而不及时报告等行为的监督检查；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对旅行社在宣传、供应商管理、投保旅行社责任险、违规设立及管理分支机构等方面是否违反有关经营规范的监督检查；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对旅行社是否按照规定委派导游、领队的监督检查；以及向导游支付费用或要求收取费用的检查；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对旅行社是否将旅游目的地接待旅行社的情况告知旅游者的检查；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对旅行社安排旅游者参观或参与违反我国法律、法规和社会公德的项目或者活动的行为的监督检查；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旅行社变更名称、经营场所、法定代表人等登记事项或者终止经营，未在规定期限内向原许可的旅游行政管理部门备案，换领或者交回旅行社业务经营许可证的检查；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对旅行社资料保存的监督检查；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对旅行社违反《在线旅游经营服务管理暂行规定》相关规定行为的监督检查；</w:t>
            </w:r>
          </w:p>
        </w:tc>
        <w:tc>
          <w:tcPr>
            <w:tcW w:w="1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旅行社</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3%</w:t>
            </w:r>
          </w:p>
        </w:tc>
        <w:tc>
          <w:tcPr>
            <w:tcW w:w="118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1次/年</w:t>
            </w:r>
          </w:p>
        </w:tc>
        <w:tc>
          <w:tcPr>
            <w:tcW w:w="14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ind w:firstLine="240" w:firstLineChars="100"/>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4-10月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trPr>
        <w:tc>
          <w:tcPr>
            <w:tcW w:w="7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7</w:t>
            </w:r>
          </w:p>
        </w:tc>
        <w:tc>
          <w:tcPr>
            <w:tcW w:w="34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2025年东湖高新区对体育行业的联合抽查计划</w:t>
            </w:r>
          </w:p>
        </w:tc>
        <w:tc>
          <w:tcPr>
            <w:tcW w:w="19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i w:val="0"/>
                <w:color w:val="000000"/>
                <w:sz w:val="22"/>
                <w:szCs w:val="22"/>
                <w:u w:val="none"/>
                <w:lang w:eastAsia="zh-CN"/>
              </w:rPr>
            </w:pPr>
            <w:r>
              <w:rPr>
                <w:rFonts w:hint="eastAsia" w:ascii="仿宋_GB2312" w:hAnsi="仿宋_GB2312" w:eastAsia="仿宋_GB2312" w:cs="仿宋_GB2312"/>
                <w:i w:val="0"/>
                <w:color w:val="000000"/>
                <w:sz w:val="22"/>
                <w:szCs w:val="22"/>
                <w:u w:val="none"/>
                <w:lang w:eastAsia="zh-CN"/>
              </w:rPr>
              <w:t>体育行业监督抽查</w:t>
            </w:r>
          </w:p>
        </w:tc>
        <w:tc>
          <w:tcPr>
            <w:tcW w:w="3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经营高危险性体育项目的检查</w:t>
            </w:r>
          </w:p>
        </w:tc>
        <w:tc>
          <w:tcPr>
            <w:tcW w:w="1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本行政区域内开展的高危险性体育项目经营活动</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3%</w:t>
            </w:r>
          </w:p>
        </w:tc>
        <w:tc>
          <w:tcPr>
            <w:tcW w:w="118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1次/年</w:t>
            </w:r>
          </w:p>
        </w:tc>
        <w:tc>
          <w:tcPr>
            <w:tcW w:w="14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ind w:firstLine="240" w:firstLineChars="100"/>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4-10月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6" w:hRule="atLeast"/>
        </w:trPr>
        <w:tc>
          <w:tcPr>
            <w:tcW w:w="4193"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rPr>
                <w:rFonts w:hint="eastAsia" w:ascii="仿宋_GB2312" w:eastAsia="仿宋_GB2312" w:cs="仿宋_GB2312" w:hAnsiTheme="minorHAnsi"/>
                <w:kern w:val="0"/>
                <w:sz w:val="21"/>
                <w:szCs w:val="21"/>
                <w:lang w:val="en-US" w:eastAsia="zh-CN" w:bidi="ar"/>
              </w:rPr>
            </w:pPr>
            <w:r>
              <w:rPr>
                <w:rFonts w:hint="eastAsia" w:ascii="黑体" w:hAnsi="宋体" w:eastAsia="黑体" w:cs="黑体"/>
                <w:i w:val="0"/>
                <w:color w:val="000000"/>
                <w:kern w:val="0"/>
                <w:sz w:val="24"/>
                <w:szCs w:val="24"/>
                <w:u w:val="none"/>
                <w:lang w:val="en-US" w:eastAsia="zh-CN" w:bidi="ar"/>
              </w:rPr>
              <w:t>抽查计划公示网址：</w:t>
            </w:r>
          </w:p>
        </w:tc>
        <w:tc>
          <w:tcPr>
            <w:tcW w:w="10405"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rPr>
                <w:rFonts w:hint="eastAsia" w:ascii="仿宋_GB2312" w:eastAsia="仿宋_GB2312" w:cs="仿宋_GB2312" w:hAnsiTheme="minorHAnsi"/>
                <w:kern w:val="0"/>
                <w:sz w:val="21"/>
                <w:szCs w:val="21"/>
                <w:lang w:val="en-US" w:eastAsia="zh-CN" w:bidi="ar"/>
              </w:rPr>
            </w:pPr>
            <w:r>
              <w:rPr>
                <w:rFonts w:hint="eastAsia" w:ascii="黑体" w:hAnsi="宋体" w:eastAsia="黑体" w:cs="黑体"/>
                <w:i w:val="0"/>
                <w:color w:val="000000"/>
                <w:kern w:val="0"/>
                <w:sz w:val="24"/>
                <w:szCs w:val="24"/>
                <w:u w:val="none"/>
                <w:lang w:val="en-US" w:eastAsia="zh-CN" w:bidi="ar"/>
              </w:rPr>
              <w:t>http://jyh.wuhan.gov.cn/govapp/</w:t>
            </w:r>
          </w:p>
        </w:tc>
      </w:tr>
    </w:tbl>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sz w:val="32"/>
          <w:szCs w:val="32"/>
          <w:lang w:val="en-US" w:eastAsia="zh-CN"/>
        </w:rPr>
      </w:pPr>
    </w:p>
    <w:sectPr>
      <w:footerReference r:id="rId3" w:type="default"/>
      <w:pgSz w:w="16838" w:h="11906" w:orient="landscape"/>
      <w:pgMar w:top="1587" w:right="2098" w:bottom="1474" w:left="198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ind w:right="360" w:firstLine="360"/>
      <w:jc w:val="right"/>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AC6BE28"/>
    <w:rsid w:val="003D4E9F"/>
    <w:rsid w:val="0069148A"/>
    <w:rsid w:val="012E1EA1"/>
    <w:rsid w:val="015D2AF0"/>
    <w:rsid w:val="037C4625"/>
    <w:rsid w:val="04DD7C18"/>
    <w:rsid w:val="057008C9"/>
    <w:rsid w:val="059513E9"/>
    <w:rsid w:val="067F5C2F"/>
    <w:rsid w:val="07561E39"/>
    <w:rsid w:val="07EC5F39"/>
    <w:rsid w:val="097301CB"/>
    <w:rsid w:val="09773F19"/>
    <w:rsid w:val="098E3752"/>
    <w:rsid w:val="09917A6C"/>
    <w:rsid w:val="0AB90A33"/>
    <w:rsid w:val="0ADA3FB1"/>
    <w:rsid w:val="0C33473B"/>
    <w:rsid w:val="0C923791"/>
    <w:rsid w:val="0CC40FA6"/>
    <w:rsid w:val="0D014473"/>
    <w:rsid w:val="0D5F2911"/>
    <w:rsid w:val="0DB52738"/>
    <w:rsid w:val="0E095CC3"/>
    <w:rsid w:val="0E33212C"/>
    <w:rsid w:val="0FA211E9"/>
    <w:rsid w:val="12805A13"/>
    <w:rsid w:val="13480242"/>
    <w:rsid w:val="13A75575"/>
    <w:rsid w:val="145E591C"/>
    <w:rsid w:val="14D81971"/>
    <w:rsid w:val="163F5DC0"/>
    <w:rsid w:val="17125AF9"/>
    <w:rsid w:val="173A756A"/>
    <w:rsid w:val="17494B03"/>
    <w:rsid w:val="17EA567C"/>
    <w:rsid w:val="18844DD0"/>
    <w:rsid w:val="19752BBB"/>
    <w:rsid w:val="1A3A0B94"/>
    <w:rsid w:val="1AA30FB9"/>
    <w:rsid w:val="1C053746"/>
    <w:rsid w:val="1DF70F61"/>
    <w:rsid w:val="1E1B13E0"/>
    <w:rsid w:val="20F504CF"/>
    <w:rsid w:val="213E291E"/>
    <w:rsid w:val="23151D58"/>
    <w:rsid w:val="2367345A"/>
    <w:rsid w:val="248A5BC5"/>
    <w:rsid w:val="256B60AE"/>
    <w:rsid w:val="25792350"/>
    <w:rsid w:val="25D23EE8"/>
    <w:rsid w:val="26C061CD"/>
    <w:rsid w:val="27AB7336"/>
    <w:rsid w:val="27C92907"/>
    <w:rsid w:val="27DF52EE"/>
    <w:rsid w:val="27F451BA"/>
    <w:rsid w:val="284C6C04"/>
    <w:rsid w:val="293C5FC0"/>
    <w:rsid w:val="29690B12"/>
    <w:rsid w:val="29A1070F"/>
    <w:rsid w:val="29E85D2B"/>
    <w:rsid w:val="29F0326A"/>
    <w:rsid w:val="29FF3ECA"/>
    <w:rsid w:val="2A751D0C"/>
    <w:rsid w:val="2AAB1F76"/>
    <w:rsid w:val="2AF34FF7"/>
    <w:rsid w:val="2B6120DB"/>
    <w:rsid w:val="2B6A0171"/>
    <w:rsid w:val="2B776CC1"/>
    <w:rsid w:val="2BDF443E"/>
    <w:rsid w:val="2CB3235F"/>
    <w:rsid w:val="2D1D3919"/>
    <w:rsid w:val="2EBA1A47"/>
    <w:rsid w:val="2ED62DD6"/>
    <w:rsid w:val="2F4205E6"/>
    <w:rsid w:val="2F5714DE"/>
    <w:rsid w:val="2F6D7E66"/>
    <w:rsid w:val="31CB097C"/>
    <w:rsid w:val="31D756CA"/>
    <w:rsid w:val="31E96B45"/>
    <w:rsid w:val="32117D47"/>
    <w:rsid w:val="3319470B"/>
    <w:rsid w:val="33AE3FA0"/>
    <w:rsid w:val="35650702"/>
    <w:rsid w:val="36AC59AC"/>
    <w:rsid w:val="37603D46"/>
    <w:rsid w:val="38DB2257"/>
    <w:rsid w:val="39866C86"/>
    <w:rsid w:val="39BC5E85"/>
    <w:rsid w:val="3A0D0D8A"/>
    <w:rsid w:val="3ABB445B"/>
    <w:rsid w:val="3B2C1CF9"/>
    <w:rsid w:val="3BD6412E"/>
    <w:rsid w:val="3C902E61"/>
    <w:rsid w:val="3CDF7A4C"/>
    <w:rsid w:val="3DF105A2"/>
    <w:rsid w:val="3E07027E"/>
    <w:rsid w:val="3EFB088D"/>
    <w:rsid w:val="3F214228"/>
    <w:rsid w:val="3F553543"/>
    <w:rsid w:val="3F7C066E"/>
    <w:rsid w:val="41271833"/>
    <w:rsid w:val="4146328A"/>
    <w:rsid w:val="417B3CEE"/>
    <w:rsid w:val="42B83345"/>
    <w:rsid w:val="43AB388B"/>
    <w:rsid w:val="447374B8"/>
    <w:rsid w:val="449E1A37"/>
    <w:rsid w:val="44A257B6"/>
    <w:rsid w:val="45682774"/>
    <w:rsid w:val="45881ACC"/>
    <w:rsid w:val="45AB262F"/>
    <w:rsid w:val="45C058C7"/>
    <w:rsid w:val="474A39F4"/>
    <w:rsid w:val="49811FD9"/>
    <w:rsid w:val="4AA17492"/>
    <w:rsid w:val="4BEF79E6"/>
    <w:rsid w:val="4C473F40"/>
    <w:rsid w:val="4D4F6FD3"/>
    <w:rsid w:val="4E0053D0"/>
    <w:rsid w:val="4E52CD96"/>
    <w:rsid w:val="4F603D45"/>
    <w:rsid w:val="50247716"/>
    <w:rsid w:val="51937B48"/>
    <w:rsid w:val="52BD06D4"/>
    <w:rsid w:val="52EF054D"/>
    <w:rsid w:val="530244FE"/>
    <w:rsid w:val="53E458DF"/>
    <w:rsid w:val="540951A3"/>
    <w:rsid w:val="54293B3E"/>
    <w:rsid w:val="54A62489"/>
    <w:rsid w:val="56614505"/>
    <w:rsid w:val="56807D45"/>
    <w:rsid w:val="57632D00"/>
    <w:rsid w:val="576D3913"/>
    <w:rsid w:val="57D032D6"/>
    <w:rsid w:val="58CB387D"/>
    <w:rsid w:val="58D475CA"/>
    <w:rsid w:val="590C5A49"/>
    <w:rsid w:val="5A05231C"/>
    <w:rsid w:val="5A4F7505"/>
    <w:rsid w:val="5AB941CD"/>
    <w:rsid w:val="5C481B1D"/>
    <w:rsid w:val="5C7C3087"/>
    <w:rsid w:val="5CBA03C6"/>
    <w:rsid w:val="5CD12910"/>
    <w:rsid w:val="5D32718E"/>
    <w:rsid w:val="5D521589"/>
    <w:rsid w:val="5D8E4C92"/>
    <w:rsid w:val="5E0F3633"/>
    <w:rsid w:val="5F72B9D9"/>
    <w:rsid w:val="5F7B48F1"/>
    <w:rsid w:val="5F807A78"/>
    <w:rsid w:val="5F895CE0"/>
    <w:rsid w:val="60057D93"/>
    <w:rsid w:val="607C4313"/>
    <w:rsid w:val="61C26DD5"/>
    <w:rsid w:val="6272775D"/>
    <w:rsid w:val="6489AC69"/>
    <w:rsid w:val="65602EDF"/>
    <w:rsid w:val="65763A0F"/>
    <w:rsid w:val="66A46671"/>
    <w:rsid w:val="68491F1B"/>
    <w:rsid w:val="68BB0D57"/>
    <w:rsid w:val="69D93969"/>
    <w:rsid w:val="69DC7DAC"/>
    <w:rsid w:val="6A43516B"/>
    <w:rsid w:val="6AB6019B"/>
    <w:rsid w:val="6B52448F"/>
    <w:rsid w:val="6BFDBB19"/>
    <w:rsid w:val="6CFB6C8E"/>
    <w:rsid w:val="6D305690"/>
    <w:rsid w:val="6E5A705B"/>
    <w:rsid w:val="6EAE7B05"/>
    <w:rsid w:val="6F771052"/>
    <w:rsid w:val="6FFFB377"/>
    <w:rsid w:val="7028360F"/>
    <w:rsid w:val="70425E9D"/>
    <w:rsid w:val="70784837"/>
    <w:rsid w:val="71C725E9"/>
    <w:rsid w:val="722F33AA"/>
    <w:rsid w:val="739C3076"/>
    <w:rsid w:val="75DF5132"/>
    <w:rsid w:val="767D5FA1"/>
    <w:rsid w:val="78736C52"/>
    <w:rsid w:val="78FD0A82"/>
    <w:rsid w:val="79184349"/>
    <w:rsid w:val="7AB17DE3"/>
    <w:rsid w:val="7BB62E9A"/>
    <w:rsid w:val="7BEFD26A"/>
    <w:rsid w:val="7C4B6E04"/>
    <w:rsid w:val="7CC733F0"/>
    <w:rsid w:val="7CDD6942"/>
    <w:rsid w:val="7CE45542"/>
    <w:rsid w:val="7DC65737"/>
    <w:rsid w:val="7E0F10C4"/>
    <w:rsid w:val="7F2B6464"/>
    <w:rsid w:val="7FEFA898"/>
    <w:rsid w:val="9BBF7900"/>
    <w:rsid w:val="AEFB3D00"/>
    <w:rsid w:val="B917327E"/>
    <w:rsid w:val="CF8F08E7"/>
    <w:rsid w:val="EAC6BE28"/>
    <w:rsid w:val="EFF237C7"/>
    <w:rsid w:val="FDAF90F6"/>
    <w:rsid w:val="FFFCF3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Normal Indent"/>
    <w:basedOn w:val="1"/>
    <w:unhideWhenUsed/>
    <w:qFormat/>
    <w:uiPriority w:val="99"/>
    <w:pPr>
      <w:ind w:firstLine="420" w:firstLineChars="200"/>
    </w:pPr>
  </w:style>
  <w:style w:type="paragraph" w:styleId="4">
    <w:name w:val="footer"/>
    <w:basedOn w:val="1"/>
    <w:qFormat/>
    <w:uiPriority w:val="0"/>
    <w:pPr>
      <w:tabs>
        <w:tab w:val="center" w:pos="4153"/>
        <w:tab w:val="right" w:pos="8306"/>
      </w:tabs>
      <w:snapToGrid w:val="0"/>
      <w:jc w:val="left"/>
    </w:pPr>
    <w:rPr>
      <w:rFonts w:ascii="Times New Roman" w:hAnsi="Times New Roman" w:eastAsia="宋体"/>
      <w:kern w:val="2"/>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Emphasis"/>
    <w:basedOn w:val="9"/>
    <w:qFormat/>
    <w:uiPriority w:val="0"/>
    <w:rPr>
      <w:i/>
    </w:rPr>
  </w:style>
  <w:style w:type="character" w:styleId="12">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3737</Words>
  <Characters>3819</Characters>
  <Lines>0</Lines>
  <Paragraphs>0</Paragraphs>
  <TotalTime>11</TotalTime>
  <ScaleCrop>false</ScaleCrop>
  <LinksUpToDate>false</LinksUpToDate>
  <CharactersWithSpaces>3831</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2022-03-11T01:06:00Z</dcterms:created>
  <dc:creator>ipason</dc:creator>
  <cp:lastModifiedBy>UOS</cp:lastModifiedBy>
  <cp:lastPrinted>2025-03-12T02:35:00Z</cp:lastPrinted>
  <dcterms:modified xsi:type="dcterms:W3CDTF">2025-12-11T18:28:01Z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CF82CB5BB798449DBE07DBB1AE08B121_13</vt:lpwstr>
  </property>
  <property fmtid="{D5CDD505-2E9C-101B-9397-08002B2CF9AE}" pid="4" name="KSOTemplateDocerSaveRecord">
    <vt:lpwstr>eyJoZGlkIjoiMzEwNTM5NzYwMDRjMzkwZTVkZjY2ODkwMGIxNGU0OTUiLCJ1c2VySWQiOiIxMTMxNTg2MjI4In0=</vt:lpwstr>
  </property>
</Properties>
</file>