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29"/>
        <w:gridCol w:w="1575"/>
        <w:gridCol w:w="1185"/>
        <w:gridCol w:w="1110"/>
        <w:gridCol w:w="1241"/>
        <w:gridCol w:w="1425"/>
        <w:gridCol w:w="1200"/>
        <w:gridCol w:w="130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0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Nimbus Roman No9 L" w:hAnsi="Nimbus Roman No9 L" w:eastAsia="方正小标宋简体" w:cs="Nimbus Roman No9 L"/>
                <w:b w:val="0"/>
                <w:bCs w:val="0"/>
                <w:sz w:val="36"/>
                <w:szCs w:val="36"/>
                <w:shd w:val="clear" w:color="auto" w:fill="FFFFFF"/>
                <w:lang w:val="en-US" w:eastAsia="zh-CN"/>
              </w:rPr>
              <w:t>东湖高新区绿色制造培育企业绿色绩效指标汇总表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2024年产值（亿）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用地面积（平米）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能耗总量（吨标煤）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碳排放总量（吨）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固废综合利用率（%）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主要污染物排放量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可再生能源量（KWH）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 w:line="600" w:lineRule="exact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备注：1、主要污染物包括SO2、氨氮、COD、氮氧化合物、VOC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，可分别填写；</w:t>
      </w:r>
    </w:p>
    <w:p>
      <w:pPr>
        <w:spacing w:beforeLines="0" w:afterLines="0" w:line="600" w:lineRule="exact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2、可再生能源是指企业配建光伏、氢能等，不包括外购绿电。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2025-04-08T01:48:24Z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