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3</w:t>
      </w:r>
    </w:p>
    <w:tbl>
      <w:tblPr>
        <w:tblStyle w:val="2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79"/>
        <w:gridCol w:w="1035"/>
        <w:gridCol w:w="3971"/>
        <w:gridCol w:w="1485"/>
        <w:gridCol w:w="127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Nimbus Roman No9 L" w:hAnsi="Nimbus Roman No9 L" w:eastAsia="方正小标宋简体" w:cs="Nimbus Roman No9 L"/>
                <w:b w:val="0"/>
                <w:bCs w:val="0"/>
                <w:sz w:val="36"/>
                <w:szCs w:val="36"/>
                <w:shd w:val="clear" w:color="auto" w:fill="FFFFFF"/>
                <w:lang w:val="en-US" w:eastAsia="zh-CN"/>
              </w:rPr>
              <w:t>培育企业绿色化改造项目及计划汇总表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 w:line="60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改造项目包括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2023年以来已经实施的项目、2026年前计划实施的项目；</w:t>
      </w:r>
    </w:p>
    <w:p>
      <w:pPr>
        <w:spacing w:beforeLines="0" w:afterLines="0" w:line="600" w:lineRule="exact"/>
        <w:ind w:firstLine="64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2、项目指标包括年节能量、节水量、降碳量、节约成本量、污染物削减量等。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2025-04-08T01:49:14Z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