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武汉</w:t>
      </w:r>
      <w:r>
        <w:rPr>
          <w:rFonts w:hint="eastAsia" w:ascii="方正小标宋简体" w:eastAsia="方正小标宋简体" w:cs="方正小标宋简体"/>
          <w:sz w:val="44"/>
          <w:szCs w:val="44"/>
        </w:rPr>
        <w:t>市实体书店扶持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资金申报指南</w:t>
      </w:r>
    </w:p>
    <w:p>
      <w:pPr>
        <w:numPr>
          <w:ilvl w:val="0"/>
          <w:numId w:val="1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新设网点类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奖励标准：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见《武汉市实体书店扶持政策实施细则（试行）》（武宣文〔2025〕17号）第八条。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需提交的材料：</w:t>
      </w:r>
    </w:p>
    <w:p>
      <w:pPr>
        <w:numPr>
          <w:ilvl w:val="0"/>
          <w:numId w:val="0"/>
        </w:numPr>
        <w:spacing w:line="55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1.《2026年武汉市实体书店扶持资金申报表》（见附件2），所有项目信息须电脑录入填写完整，申报表可在格式不变的基础上根据需要自行调整、加页；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2.《武汉市实体书店扶持资金项目承诺书》（见附件3）；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3.房屋产权证中涉及经营区域的空间布局图复印件（需在图上标注清楚经营区域、出版物经营区域、出版物经营面积占比），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第三方出具的2025年度财务报告（需包含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版物销售收入占比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4.2025年图书进货单、进货发票的复印件，如以总公司名义开具发票的，还需提供加盖总公司公章的图书配送清单、内部结算凭证；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5.营业执照、出版物经营许可证（非法人分支机构备案表）等其他与申报内容相关的证明材料。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所有纸质材料使用A4纸打印装订，提交的纸质版材料一式三份并加盖单位公章。</w:t>
      </w:r>
    </w:p>
    <w:p>
      <w:pPr>
        <w:numPr>
          <w:ilvl w:val="0"/>
          <w:numId w:val="1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专业特色类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奖励标准：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见《武汉市实体书店扶持政策实施细则（试行）》（武宣文〔2025〕17号）第八条。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需提交的材料：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1.《2026年武汉市实体书店扶持资金申报表》（见附件2），所有项目信息须电脑录入填写完整，申报表可在格式不变的基础上根据需要自行调整、加页；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2.《武汉市实体书店扶持资金项目承诺书》（见附件3）；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3.房屋产权证中涉及经营区域的空间布局图复印件（需在图上标注清楚经营区域、出版物经营区域、出版物经营面积占比），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第三方出具的2025年度财务报告（需包含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版物销售收入占比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4.2025年图书进货单、进货发票的复印件，如以总公司名义开具发票的，还需提供加盖总公司公章的图书配送清单、内部结算凭证；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5.营业执照、出版物经营许可证（非法人分支机构备案表）等其他与申报内容相关的证明材料。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所有纸质材料使用A4纸打印装订，提交的纸质版材料一式三份并加盖单位公章。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三、全民阅读类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奖励标准：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见《武汉市实体书店扶持政策实施细则（试行）》（武宣文〔2025〕17号）第八条。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需提交的材料：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1.《2026年武汉市实体书店扶持资金申报表》（见附件2），所有项目信息须电脑录入填写完整，申报表可在格式不变的基础上根据需要自行调整、加页；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2.《武汉市实体书店扶持资金项目承诺书》（见附件3）；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3.房屋产权证中涉及经营区域的空间布局图复印件（需在图上标注清楚经营区域、出版物经营区域、出版物经营面积占比），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第三方出具的2025年度财务报告（需包含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版物销售收入占比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）；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4.《武汉市实体书店扶持全民阅读活动申报信息汇总表》（见附件4）；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auto"/>
          <w:lang w:val="en-US" w:eastAsia="zh-CN" w:bidi="ar"/>
        </w:rPr>
        <w:t>5.每场活动均需提供《武汉市实体书店扶持全民阅读活动申报表》（见附件5）；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default" w:ascii="仿宋_GB2312" w:hAnsi="仿宋_GB2312" w:eastAsia="仿宋_GB2312" w:cs="仿宋_GB2312"/>
          <w:bCs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auto"/>
          <w:lang w:val="en-US" w:eastAsia="zh-CN" w:bidi="ar"/>
        </w:rPr>
        <w:t>6.提供能够反映全民阅读活动成本（如场租、嘉宾邀请、活动物料等）支出的发票，发票上注明开展活动的信息（包括时间、地点、活动名称、用途等），发票装订在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《武汉市实体书店扶持全民阅读活动申报信息汇总表》（见附件4）后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auto"/>
          <w:lang w:val="en-US" w:eastAsia="zh-CN" w:bidi="ar"/>
        </w:rPr>
        <w:t xml:space="preserve">；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7.营业执照、出版物经营许可证（非法人分支机构备案表）等其他与申报内容相关的证明材料。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所有纸质材料使用A4纸打印装订，提交的纸质版材料一式三份并加盖单位公章。</w:t>
      </w:r>
    </w:p>
    <w:p>
      <w:pPr>
        <w:numPr>
          <w:ilvl w:val="0"/>
          <w:numId w:val="0"/>
        </w:numPr>
        <w:spacing w:line="550" w:lineRule="exact"/>
        <w:ind w:leftChars="200" w:firstLine="320" w:firstLineChars="1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四、专项奖励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奖励标准：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见《武汉市实体书店扶持政策实施细则（试行）》（武宣文〔2025〕17号）第八条。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需提交的材料：</w:t>
      </w:r>
    </w:p>
    <w:p>
      <w:pPr>
        <w:numPr>
          <w:ilvl w:val="0"/>
          <w:numId w:val="0"/>
        </w:numPr>
        <w:spacing w:line="550" w:lineRule="exact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1.《2026年武汉市实体书店扶持资金申报表》（见附件2）。所有项目信息须电脑录入填写完整，申报表可在格式不变的基础上根据需要自行调整、加页；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2．《武汉市实体书店扶持资金项目承诺书》（见附件3）；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3.房屋产权证中涉及经营区域的空间布局图复印件（需在图上标注清楚经营区域、出版物经营区域、出版物经营面积占比），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第三方出具的2025年度财务报告（需包含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版物销售收入占比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）； 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4.2025年荣获的市级以上荣誉称号证明材料复印件；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 xml:space="preserve">5.营业执照、出版物经营许可证（非法人分支机构备案表）等其他与申报内容相关的证明材料。 </w:t>
      </w:r>
    </w:p>
    <w:p>
      <w:pPr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所有纸质材料使用A4纸打印装订，提交的纸质版材料一式三份并加盖单位公章。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五、其他事项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申报新设网点类、专业特色类、全民阅读类的实体书店，需同时申报专项奖励的，在原有材料基础上补充2025年荣获的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市级以上荣誉称号证明材料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复印件即可，无需重复提交其他材料。</w:t>
      </w: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武汉</w:t>
      </w:r>
      <w:r>
        <w:rPr>
          <w:rFonts w:hint="eastAsia" w:ascii="方正小标宋简体" w:eastAsia="方正小标宋简体" w:cs="方正小标宋简体"/>
          <w:sz w:val="44"/>
          <w:szCs w:val="44"/>
        </w:rPr>
        <w:t>市实体书店扶持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资金</w:t>
      </w:r>
      <w:r>
        <w:rPr>
          <w:rFonts w:hint="eastAsia" w:asci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表</w:t>
      </w:r>
    </w:p>
    <w:p>
      <w:pPr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jc w:val="left"/>
        <w:rPr>
          <w:rFonts w:ascii="仿宋" w:hAnsi="仿宋" w:eastAsia="仿宋"/>
          <w:sz w:val="44"/>
          <w:szCs w:val="44"/>
        </w:rPr>
      </w:pPr>
    </w:p>
    <w:p>
      <w:pPr>
        <w:ind w:firstLine="321" w:firstLineChars="1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申报类型：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新设网点类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专业特色类</w:t>
      </w:r>
    </w:p>
    <w:p>
      <w:pPr>
        <w:ind w:firstLine="321" w:firstLineChars="1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　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全民阅读类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专项奖励</w:t>
      </w:r>
    </w:p>
    <w:p>
      <w:pPr>
        <w:ind w:firstLine="960" w:firstLine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none"/>
        </w:rPr>
        <w:t>____________________</w:t>
      </w:r>
    </w:p>
    <w:p>
      <w:pPr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non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 w:val="0"/>
          <w:bCs w:val="0"/>
          <w:sz w:val="32"/>
          <w:szCs w:val="32"/>
          <w:u w:val="none"/>
        </w:rPr>
        <w:t>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 w:val="0"/>
          <w:bCs w:val="0"/>
          <w:sz w:val="32"/>
          <w:szCs w:val="32"/>
          <w:u w:val="none"/>
        </w:rPr>
        <w:t>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 w:val="0"/>
          <w:bCs w:val="0"/>
          <w:sz w:val="32"/>
          <w:szCs w:val="32"/>
          <w:u w:val="none"/>
        </w:rPr>
        <w:t>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29" w:firstLineChars="196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ascii="宋体"/>
          <w:sz w:val="32"/>
          <w:szCs w:val="32"/>
        </w:rPr>
        <w:br w:type="page"/>
      </w:r>
      <w:r>
        <w:rPr>
          <w:rFonts w:hint="eastAsia" w:ascii="方正小标宋简体" w:hAnsi="宋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 w:cs="方正小标宋简体"/>
          <w:sz w:val="32"/>
          <w:szCs w:val="32"/>
          <w:lang w:eastAsia="zh-CN"/>
        </w:rPr>
        <w:t>武汉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市实体书店扶持</w:t>
      </w:r>
      <w:r>
        <w:rPr>
          <w:rFonts w:hint="eastAsia" w:ascii="方正小标宋简体" w:hAnsi="宋体" w:eastAsia="方正小标宋简体" w:cs="方正小标宋简体"/>
          <w:sz w:val="32"/>
          <w:szCs w:val="32"/>
          <w:lang w:eastAsia="zh-CN"/>
        </w:rPr>
        <w:t>资金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申报表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2672"/>
        <w:gridCol w:w="1436"/>
        <w:gridCol w:w="892"/>
        <w:gridCol w:w="1640"/>
        <w:gridCol w:w="430"/>
        <w:gridCol w:w="3"/>
        <w:gridCol w:w="990"/>
        <w:gridCol w:w="297"/>
        <w:gridCol w:w="692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90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5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实体书店填写部分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" w:hRule="atLeast"/>
          <w:jc w:val="center"/>
        </w:trPr>
        <w:tc>
          <w:tcPr>
            <w:tcW w:w="2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书店名称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营业地址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等线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  <w:t>网上销售图书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网店名称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网上经营地址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83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w w:val="90"/>
                <w:kern w:val="0"/>
                <w:sz w:val="24"/>
                <w:lang w:eastAsia="zh-CN"/>
              </w:rPr>
              <w:t>单位法定代表人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947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4947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94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经营年限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141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所有制类型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□国有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新华书店系统）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□民营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□外商独资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□中外合作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□中外合资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面积布局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经营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平方米，其中出版物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经营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面积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平方米，出版物经营面积占比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93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业务运营情况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年营业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万元，其中出版物销售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万元，出版物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销售收入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占比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与其相关的经营活动收入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万元，其他收入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  <w:r>
              <w:rPr>
                <w:rFonts w:ascii="仿宋_GB2312" w:hAnsi="等线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年支出总额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万元，其中人员工资（含社保）支出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万元，房租支出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万元，水电费支出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万元，其他费用支出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698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所在区域位置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可多选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□繁华街道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□商业中心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□交通枢纽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□人口密集社区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□旅游景点、校园等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□一层临街商铺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□农村基层网点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□其他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795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营业时间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_GB2312" w:hAnsi="等线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24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小时营业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□非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24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小时营业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校园书店周营业时间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211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出版物数量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册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-10000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册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册以上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141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出版物品种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-1000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种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-5000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种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种以上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607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主题特色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□红色书店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□古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□儿童书店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□科技书店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□艺术书店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□其他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专业书店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274" w:hRule="atLeast"/>
          <w:jc w:val="center"/>
        </w:trPr>
        <w:tc>
          <w:tcPr>
            <w:tcW w:w="26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年获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奖情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况（可另附表）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共获得相关荣誉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次，其中获得国家级荣誉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省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次，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级荣誉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_____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17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荣誉称号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颁奖单位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85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601" w:hRule="atLeast"/>
          <w:jc w:val="center"/>
        </w:trPr>
        <w:tc>
          <w:tcPr>
            <w:tcW w:w="2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7823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2025年度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业务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总结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（可另附页）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4958" w:hRule="atLeast"/>
          <w:jc w:val="center"/>
        </w:trPr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下一步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工作计划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（可另附页）</w:t>
            </w:r>
          </w:p>
        </w:tc>
        <w:tc>
          <w:tcPr>
            <w:tcW w:w="638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0" w:hRule="atLeast"/>
          <w:jc w:val="center"/>
        </w:trPr>
        <w:tc>
          <w:tcPr>
            <w:tcW w:w="90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区级主管部门填写部分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企业资质</w:t>
            </w: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有营业执照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有出版物经营许可证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持续经营一年以上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已参加年检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 xml:space="preserve">  已做出版物网络发行备案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出版物经营面积占比不低于50%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出版物销售收入占比不低于50%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近两年内未受到各级新闻出版主管部门行政处罚（含网店），且无其他违法记录、无安全生产事故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有健全的财务管理制度和会计核算制度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有图书进货单、进货合同，进货渠道规范□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03" w:hRule="atLeast"/>
          <w:jc w:val="center"/>
        </w:trPr>
        <w:tc>
          <w:tcPr>
            <w:tcW w:w="26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出版物经营面积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（不含库房）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书店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经营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面积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color w:val="000000"/>
                <w:kern w:val="0"/>
                <w:sz w:val="24"/>
              </w:rPr>
              <w:t>其中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出版物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经营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区面积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____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平方米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出版物经营面积占比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____%</w:t>
            </w:r>
          </w:p>
        </w:tc>
        <w:tc>
          <w:tcPr>
            <w:tcW w:w="17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提供的空间布局图是否符合实际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11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pacing w:val="-11"/>
                <w:kern w:val="0"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等线" w:eastAsia="仿宋_GB2312" w:cs="仿宋_GB2312"/>
                <w:color w:val="000000"/>
                <w:spacing w:val="-11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等线" w:eastAsia="仿宋_GB2312" w:cs="仿宋_GB2312"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新设立城市书店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不少于50平方米    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新设立乡村书店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不少于30平方米    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不少于30平方米    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校园书店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不少于200平方米   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479" w:leftChars="114" w:hanging="240" w:hangingChars="1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24小时书店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不少于30平方米    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图书占比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新设立城市书店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非教辅类图书占比不少于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新设立乡村书店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非教辅类图书占比不少于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专业类出版物占比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校园书店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出版物品种不少于5000种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24小时书店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非教辅类图书占比不少于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both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营业时间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校园书店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周营业时间不少于42小时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both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开展活动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全民阅读类书店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405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开展全民阅读活动不少于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安全管理</w:t>
            </w:r>
          </w:p>
        </w:tc>
        <w:tc>
          <w:tcPr>
            <w:tcW w:w="4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是否有安全应急预案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是否有安全制度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69" w:hRule="atLeast"/>
          <w:jc w:val="center"/>
        </w:trPr>
        <w:tc>
          <w:tcPr>
            <w:tcW w:w="26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是否有安全灭火设备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等线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□有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" w:hRule="atLeast"/>
          <w:jc w:val="center"/>
        </w:trPr>
        <w:tc>
          <w:tcPr>
            <w:tcW w:w="2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720" w:firstLineChars="300"/>
              <w:jc w:val="left"/>
              <w:textAlignment w:val="auto"/>
              <w:outlineLvl w:val="9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  <w:t>总体情况</w:t>
            </w: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企业提供材料是否符合实际情况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思源黑体 CN" w:hAnsi="思源黑体 CN" w:eastAsia="思源黑体 CN" w:cs="思源黑体 C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eastAsia" w:ascii="思源黑体 CN" w:hAnsi="思源黑体 CN" w:eastAsia="思源黑体 CN" w:cs="思源黑体 C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黑体 CN" w:hAnsi="思源黑体 CN" w:eastAsia="思源黑体 CN" w:cs="思源黑体 C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95" w:hRule="atLeast"/>
          <w:jc w:val="center"/>
        </w:trPr>
        <w:tc>
          <w:tcPr>
            <w:tcW w:w="2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  <w:t>区级主管部门推荐意见</w:t>
            </w:r>
          </w:p>
        </w:tc>
        <w:tc>
          <w:tcPr>
            <w:tcW w:w="63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年  月  日</w:t>
            </w:r>
          </w:p>
        </w:tc>
      </w:tr>
    </w:tbl>
    <w:p>
      <w:pPr>
        <w:rPr>
          <w:rFonts w:hint="eastAsia" w:ascii="黑体" w:hAnsi="黑体" w:eastAsia="黑体"/>
          <w:sz w:val="36"/>
          <w:szCs w:val="36"/>
          <w:lang w:eastAsia="zh-CN"/>
        </w:rPr>
        <w:sectPr>
          <w:footerReference r:id="rId3" w:type="default"/>
          <w:footerReference r:id="rId4" w:type="even"/>
          <w:pgSz w:w="11906" w:h="16838"/>
          <w:pgMar w:top="1701" w:right="1474" w:bottom="1701" w:left="158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40" w:lineRule="exact"/>
        <w:jc w:val="both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ind w:left="-315" w:leftChars="-150" w:right="-315" w:rightChars="-1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武汉</w:t>
      </w:r>
      <w:r>
        <w:rPr>
          <w:rFonts w:hint="eastAsia" w:ascii="方正小标宋简体" w:eastAsia="方正小标宋简体"/>
          <w:sz w:val="44"/>
          <w:szCs w:val="44"/>
        </w:rPr>
        <w:t>市实体书店扶持资金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68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6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___________</w:t>
      </w:r>
      <w:r>
        <w:rPr>
          <w:rFonts w:hint="eastAsia" w:ascii="仿宋_GB2312" w:hAnsi="仿宋" w:eastAsia="仿宋_GB2312"/>
          <w:sz w:val="32"/>
          <w:szCs w:val="32"/>
        </w:rPr>
        <w:t>（单位法定名称）郑重承诺：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我单位申请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武汉</w:t>
      </w:r>
      <w:r>
        <w:rPr>
          <w:rFonts w:hint="eastAsia" w:ascii="仿宋_GB2312" w:hAnsi="仿宋" w:eastAsia="仿宋_GB2312"/>
          <w:sz w:val="32"/>
          <w:szCs w:val="32"/>
        </w:rPr>
        <w:t>市实体书店扶持资金项目所有申报材料及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填报</w:t>
      </w:r>
      <w:r>
        <w:rPr>
          <w:rFonts w:hint="eastAsia" w:ascii="仿宋_GB2312" w:hAnsi="仿宋" w:eastAsia="仿宋_GB2312"/>
          <w:sz w:val="32"/>
          <w:szCs w:val="32"/>
        </w:rPr>
        <w:t>的全部信息真实、合法、有效。我单位在收到项目资金后，保证严格遵守《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武汉</w:t>
      </w:r>
      <w:r>
        <w:rPr>
          <w:rFonts w:hint="eastAsia" w:ascii="仿宋_GB2312" w:hAnsi="仿宋" w:eastAsia="仿宋_GB2312"/>
          <w:sz w:val="32"/>
          <w:szCs w:val="32"/>
        </w:rPr>
        <w:t>市实体书店扶持资金管理办法》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《武汉市实体书店扶持政策实施细则（试行）》</w:t>
      </w:r>
      <w:r>
        <w:rPr>
          <w:rFonts w:hint="eastAsia" w:ascii="仿宋_GB2312" w:hAnsi="仿宋" w:eastAsia="仿宋_GB2312"/>
          <w:sz w:val="32"/>
          <w:szCs w:val="32"/>
        </w:rPr>
        <w:t>的各项规定及使用要求，确保项目资金专款专用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不以任何理由改变资金用途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我单位对上述承诺内容负相应的法律责任，并承担由此产生的一切后果。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特此承诺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　</w:t>
      </w:r>
      <w:r>
        <w:rPr>
          <w:rFonts w:hint="eastAsia" w:ascii="仿宋_GB2312" w:hAnsi="仿宋" w:eastAsia="仿宋_GB2312"/>
          <w:sz w:val="32"/>
          <w:szCs w:val="32"/>
        </w:rPr>
        <w:t>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　</w:t>
      </w:r>
      <w:r>
        <w:rPr>
          <w:rFonts w:hint="eastAsia" w:ascii="仿宋_GB2312" w:hAnsi="仿宋" w:eastAsia="仿宋_GB2312"/>
          <w:sz w:val="32"/>
          <w:szCs w:val="32"/>
        </w:rPr>
        <w:t>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　</w:t>
      </w:r>
      <w:r>
        <w:rPr>
          <w:rFonts w:hint="eastAsia" w:ascii="仿宋_GB2312" w:hAnsi="仿宋" w:eastAsia="仿宋_GB2312"/>
          <w:sz w:val="32"/>
          <w:szCs w:val="32"/>
        </w:rPr>
        <w:t>章</w:t>
      </w:r>
    </w:p>
    <w:p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承诺人（</w:t>
      </w: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仿宋" w:eastAsia="仿宋_GB2312"/>
          <w:sz w:val="32"/>
          <w:szCs w:val="32"/>
        </w:rPr>
        <w:t xml:space="preserve"> 月　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武汉市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实体书店扶持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全民阅读活动申报信息汇总表</w:t>
      </w:r>
    </w:p>
    <w:tbl>
      <w:tblPr>
        <w:tblStyle w:val="8"/>
        <w:tblpPr w:leftFromText="180" w:rightFromText="180" w:vertAnchor="text" w:horzAnchor="page" w:tblpX="1609" w:tblpY="180"/>
        <w:tblOverlap w:val="never"/>
        <w:tblW w:w="89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71"/>
        <w:gridCol w:w="875"/>
        <w:gridCol w:w="3090"/>
        <w:gridCol w:w="613"/>
        <w:gridCol w:w="850"/>
        <w:gridCol w:w="7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公司名称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书店名称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申报总额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活动级别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（市级以下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/市级/省级/国家级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地点 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>活动时间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参与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  <w:t>申报费用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atLeast"/>
        </w:trPr>
        <w:tc>
          <w:tcPr>
            <w:tcW w:w="2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eastAsia="zh-CN"/>
              </w:rPr>
              <w:t>区级主管部门审核意见</w:t>
            </w:r>
          </w:p>
        </w:tc>
        <w:tc>
          <w:tcPr>
            <w:tcW w:w="61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等线" w:eastAsia="仿宋_GB2312"/>
                <w:color w:val="000000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1701" w:right="1474" w:bottom="1701" w:left="158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ind w:firstLine="800" w:firstLineChars="200"/>
        <w:rPr>
          <w:rFonts w:hint="eastAsia" w:ascii="仿宋_GB2312" w:hAnsi="仿宋" w:eastAsia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武汉市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实体书店扶持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全民阅读活动申报表</w:t>
      </w:r>
    </w:p>
    <w:tbl>
      <w:tblPr>
        <w:tblStyle w:val="8"/>
        <w:tblpPr w:leftFromText="180" w:rightFromText="180" w:vertAnchor="text" w:horzAnchor="page" w:tblpX="1487" w:tblpY="65"/>
        <w:tblOverlap w:val="never"/>
        <w:tblW w:w="891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6"/>
        <w:gridCol w:w="1500"/>
        <w:gridCol w:w="1500"/>
        <w:gridCol w:w="921"/>
        <w:gridCol w:w="1545"/>
        <w:gridCol w:w="16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公司名称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书店名称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活动名称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时--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时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形式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线上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场地面积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活动主题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党的方针政策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和红色经典等重大主题</w:t>
            </w:r>
          </w:p>
        </w:tc>
        <w:tc>
          <w:tcPr>
            <w:tcW w:w="5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贯彻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习近平新时代中国特色社会主义思想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党的二十大精神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及二十届二中、三中、四中全会精神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□传播党的方针政策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□党史、新中国史、改革发展史、社会主义发展史学习教育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宣传社会主义核心价值观</w:t>
            </w:r>
          </w:p>
        </w:tc>
        <w:tc>
          <w:tcPr>
            <w:tcW w:w="5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□传承中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华优秀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传统文化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□弘扬红色奋斗文化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□传播现代科学知识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提升市民现代生活质量</w:t>
            </w:r>
          </w:p>
        </w:tc>
        <w:tc>
          <w:tcPr>
            <w:tcW w:w="5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□促进健康生活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□倡导素质教育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□培养文明旅游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□发展全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运动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普及推广旧书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18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其他</w:t>
            </w:r>
          </w:p>
        </w:tc>
        <w:tc>
          <w:tcPr>
            <w:tcW w:w="55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活动品牌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类型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主题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讲座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研讨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论坛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诵读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表演   □绘（剧）本展演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沙龙访谈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读者见面会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其他类型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参加活动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及人员数量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□儿童    □青少年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□退休人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参与人数：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，线上（峰值或累计数）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申报费用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6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活动内容简介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18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相关佐证材料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必须提供活动预告或通知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反映活动参与人数的现场图片，图片说明统一标注为“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XX月XX日，在XX举办的XX活动，共计XX人参加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”。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可补充提供活动方案、宣传报道截图、截屏等其他证明材料。可另附页）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atLeast"/>
        </w:trPr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区级主管部门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审核意见</w:t>
            </w:r>
          </w:p>
        </w:tc>
        <w:tc>
          <w:tcPr>
            <w:tcW w:w="70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01" w:right="1474" w:bottom="1701" w:left="1587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思源黑体 CN">
    <w:altName w:val="Droid Sans Fallback"/>
    <w:panose1 w:val="020B0600000000000000"/>
    <w:charset w:val="00"/>
    <w:family w:val="auto"/>
    <w:pitch w:val="default"/>
    <w:sig w:usb0="00000000" w:usb1="00000000" w:usb2="00000016" w:usb3="00000000" w:csb0="60060107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Calibri" w:hAnsi="Calibri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Calibri" w:hAnsi="Calibri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Fj5Mq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Calibri" w:hAnsi="Calibri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Calibri" w:hAnsi="Calibri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Calibri" w:hAnsi="Calibri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Calibri" w:hAnsi="Calibri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Calibri" w:hAnsi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Calibri" w:hAnsi="Calibri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Calibri" w:hAnsi="Calibri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Calibri" w:hAnsi="Calibri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B096E"/>
    <w:multiLevelType w:val="singleLevel"/>
    <w:tmpl w:val="FFBB09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606F"/>
    <w:rsid w:val="0141732B"/>
    <w:rsid w:val="07705B7E"/>
    <w:rsid w:val="0B330EF5"/>
    <w:rsid w:val="11FB1372"/>
    <w:rsid w:val="159F4282"/>
    <w:rsid w:val="186226AF"/>
    <w:rsid w:val="1F63E34D"/>
    <w:rsid w:val="1FDDDA28"/>
    <w:rsid w:val="1FE6D985"/>
    <w:rsid w:val="23C95F1B"/>
    <w:rsid w:val="24FB0CCA"/>
    <w:rsid w:val="27EF2E67"/>
    <w:rsid w:val="29B93F7B"/>
    <w:rsid w:val="2BECD030"/>
    <w:rsid w:val="2FFFD319"/>
    <w:rsid w:val="302D0F96"/>
    <w:rsid w:val="33B77C73"/>
    <w:rsid w:val="33DDD813"/>
    <w:rsid w:val="3526AF4F"/>
    <w:rsid w:val="36B2A5B4"/>
    <w:rsid w:val="371E5618"/>
    <w:rsid w:val="37DE6971"/>
    <w:rsid w:val="37FD42E5"/>
    <w:rsid w:val="39FE1489"/>
    <w:rsid w:val="3B5FF3F1"/>
    <w:rsid w:val="3BDB6F72"/>
    <w:rsid w:val="3BFE6FCA"/>
    <w:rsid w:val="3DCBF29A"/>
    <w:rsid w:val="3DDE14CC"/>
    <w:rsid w:val="3E9EA261"/>
    <w:rsid w:val="3F3F35B8"/>
    <w:rsid w:val="3F9FA69B"/>
    <w:rsid w:val="3FAE1314"/>
    <w:rsid w:val="3FFF0EBA"/>
    <w:rsid w:val="42100F98"/>
    <w:rsid w:val="45169E16"/>
    <w:rsid w:val="451D1B49"/>
    <w:rsid w:val="4597DA6C"/>
    <w:rsid w:val="479C70E6"/>
    <w:rsid w:val="4A2E2E8E"/>
    <w:rsid w:val="4A9A7950"/>
    <w:rsid w:val="51CA65CF"/>
    <w:rsid w:val="52F80306"/>
    <w:rsid w:val="53B3820E"/>
    <w:rsid w:val="53DB4A45"/>
    <w:rsid w:val="54147EFD"/>
    <w:rsid w:val="577B87A1"/>
    <w:rsid w:val="57F57E3E"/>
    <w:rsid w:val="58960EB2"/>
    <w:rsid w:val="58A04220"/>
    <w:rsid w:val="58BA2C8C"/>
    <w:rsid w:val="58DA37EF"/>
    <w:rsid w:val="59B65232"/>
    <w:rsid w:val="5B3FF262"/>
    <w:rsid w:val="5BEF4D1C"/>
    <w:rsid w:val="5BF3A24E"/>
    <w:rsid w:val="5D7D1138"/>
    <w:rsid w:val="5DB74A82"/>
    <w:rsid w:val="5DBEE9DB"/>
    <w:rsid w:val="5E17132C"/>
    <w:rsid w:val="5E5D45DD"/>
    <w:rsid w:val="5F5E33FD"/>
    <w:rsid w:val="5F8BFDB6"/>
    <w:rsid w:val="5FFBA23C"/>
    <w:rsid w:val="62C2722E"/>
    <w:rsid w:val="65FD7397"/>
    <w:rsid w:val="6657214E"/>
    <w:rsid w:val="67DF5EC2"/>
    <w:rsid w:val="6DEF3F36"/>
    <w:rsid w:val="6EF51F7D"/>
    <w:rsid w:val="6F9BE1B4"/>
    <w:rsid w:val="6FCFC508"/>
    <w:rsid w:val="6FF9DF59"/>
    <w:rsid w:val="6FFD0365"/>
    <w:rsid w:val="7271319A"/>
    <w:rsid w:val="72DF065D"/>
    <w:rsid w:val="73DEFD83"/>
    <w:rsid w:val="747C3734"/>
    <w:rsid w:val="773FE1A0"/>
    <w:rsid w:val="776BB382"/>
    <w:rsid w:val="77F5AD8A"/>
    <w:rsid w:val="7AC547A3"/>
    <w:rsid w:val="7BDDE546"/>
    <w:rsid w:val="7CDF0548"/>
    <w:rsid w:val="7D9FEAC1"/>
    <w:rsid w:val="7DE3AFAB"/>
    <w:rsid w:val="7DFA94D1"/>
    <w:rsid w:val="7E6BB019"/>
    <w:rsid w:val="7E77AF4F"/>
    <w:rsid w:val="7E9EC447"/>
    <w:rsid w:val="7EFED702"/>
    <w:rsid w:val="7EFF606F"/>
    <w:rsid w:val="7F3EF92A"/>
    <w:rsid w:val="7F57F208"/>
    <w:rsid w:val="7F679E48"/>
    <w:rsid w:val="7F6FA0A2"/>
    <w:rsid w:val="7F73EC6A"/>
    <w:rsid w:val="7F7EC5CA"/>
    <w:rsid w:val="7FADCA02"/>
    <w:rsid w:val="7FB85A58"/>
    <w:rsid w:val="7FB94A63"/>
    <w:rsid w:val="7FCB0CF0"/>
    <w:rsid w:val="7FEF8F9C"/>
    <w:rsid w:val="7FF72B9F"/>
    <w:rsid w:val="7FFBA242"/>
    <w:rsid w:val="7FFF1C7B"/>
    <w:rsid w:val="7FFFADC4"/>
    <w:rsid w:val="7FFFDF5B"/>
    <w:rsid w:val="8476903D"/>
    <w:rsid w:val="8BBDFC70"/>
    <w:rsid w:val="8C77EF37"/>
    <w:rsid w:val="8F98EC00"/>
    <w:rsid w:val="9D8E44EE"/>
    <w:rsid w:val="9F76EE99"/>
    <w:rsid w:val="9FFA4104"/>
    <w:rsid w:val="A3B64DFC"/>
    <w:rsid w:val="A7675FC5"/>
    <w:rsid w:val="A7FE6026"/>
    <w:rsid w:val="ABFD3775"/>
    <w:rsid w:val="B4F6143F"/>
    <w:rsid w:val="B6FBAB41"/>
    <w:rsid w:val="B77E2192"/>
    <w:rsid w:val="B7AE10B9"/>
    <w:rsid w:val="B7FF9488"/>
    <w:rsid w:val="BA7B23C6"/>
    <w:rsid w:val="BBAF0ED9"/>
    <w:rsid w:val="BD77C448"/>
    <w:rsid w:val="BF7F07A7"/>
    <w:rsid w:val="BFFED6BF"/>
    <w:rsid w:val="CDFF2162"/>
    <w:rsid w:val="CF4B3AC4"/>
    <w:rsid w:val="D1BB0EF9"/>
    <w:rsid w:val="D2D7EA66"/>
    <w:rsid w:val="D3E25B41"/>
    <w:rsid w:val="DB7F55D5"/>
    <w:rsid w:val="DEF73B11"/>
    <w:rsid w:val="DF2536FC"/>
    <w:rsid w:val="DFA35900"/>
    <w:rsid w:val="DFE82BE2"/>
    <w:rsid w:val="DFFE9FE3"/>
    <w:rsid w:val="E2ADCD96"/>
    <w:rsid w:val="E3BFF959"/>
    <w:rsid w:val="E4FB3513"/>
    <w:rsid w:val="E53B2D5D"/>
    <w:rsid w:val="E7FD8D2B"/>
    <w:rsid w:val="EB7D7994"/>
    <w:rsid w:val="ED8D4345"/>
    <w:rsid w:val="EDECA367"/>
    <w:rsid w:val="EE3B7E09"/>
    <w:rsid w:val="EEFE4EAC"/>
    <w:rsid w:val="EF2FAA22"/>
    <w:rsid w:val="EF5B579E"/>
    <w:rsid w:val="EF5CDEE1"/>
    <w:rsid w:val="EF73183C"/>
    <w:rsid w:val="EFBDADA2"/>
    <w:rsid w:val="F2EA89C9"/>
    <w:rsid w:val="F2F713E1"/>
    <w:rsid w:val="F7D5251B"/>
    <w:rsid w:val="F8F7073B"/>
    <w:rsid w:val="F8FF3740"/>
    <w:rsid w:val="FB77DC6B"/>
    <w:rsid w:val="FB9B34E4"/>
    <w:rsid w:val="FBF58DF1"/>
    <w:rsid w:val="FBFF5324"/>
    <w:rsid w:val="FCDE885D"/>
    <w:rsid w:val="FD06B062"/>
    <w:rsid w:val="FD77A362"/>
    <w:rsid w:val="FD7BB485"/>
    <w:rsid w:val="FD7E3D87"/>
    <w:rsid w:val="FDDE850F"/>
    <w:rsid w:val="FE479614"/>
    <w:rsid w:val="FE6F4204"/>
    <w:rsid w:val="FEC7A029"/>
    <w:rsid w:val="FEDFA019"/>
    <w:rsid w:val="FEE1C2F2"/>
    <w:rsid w:val="FEFD81C6"/>
    <w:rsid w:val="FF5D145D"/>
    <w:rsid w:val="FFB743AF"/>
    <w:rsid w:val="FFDFD16A"/>
    <w:rsid w:val="FFFE4194"/>
    <w:rsid w:val="FFFF1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  <w:rPr>
      <w:sz w:val="24"/>
    </w:rPr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semiHidden/>
    <w:uiPriority w:val="99"/>
    <w:pPr>
      <w:widowControl/>
      <w:spacing w:after="100" w:line="259" w:lineRule="auto"/>
      <w:jc w:val="left"/>
    </w:pPr>
    <w:rPr>
      <w:kern w:val="0"/>
      <w:sz w:val="22"/>
      <w:szCs w:val="22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 Char Char Char Char1"/>
    <w:basedOn w:val="1"/>
    <w:link w:val="9"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18.6666666666667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2020-02-09T17:22:00Z</dcterms:created>
  <dc:creator>user</dc:creator>
  <cp:lastModifiedBy>lenovo</cp:lastModifiedBy>
  <cp:lastPrinted>2026-05-09T08:33:58Z</cp:lastPrinted>
  <dcterms:modified xsi:type="dcterms:W3CDTF">2026-05-25T17:57:19Z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D917E7FBD6A1478AFF1C146A90BDF3F4</vt:lpwstr>
  </property>
</Properties>
</file>