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00" w:lineRule="exact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shd w:val="clear" w:color="auto" w:fill="FFFFFF"/>
          <w:lang w:val="en-US" w:eastAsia="zh-CN"/>
        </w:rPr>
        <w:t>2</w:t>
      </w:r>
    </w:p>
    <w:tbl>
      <w:tblPr>
        <w:tblStyle w:val="3"/>
        <w:tblW w:w="140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929"/>
        <w:gridCol w:w="1575"/>
        <w:gridCol w:w="1185"/>
        <w:gridCol w:w="1110"/>
        <w:gridCol w:w="1241"/>
        <w:gridCol w:w="1425"/>
        <w:gridCol w:w="1200"/>
        <w:gridCol w:w="1305"/>
        <w:gridCol w:w="1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05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sz w:val="36"/>
                <w:szCs w:val="36"/>
                <w:shd w:val="clear" w:color="auto" w:fill="FFFFFF"/>
                <w:lang w:val="en-US" w:eastAsia="zh-CN"/>
              </w:rPr>
              <w:t>市级绿色</w:t>
            </w:r>
            <w:r>
              <w:rPr>
                <w:rFonts w:hint="eastAsia" w:eastAsia="方正小标宋简体" w:cs="Times New Roman"/>
                <w:b w:val="0"/>
                <w:bCs w:val="0"/>
                <w:sz w:val="36"/>
                <w:szCs w:val="36"/>
                <w:shd w:val="clear" w:color="auto" w:fill="FFFFFF"/>
                <w:lang w:val="en-US" w:eastAsia="zh-CN"/>
              </w:rPr>
              <w:t>制造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z w:val="36"/>
                <w:szCs w:val="36"/>
                <w:shd w:val="clear" w:color="auto" w:fill="FFFFFF"/>
                <w:lang w:val="en-US" w:eastAsia="zh-CN"/>
              </w:rPr>
              <w:t>绩效指标汇总表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年产值（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用地面积（平米）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能耗总量（吨标煤）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碳排放总量（吨）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固废综合利用率（%）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主要污染物排放量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可再生能源量（KWH）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napToGrid w:val="0"/>
        <w:spacing w:line="240" w:lineRule="atLeast"/>
        <w:jc w:val="left"/>
        <w:rPr>
          <w:rFonts w:hint="default" w:ascii="Times New Roman" w:hAnsi="Times New Roman" w:eastAsia="仿宋" w:cs="Times New Roman"/>
          <w:sz w:val="24"/>
          <w:lang w:val="en" w:eastAsia="zh-CN"/>
        </w:rPr>
      </w:pP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     备注：1、主要污染物包括SO2、氨氮、COD、氮氧化合物、VOC</w:t>
      </w:r>
      <w:r>
        <w:rPr>
          <w:rFonts w:hint="default" w:ascii="Times New Roman" w:hAnsi="Times New Roman" w:eastAsia="仿宋" w:cs="Times New Roman"/>
          <w:sz w:val="24"/>
          <w:lang w:val="en" w:eastAsia="zh-CN"/>
        </w:rPr>
        <w:t>s，可分别填写；</w:t>
      </w:r>
    </w:p>
    <w:p>
      <w:pPr>
        <w:snapToGrid w:val="0"/>
        <w:spacing w:line="240" w:lineRule="atLeast"/>
        <w:jc w:val="left"/>
        <w:rPr>
          <w:rFonts w:hint="default" w:ascii="Times New Roman" w:hAnsi="Times New Roman" w:eastAsia="仿宋" w:cs="Times New Roman"/>
          <w:sz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lang w:val="en-US" w:eastAsia="zh-CN"/>
        </w:rPr>
        <w:t xml:space="preserve">           2、可再生能源是指企业配建光伏、氢能等，不包括外购绿电。</w:t>
      </w:r>
    </w:p>
    <w:p>
      <w:pPr>
        <w:spacing w:beforeLines="0" w:afterLines="0" w:line="600" w:lineRule="exact"/>
        <w:rPr>
          <w:rFonts w:hint="default" w:ascii="Times New Roman" w:hAnsi="Times New Roman" w:eastAsia="黑体" w:cs="Times New Roman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400" w:lineRule="exact"/>
        <w:ind w:left="308" w:leftChars="100"/>
        <w:jc w:val="center"/>
        <w:rPr>
          <w:rFonts w:hint="default" w:ascii="Times New Roman" w:hAnsi="Times New Roman" w:cs="Times New Roman"/>
        </w:rPr>
      </w:pPr>
    </w:p>
    <w:p/>
    <w:sectPr>
      <w:pgSz w:w="16838" w:h="11906" w:orient="landscape"/>
      <w:pgMar w:top="1417" w:right="1440" w:bottom="1417" w:left="1440" w:header="851" w:footer="1276" w:gutter="0"/>
      <w:cols w:space="720" w:num="1"/>
      <w:titlePg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F8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2026-04-21T01:42:32Z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