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武汉东湖新技术开发区城市管理综合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执法局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年行政执法统计年报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/>
        <w:jc w:val="both"/>
        <w:textAlignment w:val="auto"/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color w:val="000000"/>
          <w:sz w:val="32"/>
        </w:rPr>
      </w:pPr>
      <w:r>
        <w:rPr>
          <w:rFonts w:hint="eastAsia" w:ascii="仿宋" w:hAnsi="仿宋" w:eastAsia="仿宋"/>
          <w:b w:val="0"/>
          <w:bCs/>
          <w:color w:val="000000"/>
          <w:sz w:val="32"/>
        </w:rPr>
        <w:t>为贯彻落实</w:t>
      </w:r>
      <w:r>
        <w:rPr>
          <w:rFonts w:hint="eastAsia" w:ascii="仿宋" w:hAnsi="仿宋" w:eastAsia="仿宋"/>
          <w:b w:val="0"/>
          <w:bCs/>
          <w:color w:val="000000"/>
          <w:sz w:val="32"/>
          <w:lang w:eastAsia="zh-CN"/>
        </w:rPr>
        <w:t>武汉</w:t>
      </w:r>
      <w:r>
        <w:rPr>
          <w:rFonts w:hint="eastAsia" w:ascii="仿宋" w:hAnsi="仿宋" w:eastAsia="仿宋"/>
          <w:b w:val="0"/>
          <w:bCs/>
          <w:color w:val="000000"/>
          <w:sz w:val="32"/>
        </w:rPr>
        <w:t>市关于全面推进行政执法“三项制度”的</w:t>
      </w:r>
      <w:r>
        <w:rPr>
          <w:rFonts w:hint="eastAsia" w:ascii="仿宋" w:hAnsi="仿宋" w:eastAsia="仿宋"/>
          <w:b w:val="0"/>
          <w:bCs/>
          <w:color w:val="000000"/>
          <w:sz w:val="32"/>
          <w:lang w:eastAsia="zh-CN"/>
        </w:rPr>
        <w:t>相关工作</w:t>
      </w:r>
      <w:r>
        <w:rPr>
          <w:rFonts w:hint="eastAsia" w:ascii="仿宋" w:hAnsi="仿宋" w:eastAsia="仿宋"/>
          <w:b w:val="0"/>
          <w:bCs/>
          <w:color w:val="000000"/>
          <w:sz w:val="32"/>
        </w:rPr>
        <w:t>要求，</w:t>
      </w:r>
      <w:r>
        <w:rPr>
          <w:rFonts w:hint="eastAsia" w:ascii="仿宋" w:hAnsi="仿宋" w:eastAsia="仿宋"/>
          <w:b w:val="0"/>
          <w:bCs/>
          <w:color w:val="000000"/>
          <w:sz w:val="32"/>
          <w:lang w:eastAsia="zh-CN"/>
        </w:rPr>
        <w:t>以及</w:t>
      </w:r>
      <w:r>
        <w:rPr>
          <w:rFonts w:hint="eastAsia" w:ascii="仿宋" w:hAnsi="仿宋" w:eastAsia="仿宋"/>
          <w:b w:val="0"/>
          <w:bCs/>
          <w:color w:val="000000"/>
          <w:sz w:val="32"/>
        </w:rPr>
        <w:t>《市城管执法委关于贯彻落实行政执法公示制度</w:t>
      </w:r>
      <w:r>
        <w:rPr>
          <w:rFonts w:hint="eastAsia" w:ascii="仿宋" w:hAnsi="仿宋" w:eastAsia="仿宋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000000"/>
          <w:sz w:val="32"/>
        </w:rPr>
        <w:t>执法全过程记录制度</w:t>
      </w:r>
      <w:r>
        <w:rPr>
          <w:rFonts w:hint="eastAsia" w:ascii="仿宋" w:hAnsi="仿宋" w:eastAsia="仿宋"/>
          <w:b w:val="0"/>
          <w:bCs/>
          <w:color w:val="000000"/>
          <w:sz w:val="32"/>
          <w:lang w:eastAsia="zh-CN"/>
        </w:rPr>
        <w:t>、</w:t>
      </w:r>
      <w:r>
        <w:rPr>
          <w:rFonts w:hint="eastAsia" w:ascii="仿宋" w:hAnsi="仿宋" w:eastAsia="仿宋"/>
          <w:b w:val="0"/>
          <w:bCs/>
          <w:color w:val="000000"/>
          <w:sz w:val="32"/>
        </w:rPr>
        <w:t>重大执法决定法制审核制度的实施方案》</w:t>
      </w:r>
      <w:r>
        <w:rPr>
          <w:rFonts w:hint="eastAsia" w:ascii="仿宋" w:hAnsi="仿宋" w:eastAsia="仿宋"/>
          <w:b w:val="0"/>
          <w:bCs/>
          <w:color w:val="000000"/>
          <w:sz w:val="32"/>
          <w:lang w:eastAsia="zh-CN"/>
        </w:rPr>
        <w:t>精神，武汉东湖新技术开发区城市管理综合执法局以强化执法监督、</w:t>
      </w:r>
      <w:r>
        <w:rPr>
          <w:rFonts w:hint="eastAsia" w:ascii="仿宋" w:hAnsi="仿宋" w:eastAsia="仿宋"/>
          <w:b w:val="0"/>
          <w:bCs/>
          <w:color w:val="000000"/>
          <w:sz w:val="32"/>
        </w:rPr>
        <w:t>规范公正文明执法</w:t>
      </w:r>
      <w:r>
        <w:rPr>
          <w:rFonts w:hint="eastAsia" w:ascii="仿宋" w:hAnsi="仿宋" w:eastAsia="仿宋"/>
          <w:b w:val="0"/>
          <w:bCs/>
          <w:color w:val="000000"/>
          <w:sz w:val="32"/>
          <w:lang w:eastAsia="zh-CN"/>
        </w:rPr>
        <w:t>活动</w:t>
      </w:r>
      <w:r>
        <w:rPr>
          <w:rFonts w:hint="eastAsia" w:ascii="仿宋" w:hAnsi="仿宋" w:eastAsia="仿宋"/>
          <w:b w:val="0"/>
          <w:bCs/>
          <w:color w:val="000000"/>
          <w:sz w:val="32"/>
        </w:rPr>
        <w:t>，</w:t>
      </w:r>
      <w:r>
        <w:rPr>
          <w:rFonts w:hint="eastAsia" w:ascii="仿宋" w:hAnsi="仿宋" w:eastAsia="仿宋"/>
          <w:b w:val="0"/>
          <w:bCs/>
          <w:color w:val="000000"/>
          <w:sz w:val="32"/>
          <w:lang w:eastAsia="zh-CN"/>
        </w:rPr>
        <w:t>推进依法行政，</w:t>
      </w:r>
      <w:r>
        <w:rPr>
          <w:rFonts w:hint="eastAsia" w:ascii="仿宋" w:hAnsi="仿宋" w:eastAsia="仿宋"/>
          <w:b w:val="0"/>
          <w:bCs/>
          <w:color w:val="000000"/>
          <w:sz w:val="32"/>
        </w:rPr>
        <w:t>营造规范有序城管法治环境</w:t>
      </w:r>
      <w:r>
        <w:rPr>
          <w:rFonts w:hint="eastAsia" w:ascii="仿宋" w:hAnsi="仿宋" w:eastAsia="仿宋"/>
          <w:b w:val="0"/>
          <w:bCs/>
          <w:color w:val="000000"/>
          <w:sz w:val="32"/>
          <w:lang w:eastAsia="zh-CN"/>
        </w:rPr>
        <w:t>为目标，坚决推进</w:t>
      </w:r>
      <w:r>
        <w:rPr>
          <w:rFonts w:hint="eastAsia" w:ascii="仿宋" w:hAnsi="仿宋" w:eastAsia="仿宋"/>
          <w:b w:val="0"/>
          <w:bCs/>
          <w:color w:val="000000"/>
          <w:sz w:val="32"/>
          <w:lang w:val="en-US" w:eastAsia="zh-CN"/>
        </w:rPr>
        <w:t>落实“三项制度”工作。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《湖北省行政执法公示办法（试行）》第二十条和《武汉市行政执法公示办法》第九条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/>
          <w:b w:val="0"/>
          <w:bCs/>
          <w:color w:val="000000"/>
          <w:sz w:val="32"/>
        </w:rPr>
        <w:t>行政执法机关应当建立行政执法统计年报制度</w:t>
      </w:r>
      <w:r>
        <w:rPr>
          <w:rFonts w:hint="eastAsia" w:ascii="仿宋" w:hAnsi="仿宋" w:eastAsia="仿宋"/>
          <w:b w:val="0"/>
          <w:bCs/>
          <w:color w:val="000000"/>
          <w:sz w:val="32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000000"/>
          <w:sz w:val="32"/>
        </w:rPr>
        <w:t>现将20</w:t>
      </w:r>
      <w:r>
        <w:rPr>
          <w:rFonts w:hint="eastAsia" w:ascii="仿宋" w:hAnsi="仿宋" w:eastAsia="仿宋"/>
          <w:b w:val="0"/>
          <w:bCs/>
          <w:color w:val="000000"/>
          <w:sz w:val="32"/>
          <w:lang w:val="en-US" w:eastAsia="zh-CN"/>
        </w:rPr>
        <w:t>22</w:t>
      </w:r>
      <w:r>
        <w:rPr>
          <w:rFonts w:hint="eastAsia" w:ascii="仿宋" w:hAnsi="仿宋" w:eastAsia="仿宋"/>
          <w:b w:val="0"/>
          <w:bCs/>
          <w:color w:val="000000"/>
          <w:sz w:val="32"/>
        </w:rPr>
        <w:t>年度行政执法工作情况报告如下。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color w:val="000000"/>
          <w:sz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</w:rPr>
        <w:t>一、执法主体名称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/>
          <w:sz w:val="32"/>
          <w:lang w:eastAsia="zh-CN"/>
        </w:rPr>
        <w:t>名称为武汉东湖新技术开发区城市管理综合执法局。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武汉东湖新技术开发区城市管理综合执法局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受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武汉东湖新技术开发区管理委员会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委托执法，行使行政处罚、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行政许可、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行政强制权。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</w:rPr>
        <w:t>二、执法岗位设置及在岗执法人员数量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color w:val="000000"/>
          <w:sz w:val="32"/>
          <w:lang w:eastAsia="zh-CN"/>
        </w:rPr>
      </w:pPr>
      <w:r>
        <w:rPr>
          <w:rFonts w:hint="eastAsia" w:ascii="仿宋" w:hAnsi="仿宋" w:eastAsia="仿宋"/>
          <w:b w:val="0"/>
          <w:bCs/>
          <w:color w:val="000000"/>
          <w:sz w:val="32"/>
          <w:lang w:eastAsia="zh-CN"/>
        </w:rPr>
        <w:t>武汉东湖新技术开发区城市管理综合执法局在岗执法人员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129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</w:rPr>
        <w:t>三、实施行政许可、行政处罚等行政执法工作情况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lang w:eastAsia="zh-CN"/>
        </w:rPr>
        <w:t>（一）行政许可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/>
          <w:b/>
          <w:bCs w:val="0"/>
          <w:color w:val="000000"/>
          <w:sz w:val="32"/>
          <w:lang w:eastAsia="zh-CN"/>
        </w:rPr>
      </w:pPr>
      <w:r>
        <w:rPr>
          <w:rFonts w:hint="eastAsia" w:ascii="仿宋" w:hAnsi="仿宋" w:eastAsia="仿宋"/>
          <w:b w:val="0"/>
          <w:bCs/>
          <w:color w:val="000000"/>
          <w:sz w:val="32"/>
        </w:rPr>
        <w:t>武汉</w:t>
      </w:r>
      <w:r>
        <w:rPr>
          <w:rFonts w:hint="eastAsia" w:ascii="仿宋" w:hAnsi="仿宋" w:eastAsia="仿宋"/>
          <w:b w:val="0"/>
          <w:bCs/>
          <w:color w:val="000000"/>
          <w:sz w:val="32"/>
          <w:lang w:eastAsia="zh-CN"/>
        </w:rPr>
        <w:t>东湖新技术开发区城市管理局</w:t>
      </w:r>
      <w:r>
        <w:rPr>
          <w:rFonts w:hint="eastAsia" w:ascii="仿宋" w:hAnsi="仿宋" w:eastAsia="仿宋"/>
          <w:b w:val="0"/>
          <w:bCs/>
          <w:color w:val="000000"/>
          <w:sz w:val="32"/>
        </w:rPr>
        <w:t>依法实施行政许可事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项，全年收到行政许可申请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33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" w:hAnsi="仿宋" w:eastAsia="仿宋"/>
          <w:b w:val="0"/>
          <w:bCs/>
          <w:color w:val="000000"/>
          <w:sz w:val="32"/>
        </w:rPr>
        <w:t>，全部办结（详见附表1）。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lang w:eastAsia="zh-CN"/>
        </w:rPr>
        <w:t>（二）行政处罚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color w:val="000000"/>
          <w:sz w:val="32"/>
        </w:rPr>
      </w:pPr>
      <w:r>
        <w:rPr>
          <w:rFonts w:hint="eastAsia" w:ascii="仿宋" w:hAnsi="仿宋" w:eastAsia="仿宋"/>
          <w:b w:val="0"/>
          <w:bCs/>
          <w:color w:val="000000"/>
          <w:sz w:val="32"/>
          <w:lang w:eastAsia="zh-CN"/>
        </w:rPr>
        <w:t>武汉东湖新技术开发区城市管理局</w:t>
      </w:r>
      <w:r>
        <w:rPr>
          <w:rFonts w:hint="eastAsia" w:ascii="仿宋" w:hAnsi="仿宋" w:eastAsia="仿宋"/>
          <w:b w:val="0"/>
          <w:bCs/>
          <w:color w:val="000000"/>
          <w:sz w:val="32"/>
        </w:rPr>
        <w:t>全年共办理</w:t>
      </w:r>
      <w:r>
        <w:rPr>
          <w:rFonts w:hint="eastAsia" w:ascii="仿宋" w:hAnsi="仿宋" w:eastAsia="仿宋"/>
          <w:b w:val="0"/>
          <w:bCs/>
          <w:color w:val="000000"/>
          <w:sz w:val="32"/>
          <w:lang w:eastAsia="zh-CN"/>
        </w:rPr>
        <w:t>各类</w:t>
      </w:r>
      <w:r>
        <w:rPr>
          <w:rFonts w:hint="eastAsia" w:ascii="仿宋" w:hAnsi="仿宋" w:eastAsia="仿宋"/>
          <w:b w:val="0"/>
          <w:bCs/>
          <w:color w:val="000000"/>
          <w:sz w:val="32"/>
        </w:rPr>
        <w:t>行政处罚案件</w:t>
      </w:r>
      <w:r>
        <w:rPr>
          <w:rFonts w:hint="eastAsia" w:ascii="仿宋" w:hAnsi="仿宋" w:eastAsia="仿宋"/>
          <w:b w:val="0"/>
          <w:bCs/>
          <w:color w:val="000000"/>
          <w:sz w:val="32"/>
          <w:lang w:val="en-US" w:eastAsia="zh-CN"/>
        </w:rPr>
        <w:t>4955</w:t>
      </w:r>
      <w:r>
        <w:rPr>
          <w:rFonts w:hint="eastAsia" w:ascii="仿宋" w:hAnsi="仿宋" w:eastAsia="仿宋"/>
          <w:b w:val="0"/>
          <w:bCs/>
          <w:color w:val="000000"/>
          <w:sz w:val="32"/>
        </w:rPr>
        <w:t>件，处罚金额</w:t>
      </w:r>
      <w:r>
        <w:rPr>
          <w:rFonts w:hint="eastAsia" w:ascii="仿宋" w:hAnsi="仿宋" w:eastAsia="仿宋"/>
          <w:b w:val="0"/>
          <w:bCs/>
          <w:color w:val="000000"/>
          <w:sz w:val="32"/>
          <w:lang w:eastAsia="zh-CN"/>
        </w:rPr>
        <w:t>5,</w:t>
      </w:r>
      <w:r>
        <w:rPr>
          <w:rFonts w:hint="eastAsia" w:ascii="仿宋" w:hAnsi="仿宋" w:eastAsia="仿宋"/>
          <w:b w:val="0"/>
          <w:bCs/>
          <w:color w:val="000000"/>
          <w:sz w:val="32"/>
          <w:lang w:val="en-US" w:eastAsia="zh-CN"/>
        </w:rPr>
        <w:t>449</w:t>
      </w:r>
      <w:r>
        <w:rPr>
          <w:rFonts w:hint="eastAsia" w:ascii="仿宋" w:hAnsi="仿宋" w:eastAsia="仿宋"/>
          <w:b w:val="0"/>
          <w:bCs/>
          <w:color w:val="000000"/>
          <w:sz w:val="32"/>
          <w:lang w:eastAsia="zh-CN"/>
        </w:rPr>
        <w:t>,</w:t>
      </w:r>
      <w:r>
        <w:rPr>
          <w:rFonts w:hint="eastAsia" w:ascii="仿宋" w:hAnsi="仿宋" w:eastAsia="仿宋"/>
          <w:b w:val="0"/>
          <w:bCs/>
          <w:color w:val="000000"/>
          <w:sz w:val="32"/>
          <w:lang w:val="en-US" w:eastAsia="zh-CN"/>
        </w:rPr>
        <w:t>655元</w:t>
      </w:r>
      <w:r>
        <w:rPr>
          <w:rFonts w:hint="eastAsia" w:ascii="仿宋" w:hAnsi="仿宋" w:eastAsia="仿宋"/>
          <w:b w:val="0"/>
          <w:bCs/>
          <w:color w:val="000000"/>
          <w:sz w:val="32"/>
        </w:rPr>
        <w:t>（详见附表2）。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lang w:eastAsia="zh-CN"/>
        </w:rPr>
        <w:t>（三）行政强制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全年共计拆除82064.81平方米违法建设，对3宗项目进行规划处罚，按照区规划局认定共计执行城乡规划类行政处罚4.66万元。（详见附表3）。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lang w:eastAsia="zh-CN"/>
        </w:rPr>
        <w:t>（四）全年无行政裁决、行政确认、行政征收、行政给付、行政奖励等情况。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</w:rPr>
        <w:t>四、行政检查执行情况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color w:val="000000"/>
          <w:sz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/>
          <w:sz w:val="32"/>
          <w:lang w:eastAsia="zh-CN"/>
        </w:rPr>
        <w:t>按照“双随机”检查相关工作要求，对“建筑垃圾运输企业”、“城市生活垃圾经营性清扫、收集、运输服务企业”、“燃气经营场站”开展“双随机”检查工作。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/>
          <w:b w:val="0"/>
          <w:bCs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/>
          <w:sz w:val="32"/>
          <w:lang w:val="en-US" w:eastAsia="zh-CN"/>
        </w:rPr>
        <w:t>全年对广告立面、门前三包、违法占道、环境卫生管理</w:t>
      </w:r>
      <w:r>
        <w:rPr>
          <w:rFonts w:hint="eastAsia" w:ascii="仿宋" w:hAnsi="仿宋" w:eastAsia="仿宋"/>
          <w:b w:val="0"/>
          <w:bCs/>
          <w:color w:val="auto"/>
          <w:sz w:val="32"/>
          <w:lang w:val="en-US" w:eastAsia="zh-CN"/>
        </w:rPr>
        <w:t>、市政设施、垃圾分类、噪声油烟、燃气管理等专项工作进行行政检查共计19575次，其中燃气问题整治成效显著。全年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办理燃气执法案件45起，处罚金额36.34万元；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累计检查燃气场站、餐饮用气场所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10040</w:t>
      </w:r>
      <w:r>
        <w:rPr>
          <w:rFonts w:hint="eastAsia" w:ascii="仿宋_GB2312" w:hAnsi="仿宋_GB2312" w:eastAsia="仿宋_GB2312" w:cs="仿宋_GB2312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排查一般隐患1051处，已整改1043处；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发现辖区内燃气供应场站安全隐患212处，均已整改完毕；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累计组织各街道取缔“黑气点”15处，登记保存物证液化气钢瓶1079只，移交违法运输货车辆11台；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对辖区内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22个小区的燃气设施进行更新改造，其中更新改造庭院燃气管道约7490米、燃气立管约62555米，新增调压柜1台，</w:t>
      </w:r>
      <w:r>
        <w:rPr>
          <w:rFonts w:hint="eastAsia" w:ascii="仿宋" w:hAnsi="仿宋" w:eastAsia="仿宋"/>
          <w:b w:val="0"/>
          <w:bCs/>
          <w:color w:val="auto"/>
          <w:sz w:val="32"/>
          <w:lang w:val="en-US" w:eastAsia="zh-CN"/>
        </w:rPr>
        <w:t>切实增强了燃气监管安全底数。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color w:val="000000"/>
          <w:sz w:val="32"/>
        </w:rPr>
        <w:t>、投诉、举报案件办理情况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b w:val="0"/>
          <w:bCs/>
          <w:color w:val="000000"/>
          <w:sz w:val="32"/>
          <w:lang w:eastAsia="zh-CN"/>
        </w:rPr>
      </w:pPr>
      <w:r>
        <w:rPr>
          <w:rFonts w:hint="eastAsia" w:ascii="仿宋" w:hAnsi="仿宋" w:eastAsia="仿宋"/>
          <w:b w:val="0"/>
          <w:bCs/>
          <w:color w:val="000000"/>
          <w:sz w:val="32"/>
        </w:rPr>
        <w:t>武汉</w:t>
      </w:r>
      <w:r>
        <w:rPr>
          <w:rFonts w:hint="eastAsia" w:ascii="仿宋" w:hAnsi="仿宋" w:eastAsia="仿宋"/>
          <w:b w:val="0"/>
          <w:bCs/>
          <w:color w:val="000000"/>
          <w:sz w:val="32"/>
          <w:lang w:eastAsia="zh-CN"/>
        </w:rPr>
        <w:t>东湖新技术开发区城市管理综合执法局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2022年全年共受理投诉举报类案件47034件，其中</w:t>
      </w:r>
      <w:r>
        <w:rPr>
          <w:rFonts w:hint="eastAsia" w:ascii="仿宋" w:hAnsi="仿宋" w:eastAsia="仿宋"/>
          <w:b w:val="0"/>
          <w:bCs/>
          <w:color w:val="000000"/>
          <w:sz w:val="32"/>
        </w:rPr>
        <w:t>市民热线31374</w:t>
      </w:r>
      <w:r>
        <w:rPr>
          <w:rFonts w:hint="eastAsia" w:ascii="仿宋" w:hAnsi="仿宋" w:eastAsia="仿宋"/>
          <w:b w:val="0"/>
          <w:bCs/>
          <w:color w:val="000000"/>
          <w:sz w:val="32"/>
          <w:lang w:eastAsia="zh-CN"/>
        </w:rPr>
        <w:t>件、</w:t>
      </w:r>
      <w:r>
        <w:rPr>
          <w:rFonts w:hint="eastAsia" w:ascii="仿宋" w:hAnsi="仿宋" w:eastAsia="仿宋"/>
          <w:b w:val="0"/>
          <w:bCs/>
          <w:color w:val="000000"/>
          <w:sz w:val="32"/>
        </w:rPr>
        <w:t>区转市民热线15660件</w:t>
      </w:r>
      <w:r>
        <w:rPr>
          <w:rFonts w:hint="eastAsia" w:ascii="仿宋" w:hAnsi="仿宋" w:eastAsia="仿宋"/>
          <w:b w:val="0"/>
          <w:bCs/>
          <w:color w:val="00000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b w:val="0"/>
          <w:bCs/>
          <w:color w:val="00000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</w:rPr>
        <w:t>市转市民热线较上年增长43%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lang w:eastAsia="zh-CN"/>
        </w:rPr>
        <w:t>，其中</w:t>
      </w:r>
      <w:r>
        <w:rPr>
          <w:rFonts w:hint="eastAsia" w:ascii="仿宋" w:hAnsi="仿宋" w:eastAsia="仿宋" w:cs="仿宋"/>
          <w:b w:val="0"/>
          <w:bCs/>
          <w:color w:val="000000"/>
          <w:sz w:val="32"/>
        </w:rPr>
        <w:t>油烟噪音类11037起（增长46%）、违法建设类2636起（增长57%）</w:t>
      </w:r>
      <w:r>
        <w:rPr>
          <w:rFonts w:hint="eastAsia" w:ascii="仿宋" w:hAnsi="仿宋" w:eastAsia="仿宋"/>
          <w:b w:val="0"/>
          <w:bCs/>
          <w:color w:val="000000"/>
          <w:sz w:val="32"/>
        </w:rPr>
        <w:t>、占道经营类7537起（增长46%）、扬尘漏洒类417起（增长7%）、道路桥梁类819起（增长96%）、广告亮化类463起（增长58%）、文明执法类91起（下降31%）、联动单位类386起（增长63%）、其他投诉4241起（下降28%）、渣土管理741起（下降117%）、垃圾公厕1192起（增长62%）</w:t>
      </w:r>
      <w:r>
        <w:rPr>
          <w:rFonts w:hint="eastAsia" w:ascii="仿宋" w:hAnsi="仿宋" w:eastAsia="仿宋"/>
          <w:b w:val="0"/>
          <w:bCs/>
          <w:color w:val="000000"/>
          <w:sz w:val="32"/>
          <w:lang w:eastAsia="zh-CN"/>
        </w:rPr>
        <w:t>。区转市民热线案件中，</w:t>
      </w:r>
      <w:r>
        <w:rPr>
          <w:rFonts w:hint="eastAsia" w:ascii="仿宋" w:hAnsi="仿宋" w:eastAsia="仿宋"/>
          <w:b w:val="0"/>
          <w:bCs/>
          <w:color w:val="000000"/>
          <w:sz w:val="32"/>
        </w:rPr>
        <w:t>回复8572件，退回7088件</w:t>
      </w:r>
      <w:r>
        <w:rPr>
          <w:rFonts w:hint="eastAsia" w:ascii="仿宋" w:hAnsi="仿宋" w:eastAsia="仿宋"/>
          <w:b w:val="0"/>
          <w:bCs/>
          <w:color w:val="000000"/>
          <w:sz w:val="32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000000"/>
          <w:sz w:val="32"/>
        </w:rPr>
        <w:t>截至目前查处率达100%</w:t>
      </w:r>
      <w:r>
        <w:rPr>
          <w:rFonts w:hint="eastAsia" w:ascii="仿宋" w:hAnsi="仿宋" w:eastAsia="仿宋"/>
          <w:b w:val="0"/>
          <w:bCs/>
          <w:color w:val="000000"/>
          <w:sz w:val="32"/>
          <w:lang w:eastAsia="zh-CN"/>
        </w:rPr>
        <w:t>。本年</w:t>
      </w:r>
      <w:r>
        <w:rPr>
          <w:rFonts w:hint="eastAsia" w:ascii="仿宋" w:hAnsi="仿宋" w:eastAsia="仿宋"/>
          <w:b w:val="0"/>
          <w:bCs/>
          <w:color w:val="000000"/>
          <w:sz w:val="32"/>
          <w:lang w:val="en-US" w:eastAsia="zh-CN"/>
        </w:rPr>
        <w:t>加大了对责任落实、办理时效、回复情况、诉求对象满意度等情况自查自纠力度，真正做到“民有所呼、我必所应”。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附件：1.行政许可事项办理情况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600" w:firstLineChars="5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2.行政处罚事项办理情况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1600" w:firstLineChars="5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3.行政强制事项办理情况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righ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武汉东湖新技术开发区城市管理综合执法局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   2023年1月11日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2060" w:type="dxa"/>
        <w:tblInd w:w="5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1334"/>
        <w:gridCol w:w="26"/>
        <w:gridCol w:w="1471"/>
        <w:gridCol w:w="1350"/>
        <w:gridCol w:w="112"/>
        <w:gridCol w:w="1703"/>
        <w:gridCol w:w="982"/>
        <w:gridCol w:w="1331"/>
        <w:gridCol w:w="1142"/>
        <w:gridCol w:w="1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eastAsia="zh-CN" w:bidi="ar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年审批事项办理情况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业务/单位</w:t>
            </w:r>
          </w:p>
        </w:tc>
        <w:tc>
          <w:tcPr>
            <w:tcW w:w="29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收件数量（项）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办结数量（项）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1-12月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1-12月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城管审批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户外广告设置、车体广告许可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0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关闭、闲置或者拆除生活垃圾处置的设施、场所核准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关闭、闲置、拆除城市环卫设施许可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从事生活垃圾(含粪便)经营性清扫、收集、运输处理服务审批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21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临时性建筑物搭建、堆放物科、占道施工审批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临时占用林地审批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猎捕非国家重点保护陆生野生动物狩猎证核发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“三有”陆生野生动物经营利用许可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“三有”陆生野生动物人工繁育许可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森林经营单位修筑直接为林业生产服务的工程设施占用林地审批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出售、收购国家二级保护野生植物审批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森林高火险期内，进入森林高火险区的活动审批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  <w:t>33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  <w:t>33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2022年行政处罚事项办理情况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1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实施部门</w:t>
            </w:r>
          </w:p>
        </w:tc>
        <w:tc>
          <w:tcPr>
            <w:tcW w:w="6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办案数量及处罚金额</w:t>
            </w:r>
          </w:p>
        </w:tc>
        <w:tc>
          <w:tcPr>
            <w:tcW w:w="29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人均办案量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1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简易程序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一般程序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案件总计</w:t>
            </w:r>
          </w:p>
        </w:tc>
        <w:tc>
          <w:tcPr>
            <w:tcW w:w="2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共计处罚金额</w:t>
            </w:r>
          </w:p>
        </w:tc>
        <w:tc>
          <w:tcPr>
            <w:tcW w:w="29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武汉东湖新技术开发区城市管理综合执法局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2989件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1966件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4955件</w:t>
            </w:r>
          </w:p>
        </w:tc>
        <w:tc>
          <w:tcPr>
            <w:tcW w:w="2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5,449,655元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38.4件/人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center"/>
        <w:rPr>
          <w:rFonts w:hint="eastAsia" w:ascii="仿宋" w:hAnsi="仿宋" w:eastAsia="仿宋"/>
          <w:b w:val="0"/>
          <w:bCs/>
          <w:color w:val="000000"/>
          <w:sz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center"/>
        <w:rPr>
          <w:rFonts w:hint="eastAsia" w:ascii="仿宋" w:hAnsi="仿宋" w:eastAsia="仿宋"/>
          <w:b w:val="0"/>
          <w:bCs/>
          <w:color w:val="000000"/>
          <w:sz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center"/>
        <w:rPr>
          <w:rFonts w:hint="eastAsia" w:ascii="仿宋" w:hAnsi="仿宋" w:eastAsia="仿宋"/>
          <w:b w:val="0"/>
          <w:bCs/>
          <w:color w:val="000000"/>
          <w:sz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center"/>
        <w:rPr>
          <w:rFonts w:hint="eastAsia" w:ascii="仿宋" w:hAnsi="仿宋" w:eastAsia="仿宋"/>
          <w:b w:val="0"/>
          <w:bCs/>
          <w:color w:val="000000"/>
          <w:sz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center"/>
        <w:rPr>
          <w:rFonts w:hint="eastAsia" w:ascii="仿宋" w:hAnsi="仿宋" w:eastAsia="仿宋"/>
          <w:b w:val="0"/>
          <w:bCs/>
          <w:color w:val="000000"/>
          <w:sz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center"/>
        <w:rPr>
          <w:rFonts w:hint="eastAsia" w:ascii="仿宋" w:hAnsi="仿宋" w:eastAsia="仿宋"/>
          <w:b w:val="0"/>
          <w:bCs/>
          <w:color w:val="000000"/>
          <w:sz w:val="32"/>
          <w:lang w:val="en-US" w:eastAsia="zh-CN"/>
        </w:rPr>
      </w:pPr>
    </w:p>
    <w:tbl>
      <w:tblPr>
        <w:tblStyle w:val="5"/>
        <w:tblW w:w="12105" w:type="dxa"/>
        <w:tblInd w:w="5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5"/>
        <w:gridCol w:w="3030"/>
        <w:gridCol w:w="2595"/>
        <w:gridCol w:w="3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2022年行政强制事项办理情况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实施部门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拆除违建面积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处罚案件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武汉东湖新技术开发区城市管理综合执法局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82064.81平方米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4.66万元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center"/>
        <w:rPr>
          <w:rFonts w:hint="eastAsia" w:ascii="仿宋" w:hAnsi="仿宋" w:eastAsia="仿宋"/>
          <w:b w:val="0"/>
          <w:bCs/>
          <w:color w:val="000000"/>
          <w:sz w:val="36"/>
          <w:szCs w:val="28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center"/>
        <w:rPr>
          <w:rFonts w:hint="eastAsia" w:ascii="仿宋" w:hAnsi="仿宋" w:eastAsia="仿宋"/>
          <w:b w:val="0"/>
          <w:bCs/>
          <w:color w:val="000000"/>
          <w:sz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center"/>
        <w:rPr>
          <w:rFonts w:hint="eastAsia" w:ascii="仿宋" w:hAnsi="仿宋" w:eastAsia="仿宋"/>
          <w:b w:val="0"/>
          <w:bCs/>
          <w:color w:val="000000"/>
          <w:sz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center"/>
        <w:rPr>
          <w:rFonts w:hint="eastAsia" w:ascii="仿宋" w:hAnsi="仿宋" w:eastAsia="仿宋"/>
          <w:b w:val="0"/>
          <w:bCs/>
          <w:color w:val="000000"/>
          <w:sz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center"/>
        <w:rPr>
          <w:rFonts w:hint="eastAsia" w:ascii="仿宋" w:hAnsi="仿宋" w:eastAsia="仿宋"/>
          <w:b w:val="0"/>
          <w:bCs/>
          <w:color w:val="000000"/>
          <w:sz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both"/>
        <w:rPr>
          <w:rFonts w:hint="eastAsia" w:ascii="仿宋" w:hAnsi="仿宋" w:eastAsia="仿宋"/>
          <w:b w:val="0"/>
          <w:bCs/>
          <w:color w:val="000000"/>
          <w:sz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both"/>
        <w:rPr>
          <w:rFonts w:hint="default" w:ascii="仿宋" w:hAnsi="仿宋" w:eastAsia="仿宋"/>
          <w:b w:val="0"/>
          <w:bCs/>
          <w:color w:val="000000"/>
          <w:sz w:val="32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F5AED"/>
    <w:rsid w:val="039E4636"/>
    <w:rsid w:val="03E34791"/>
    <w:rsid w:val="04152880"/>
    <w:rsid w:val="05C814AA"/>
    <w:rsid w:val="07CA66B7"/>
    <w:rsid w:val="0911605A"/>
    <w:rsid w:val="0A6E0B87"/>
    <w:rsid w:val="0BAF6CB5"/>
    <w:rsid w:val="138D3887"/>
    <w:rsid w:val="14B377B5"/>
    <w:rsid w:val="16D12E74"/>
    <w:rsid w:val="19571981"/>
    <w:rsid w:val="1AEC4E21"/>
    <w:rsid w:val="1C583510"/>
    <w:rsid w:val="1CD052D5"/>
    <w:rsid w:val="1D4105EF"/>
    <w:rsid w:val="20072926"/>
    <w:rsid w:val="205B04AA"/>
    <w:rsid w:val="20C743B6"/>
    <w:rsid w:val="26E575ED"/>
    <w:rsid w:val="271411E7"/>
    <w:rsid w:val="2E317674"/>
    <w:rsid w:val="374A0880"/>
    <w:rsid w:val="37E76B7D"/>
    <w:rsid w:val="381A234A"/>
    <w:rsid w:val="395A0F9B"/>
    <w:rsid w:val="3AB31916"/>
    <w:rsid w:val="3CDF1401"/>
    <w:rsid w:val="415B1D16"/>
    <w:rsid w:val="42C7089A"/>
    <w:rsid w:val="45DA1C00"/>
    <w:rsid w:val="46903500"/>
    <w:rsid w:val="47E61AF1"/>
    <w:rsid w:val="482B1DDF"/>
    <w:rsid w:val="4A6F3FA3"/>
    <w:rsid w:val="4F536C9E"/>
    <w:rsid w:val="4F8477F1"/>
    <w:rsid w:val="4F9A10D3"/>
    <w:rsid w:val="4FE17875"/>
    <w:rsid w:val="511519ED"/>
    <w:rsid w:val="59111235"/>
    <w:rsid w:val="5D6B5D94"/>
    <w:rsid w:val="61B55C36"/>
    <w:rsid w:val="64726842"/>
    <w:rsid w:val="679E53EB"/>
    <w:rsid w:val="687712F4"/>
    <w:rsid w:val="6B5E331C"/>
    <w:rsid w:val="6BDF1B1F"/>
    <w:rsid w:val="6DDF61CE"/>
    <w:rsid w:val="70F442EA"/>
    <w:rsid w:val="734E53E2"/>
    <w:rsid w:val="736F1EF2"/>
    <w:rsid w:val="73BB4165"/>
    <w:rsid w:val="757ED7CC"/>
    <w:rsid w:val="763D41BB"/>
    <w:rsid w:val="790A0AA8"/>
    <w:rsid w:val="79A1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540" w:lineRule="exact"/>
    </w:pPr>
    <w:rPr>
      <w:rFonts w:asciiTheme="minorHAnsi" w:hAnsiTheme="minorHAnsi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147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m740</cp:lastModifiedBy>
  <cp:lastPrinted>2023-01-12T10:24:00Z</cp:lastPrinted>
  <dcterms:modified xsi:type="dcterms:W3CDTF">2024-04-23T15:03:56Z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67407480D8E74F895C5D27667A574A76</vt:lpwstr>
  </property>
</Properties>
</file>