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DBJ25420100003431401ZX</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中百仓储超市有限公司南湖龙城路店销售的老京果</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2024年12月20日抽自</w:t>
      </w:r>
      <w:r>
        <w:rPr>
          <w:rFonts w:hint="eastAsia" w:eastAsia="仿宋_GB2312"/>
          <w:b w:val="0"/>
          <w:bCs w:val="0"/>
          <w:sz w:val="32"/>
          <w:szCs w:val="32"/>
          <w:lang w:val="en-US" w:eastAsia="zh-CN"/>
        </w:rPr>
        <w:t>中百仓储超市有限公司南湖龙城路店的老京果，过氧化值(以脂肪计)项目不符合 GB 7099-2015《食品安全国家标准 糕点、面包》要求，检验结论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firstLine="627" w:firstLineChars="196"/>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经查，当事</w:t>
      </w:r>
      <w:r>
        <w:rPr>
          <w:rFonts w:hint="eastAsia" w:ascii="仿宋_GB2312" w:hAnsi="仿宋_GB2312" w:eastAsia="仿宋_GB2312" w:cs="仿宋_GB2312"/>
          <w:color w:val="auto"/>
          <w:kern w:val="0"/>
          <w:sz w:val="32"/>
          <w:szCs w:val="32"/>
          <w:lang w:val="en-US" w:eastAsia="zh-CN" w:bidi="ar-SA"/>
        </w:rPr>
        <w:t>销售不合格食品的行为，违反了《中华人民共和国食品安全法》第三十四条第一款第二项及第六项的规定：“（二）致病性微生物，农药残留、兽药残留、生物毒素、重金属等污染物质以及其他危害人体健康的物质含量超过食品安全标准限量的食品、食品添加剂、食品相关产品；（六）腐败变质、油脂酸败、霉变生虫、污秽不洁、混有异物、掺假掺杂或者感官性状异常的食品、食品添加剂”的规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outlineLvl w:val="9"/>
        <w:rPr>
          <w:rFonts w:hint="eastAsia" w:ascii="仿宋_GB2312" w:hAnsi="仿宋_GB2312" w:eastAsia="仿宋_GB2312" w:cs="仿宋_GB2312"/>
          <w:color w:val="auto"/>
          <w:kern w:val="0"/>
          <w:sz w:val="32"/>
          <w:szCs w:val="32"/>
          <w:lang w:val="zh-CN" w:eastAsia="zh-CN"/>
        </w:rPr>
      </w:pPr>
      <w:r>
        <w:rPr>
          <w:rFonts w:hint="eastAsia" w:ascii="仿宋_GB2312" w:hAnsi="仿宋_GB2312" w:eastAsia="仿宋_GB2312" w:cs="仿宋_GB2312"/>
          <w:color w:val="auto"/>
          <w:kern w:val="0"/>
          <w:sz w:val="32"/>
          <w:szCs w:val="32"/>
          <w:lang w:val="en-US" w:eastAsia="zh-CN"/>
        </w:rPr>
        <w:t>当事人提供了相关证明材料，履行了进货查验义务，有证据证明没有主观过错。并及时发布召回公告。当事人符合《湖北省市场监督管理行政处罚裁量权适用规则》第七条第一款第三项及第四项“不予处罚，适用因法定原因，对特定的违法对象或者违法行为，不给予行政处罚的情形。包括以下情形：（三）违法行为轻微并及时改正，没有造成危害后果的；（四）除法律、行政法规另有规定外，当事人有证据足以证明没有主观过错的；”规定的不予处罚情形。</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b w:val="0"/>
          <w:bCs w:val="0"/>
          <w:color w:val="FF0000"/>
          <w:kern w:val="2"/>
          <w:sz w:val="32"/>
          <w:szCs w:val="32"/>
          <w:lang w:val="en-US" w:eastAsia="zh-CN" w:bidi="ar-SA"/>
        </w:rPr>
      </w:pPr>
      <w:r>
        <w:rPr>
          <w:rFonts w:hint="eastAsia" w:ascii="仿宋_GB2312" w:hAnsi="仿宋_GB2312" w:eastAsia="仿宋_GB2312" w:cs="仿宋_GB2312"/>
          <w:color w:val="000000"/>
          <w:sz w:val="32"/>
          <w:szCs w:val="32"/>
        </w:rPr>
        <w:t>当事人销售不合格食品的行为，</w:t>
      </w:r>
      <w:r>
        <w:rPr>
          <w:rFonts w:hint="eastAsia" w:ascii="仿宋_GB2312" w:hAnsi="仿宋_GB2312" w:eastAsia="仿宋_GB2312" w:cs="仿宋_GB2312"/>
          <w:color w:val="000000"/>
          <w:sz w:val="32"/>
          <w:szCs w:val="32"/>
          <w:lang w:val="en-US" w:eastAsia="zh-CN"/>
        </w:rPr>
        <w:t>依据《中华人民共和国食品安全法》第一百二十四条第一款第一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的规定，鉴于当事人符合不予处罚的情形，根据《中华人民共和国行政处罚法》第三十三条第一款及第二款“违法行为轻微并及时改正，没有造成危害后果的，不予行政处罚。初次违法且危害后果轻微并及时改正的，可以不予行政处罚。当事人有证据足以证明没有主观过错的，不予行政处罚。法律、行政法规另有规定的，从其规定。”的规定。我局决定对当事人不予处罚</w:t>
      </w:r>
      <w:r>
        <w:rPr>
          <w:rFonts w:hint="eastAsia" w:ascii="仿宋_GB2312" w:hAnsi="仿宋_GB2312" w:eastAsia="仿宋_GB2312" w:cs="仿宋_GB2312"/>
          <w:color w:val="000000"/>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仿宋_GB2312" w:hAnsi="仿宋_GB2312" w:eastAsia="仿宋_GB2312" w:cs="仿宋_GB2312"/>
          <w:b w:val="0"/>
          <w:bCs w:val="0"/>
          <w:color w:val="auto"/>
          <w:sz w:val="32"/>
          <w:szCs w:val="32"/>
          <w:lang w:val="en-US" w:eastAsia="zh-CN"/>
        </w:rPr>
        <w:t>供货商的营业执照、生产许可证、出厂检测报告和</w:t>
      </w:r>
      <w:r>
        <w:rPr>
          <w:rFonts w:hint="eastAsia" w:ascii="仿宋_GB2312" w:hAnsi="仿宋_GB2312" w:eastAsia="仿宋_GB2312" w:cs="仿宋_GB2312"/>
          <w:b w:val="0"/>
          <w:bCs w:val="0"/>
          <w:sz w:val="32"/>
          <w:szCs w:val="32"/>
          <w:lang w:val="en-US" w:eastAsia="zh-CN"/>
        </w:rPr>
        <w:t>购进票据</w:t>
      </w:r>
      <w:r>
        <w:rPr>
          <w:rFonts w:hint="eastAsia" w:ascii="Times New Roman" w:hAnsi="Times New Roman" w:eastAsia="仿宋_GB2312" w:cs="Times New Roman"/>
          <w:b w:val="0"/>
          <w:bCs w:val="0"/>
          <w:sz w:val="32"/>
          <w:szCs w:val="32"/>
          <w:lang w:val="en-US" w:eastAsia="zh-CN"/>
        </w:rPr>
        <w:t>等相关证明文件。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outlineLvl w:val="9"/>
        <w:rPr>
          <w:rFonts w:hint="eastAsia" w:eastAsia="仿宋_GB2312"/>
          <w:sz w:val="32"/>
          <w:szCs w:val="32"/>
          <w:lang w:val="en-US" w:eastAsia="zh-CN"/>
        </w:rPr>
      </w:pPr>
    </w:p>
    <w:p>
      <w:pPr>
        <w:pStyle w:val="2"/>
        <w:ind w:firstLine="640"/>
        <w:rPr>
          <w:rFonts w:hint="eastAsia" w:ascii="楷体_GB2312" w:hAnsi="楷体_GB2312" w:eastAsia="楷体_GB2312" w:cs="楷体_GB2312"/>
          <w:lang w:val="en-US" w:eastAsia="zh-CN"/>
        </w:rPr>
      </w:pPr>
      <w:r>
        <w:rPr>
          <w:rFonts w:hint="eastAsia" w:ascii="楷体_GB2312" w:hAnsi="楷体_GB2312" w:eastAsia="楷体_GB2312" w:cs="楷体_GB2312"/>
          <w:sz w:val="32"/>
          <w:szCs w:val="32"/>
          <w:lang w:val="en-US" w:eastAsia="zh-CN"/>
        </w:rPr>
        <w:t>此页无正文。</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w:t>
      </w:r>
      <w:bookmarkStart w:id="0" w:name="_GoBack"/>
      <w:bookmarkEnd w:id="0"/>
      <w:r>
        <w:rPr>
          <w:rFonts w:hint="eastAsia" w:eastAsia="仿宋_GB2312"/>
          <w:sz w:val="32"/>
          <w:szCs w:val="32"/>
          <w:lang w:val="en-US" w:eastAsia="zh-CN"/>
        </w:rPr>
        <w:t>市场监督管理局</w:t>
      </w:r>
    </w:p>
    <w:p>
      <w:pPr>
        <w:keepNext w:val="0"/>
        <w:keepLines w:val="0"/>
        <w:pageBreakBefore w:val="0"/>
        <w:widowControl w:val="0"/>
        <w:kinsoku/>
        <w:wordWrap w:val="0"/>
        <w:overflowPunct/>
        <w:topLinePunct w:val="0"/>
        <w:autoSpaceDE/>
        <w:autoSpaceDN/>
        <w:bidi w:val="0"/>
        <w:adjustRightInd/>
        <w:snapToGrid/>
        <w:spacing w:line="58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4</w:t>
      </w:r>
      <w:r>
        <w:rPr>
          <w:rFonts w:hint="default" w:eastAsia="仿宋_GB2312"/>
          <w:sz w:val="32"/>
          <w:szCs w:val="32"/>
          <w:lang w:val="en-US" w:eastAsia="zh-CN"/>
        </w:rPr>
        <w:t>月</w:t>
      </w:r>
      <w:r>
        <w:rPr>
          <w:rFonts w:hint="eastAsia" w:eastAsia="仿宋_GB2312"/>
          <w:sz w:val="32"/>
          <w:szCs w:val="32"/>
          <w:lang w:val="en-US" w:eastAsia="zh-CN"/>
        </w:rPr>
        <w:t>24</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2C69D5"/>
    <w:rsid w:val="03A36F29"/>
    <w:rsid w:val="03C858EE"/>
    <w:rsid w:val="03D91B06"/>
    <w:rsid w:val="043C5FE1"/>
    <w:rsid w:val="049322AC"/>
    <w:rsid w:val="0502527B"/>
    <w:rsid w:val="05E42A13"/>
    <w:rsid w:val="05F91121"/>
    <w:rsid w:val="06A42B48"/>
    <w:rsid w:val="06A7211B"/>
    <w:rsid w:val="0733359A"/>
    <w:rsid w:val="07862CB6"/>
    <w:rsid w:val="07883506"/>
    <w:rsid w:val="079414C1"/>
    <w:rsid w:val="07F20132"/>
    <w:rsid w:val="08543D87"/>
    <w:rsid w:val="08FA46E1"/>
    <w:rsid w:val="09C70100"/>
    <w:rsid w:val="09F105B3"/>
    <w:rsid w:val="0A0D17E8"/>
    <w:rsid w:val="0A2819F5"/>
    <w:rsid w:val="0AAB7352"/>
    <w:rsid w:val="0AAD2736"/>
    <w:rsid w:val="0BE00729"/>
    <w:rsid w:val="0BE63BCF"/>
    <w:rsid w:val="0C3B11CE"/>
    <w:rsid w:val="0C660740"/>
    <w:rsid w:val="0CD27E67"/>
    <w:rsid w:val="0D7231BC"/>
    <w:rsid w:val="0DBB3146"/>
    <w:rsid w:val="0E3623AE"/>
    <w:rsid w:val="0E562FC0"/>
    <w:rsid w:val="0EFE518C"/>
    <w:rsid w:val="0F812DD5"/>
    <w:rsid w:val="0F844CC6"/>
    <w:rsid w:val="0FFD229E"/>
    <w:rsid w:val="1078223F"/>
    <w:rsid w:val="11EE54F1"/>
    <w:rsid w:val="11FA1E15"/>
    <w:rsid w:val="13802757"/>
    <w:rsid w:val="1391711A"/>
    <w:rsid w:val="13AD648F"/>
    <w:rsid w:val="1428264A"/>
    <w:rsid w:val="148215ED"/>
    <w:rsid w:val="151128EB"/>
    <w:rsid w:val="154E1950"/>
    <w:rsid w:val="158F59EA"/>
    <w:rsid w:val="15C50DAE"/>
    <w:rsid w:val="178222B0"/>
    <w:rsid w:val="184A0D05"/>
    <w:rsid w:val="18611B2B"/>
    <w:rsid w:val="18665D95"/>
    <w:rsid w:val="188F7B75"/>
    <w:rsid w:val="19295233"/>
    <w:rsid w:val="19C176CF"/>
    <w:rsid w:val="19C66458"/>
    <w:rsid w:val="1A427F7D"/>
    <w:rsid w:val="1AC66F8E"/>
    <w:rsid w:val="1B434036"/>
    <w:rsid w:val="1B4F33EC"/>
    <w:rsid w:val="1B765E75"/>
    <w:rsid w:val="1B8041FD"/>
    <w:rsid w:val="1C4B29B0"/>
    <w:rsid w:val="1C543D53"/>
    <w:rsid w:val="1E0E3CEC"/>
    <w:rsid w:val="1E7E1981"/>
    <w:rsid w:val="1FDA19FB"/>
    <w:rsid w:val="200935DC"/>
    <w:rsid w:val="206814FD"/>
    <w:rsid w:val="20C64A1E"/>
    <w:rsid w:val="20CA390A"/>
    <w:rsid w:val="20EC2133"/>
    <w:rsid w:val="21013697"/>
    <w:rsid w:val="2171516D"/>
    <w:rsid w:val="21DA70B8"/>
    <w:rsid w:val="21DF7E38"/>
    <w:rsid w:val="220F251D"/>
    <w:rsid w:val="22712A2C"/>
    <w:rsid w:val="22977D4A"/>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DC6366"/>
    <w:rsid w:val="29F72AE8"/>
    <w:rsid w:val="2B5E2A37"/>
    <w:rsid w:val="2B8F3E3B"/>
    <w:rsid w:val="2C00751C"/>
    <w:rsid w:val="2D9177AD"/>
    <w:rsid w:val="2D98535F"/>
    <w:rsid w:val="2EAA3276"/>
    <w:rsid w:val="2EB96CAB"/>
    <w:rsid w:val="2EEB435B"/>
    <w:rsid w:val="2F01285B"/>
    <w:rsid w:val="2F5614BD"/>
    <w:rsid w:val="2F64349D"/>
    <w:rsid w:val="2FB007EE"/>
    <w:rsid w:val="2FFF34B3"/>
    <w:rsid w:val="309E0133"/>
    <w:rsid w:val="312F1C8F"/>
    <w:rsid w:val="315707A4"/>
    <w:rsid w:val="31AE616A"/>
    <w:rsid w:val="320A5E9F"/>
    <w:rsid w:val="322C0E36"/>
    <w:rsid w:val="322E174B"/>
    <w:rsid w:val="32E54F15"/>
    <w:rsid w:val="32FB7FC6"/>
    <w:rsid w:val="33875743"/>
    <w:rsid w:val="33A743DF"/>
    <w:rsid w:val="33C13BA1"/>
    <w:rsid w:val="34B3770A"/>
    <w:rsid w:val="34FF4367"/>
    <w:rsid w:val="35454ACD"/>
    <w:rsid w:val="35983BC6"/>
    <w:rsid w:val="35E37025"/>
    <w:rsid w:val="35EA1101"/>
    <w:rsid w:val="35EB0756"/>
    <w:rsid w:val="35F00F1A"/>
    <w:rsid w:val="36F16073"/>
    <w:rsid w:val="373527DC"/>
    <w:rsid w:val="37A40015"/>
    <w:rsid w:val="38181E92"/>
    <w:rsid w:val="385D0C07"/>
    <w:rsid w:val="38645639"/>
    <w:rsid w:val="38CC5375"/>
    <w:rsid w:val="3A200389"/>
    <w:rsid w:val="3A6C0903"/>
    <w:rsid w:val="3AFA5077"/>
    <w:rsid w:val="3B770B56"/>
    <w:rsid w:val="3C09033E"/>
    <w:rsid w:val="3D005A45"/>
    <w:rsid w:val="3D4E4434"/>
    <w:rsid w:val="3D5C0252"/>
    <w:rsid w:val="3DD75AE4"/>
    <w:rsid w:val="3DE752B1"/>
    <w:rsid w:val="3E5962C4"/>
    <w:rsid w:val="3F0F1D3C"/>
    <w:rsid w:val="3F307160"/>
    <w:rsid w:val="3FE45FF9"/>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32385F"/>
    <w:rsid w:val="446A4392"/>
    <w:rsid w:val="449F59C6"/>
    <w:rsid w:val="44D82C21"/>
    <w:rsid w:val="450822D5"/>
    <w:rsid w:val="452C1738"/>
    <w:rsid w:val="459D3BAC"/>
    <w:rsid w:val="45B15B6F"/>
    <w:rsid w:val="45C70991"/>
    <w:rsid w:val="46FE04A5"/>
    <w:rsid w:val="484375F2"/>
    <w:rsid w:val="4932086F"/>
    <w:rsid w:val="49BE5F57"/>
    <w:rsid w:val="49D55CCC"/>
    <w:rsid w:val="4A092CEE"/>
    <w:rsid w:val="4A0F4C6E"/>
    <w:rsid w:val="4B171876"/>
    <w:rsid w:val="4B2D3BB3"/>
    <w:rsid w:val="4B7F2071"/>
    <w:rsid w:val="4C0A2CAF"/>
    <w:rsid w:val="4CA019EF"/>
    <w:rsid w:val="4CD65407"/>
    <w:rsid w:val="4CF36C10"/>
    <w:rsid w:val="4D275D58"/>
    <w:rsid w:val="4D3F3966"/>
    <w:rsid w:val="4D714B56"/>
    <w:rsid w:val="4DB869DC"/>
    <w:rsid w:val="4E105B1C"/>
    <w:rsid w:val="4E8A3567"/>
    <w:rsid w:val="4EBB20E8"/>
    <w:rsid w:val="4ED6150F"/>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520514E"/>
    <w:rsid w:val="56C22E2C"/>
    <w:rsid w:val="591B75F7"/>
    <w:rsid w:val="5945486B"/>
    <w:rsid w:val="59802FCB"/>
    <w:rsid w:val="5A087442"/>
    <w:rsid w:val="5A946F21"/>
    <w:rsid w:val="5A9D7A40"/>
    <w:rsid w:val="5B156D38"/>
    <w:rsid w:val="5B282F95"/>
    <w:rsid w:val="5B702303"/>
    <w:rsid w:val="5B7511E7"/>
    <w:rsid w:val="5CED2007"/>
    <w:rsid w:val="5D082CDF"/>
    <w:rsid w:val="5D465092"/>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77155"/>
    <w:rsid w:val="61EB6FE8"/>
    <w:rsid w:val="621A2951"/>
    <w:rsid w:val="62210286"/>
    <w:rsid w:val="627F35C8"/>
    <w:rsid w:val="62A941BD"/>
    <w:rsid w:val="63B77699"/>
    <w:rsid w:val="63B84723"/>
    <w:rsid w:val="63F2579A"/>
    <w:rsid w:val="649A72EB"/>
    <w:rsid w:val="657764EA"/>
    <w:rsid w:val="65A65B15"/>
    <w:rsid w:val="65C46D71"/>
    <w:rsid w:val="65D74FB3"/>
    <w:rsid w:val="65F50571"/>
    <w:rsid w:val="66050144"/>
    <w:rsid w:val="66483949"/>
    <w:rsid w:val="668D6B97"/>
    <w:rsid w:val="672E6FB2"/>
    <w:rsid w:val="68472ABA"/>
    <w:rsid w:val="686E5A9A"/>
    <w:rsid w:val="68BF2D88"/>
    <w:rsid w:val="69CB2E9E"/>
    <w:rsid w:val="69E043F6"/>
    <w:rsid w:val="6A6B401A"/>
    <w:rsid w:val="6AED2300"/>
    <w:rsid w:val="6B2E6296"/>
    <w:rsid w:val="6B425AF6"/>
    <w:rsid w:val="6B5253E6"/>
    <w:rsid w:val="6B78426C"/>
    <w:rsid w:val="6BB00A49"/>
    <w:rsid w:val="6C2975FB"/>
    <w:rsid w:val="6C4E1DC6"/>
    <w:rsid w:val="6C8115A7"/>
    <w:rsid w:val="6CE23C89"/>
    <w:rsid w:val="6D5676EC"/>
    <w:rsid w:val="6E4D4A90"/>
    <w:rsid w:val="6EB14834"/>
    <w:rsid w:val="6EEF0AD8"/>
    <w:rsid w:val="6F7B7803"/>
    <w:rsid w:val="700E3121"/>
    <w:rsid w:val="707E71DF"/>
    <w:rsid w:val="70F42CBC"/>
    <w:rsid w:val="7184039E"/>
    <w:rsid w:val="71E421CB"/>
    <w:rsid w:val="72351068"/>
    <w:rsid w:val="726807DE"/>
    <w:rsid w:val="726D5F54"/>
    <w:rsid w:val="73C53520"/>
    <w:rsid w:val="73EB0E3A"/>
    <w:rsid w:val="73FA4687"/>
    <w:rsid w:val="745831D2"/>
    <w:rsid w:val="74761A98"/>
    <w:rsid w:val="74944BF7"/>
    <w:rsid w:val="74EC0BCD"/>
    <w:rsid w:val="751355EF"/>
    <w:rsid w:val="75AD6A4E"/>
    <w:rsid w:val="7646766A"/>
    <w:rsid w:val="76BB7341"/>
    <w:rsid w:val="76C70360"/>
    <w:rsid w:val="772C3F02"/>
    <w:rsid w:val="77303BDE"/>
    <w:rsid w:val="775B2DBD"/>
    <w:rsid w:val="77B3133E"/>
    <w:rsid w:val="77E60870"/>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C71A4D"/>
    <w:rsid w:val="7DE7687B"/>
    <w:rsid w:val="7E1E409F"/>
    <w:rsid w:val="7E4E58B3"/>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968</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2025-04-24T08:37:31Z</cp:lastPrinted>
  <dcterms:modified xsi:type="dcterms:W3CDTF">2025-04-25T00:50:25Z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