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DBJ25420100003433149ZX</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武汉光谷未来学校的茄子</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2025年2月19日抽自</w:t>
      </w:r>
      <w:r>
        <w:rPr>
          <w:rFonts w:hint="eastAsia" w:eastAsia="仿宋_GB2312"/>
          <w:b w:val="0"/>
          <w:bCs w:val="0"/>
          <w:sz w:val="32"/>
          <w:szCs w:val="32"/>
          <w:lang w:val="en-US" w:eastAsia="zh-CN"/>
        </w:rPr>
        <w:t>武汉光谷未来学校的茄子，吡唑醚菌酯项目不符合 GB 2763-2021《食品安全国家标准 食品中农药最大残留限量》要求，检验结论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经查，当事人当事人经营农药残留含量超过食品安全标准限量茄子的行为，违反了《中华人民共和国食品安全法》第三十四条第二项“禁止生产经营</w:t>
      </w:r>
      <w:r>
        <w:rPr>
          <w:rFonts w:hint="eastAsia" w:eastAsia="仿宋_GB2312" w:cs="Times New Roman"/>
          <w:b w:val="0"/>
          <w:bCs w:val="0"/>
          <w:sz w:val="32"/>
          <w:szCs w:val="32"/>
          <w:lang w:val="en-US" w:eastAsia="zh-CN"/>
        </w:rPr>
        <w:t xml:space="preserve"> </w:t>
      </w:r>
      <w:r>
        <w:rPr>
          <w:rFonts w:hint="eastAsia" w:ascii="Times New Roman" w:hAnsi="Times New Roman" w:eastAsia="仿宋_GB2312" w:cs="Times New Roman"/>
          <w:b w:val="0"/>
          <w:bCs w:val="0"/>
          <w:sz w:val="32"/>
          <w:szCs w:val="32"/>
          <w:lang w:val="en-US" w:eastAsia="zh-CN"/>
        </w:rPr>
        <w:t>下列食品、食品添加剂、食品相关产品： ...... （二）致病性微生物，农药残留、兽药残留、生物毒素、重金属等污染物质以及其他危害人体健康的物质含量超过食品安全标准限量的食品、食品添加剂、食品相关产品；</w:t>
      </w:r>
      <w:r>
        <w:rPr>
          <w:rFonts w:hint="eastAsia" w:eastAsia="仿宋_GB2312" w:cs="Times New Roman"/>
          <w:b w:val="0"/>
          <w:bCs w:val="0"/>
          <w:sz w:val="32"/>
          <w:szCs w:val="32"/>
          <w:lang w:val="en-US" w:eastAsia="zh-CN"/>
        </w:rPr>
        <w:t>”</w:t>
      </w:r>
      <w:r>
        <w:rPr>
          <w:rFonts w:hint="eastAsia" w:ascii="Times New Roman" w:hAnsi="Times New Roman" w:eastAsia="仿宋_GB2312" w:cs="Times New Roman"/>
          <w:b w:val="0"/>
          <w:bCs w:val="0"/>
          <w:sz w:val="32"/>
          <w:szCs w:val="32"/>
          <w:lang w:val="en-US" w:eastAsia="zh-CN"/>
        </w:rPr>
        <w:t>的规定。依据《中华人民共和国</w:t>
      </w:r>
      <w:bookmarkStart w:id="1" w:name="_GoBack"/>
      <w:bookmarkEnd w:id="1"/>
      <w:r>
        <w:rPr>
          <w:rFonts w:hint="eastAsia" w:ascii="Times New Roman" w:hAnsi="Times New Roman" w:eastAsia="仿宋_GB2312" w:cs="Times New Roman"/>
          <w:b w:val="0"/>
          <w:bCs w:val="0"/>
          <w:sz w:val="32"/>
          <w:szCs w:val="32"/>
          <w:lang w:val="en-US" w:eastAsia="zh-CN"/>
        </w:rPr>
        <w:fldChar w:fldCharType="begin"/>
      </w:r>
      <w:r>
        <w:rPr>
          <w:rFonts w:hint="eastAsia" w:ascii="Times New Roman" w:hAnsi="Times New Roman" w:eastAsia="仿宋_GB2312" w:cs="Times New Roman"/>
          <w:b w:val="0"/>
          <w:bCs w:val="0"/>
          <w:sz w:val="32"/>
          <w:szCs w:val="32"/>
          <w:lang w:val="en-US" w:eastAsia="zh-CN"/>
        </w:rPr>
        <w:instrText xml:space="preserve"> HYPERLINK "http://59.208.149.64:8011/" \l "/law?lawid=668518&amp;type=true&amp;sourceSystem=CasePunishmentApi&amp;isLogin=true" \t "http://59.208.149.64:15022/?token=1680743974222663680_420119" \l "/_blank" </w:instrText>
      </w:r>
      <w:r>
        <w:rPr>
          <w:rFonts w:hint="eastAsia" w:ascii="Times New Roman" w:hAnsi="Times New Roman" w:eastAsia="仿宋_GB2312" w:cs="Times New Roman"/>
          <w:b w:val="0"/>
          <w:bCs w:val="0"/>
          <w:sz w:val="32"/>
          <w:szCs w:val="32"/>
          <w:lang w:val="en-US" w:eastAsia="zh-CN"/>
        </w:rPr>
        <w:fldChar w:fldCharType="separate"/>
      </w:r>
      <w:r>
        <w:rPr>
          <w:rFonts w:hint="eastAsia" w:ascii="Times New Roman" w:hAnsi="Times New Roman" w:eastAsia="仿宋_GB2312" w:cs="Times New Roman"/>
          <w:b w:val="0"/>
          <w:bCs w:val="0"/>
          <w:sz w:val="32"/>
          <w:szCs w:val="32"/>
          <w:lang w:val="en-US" w:eastAsia="zh-CN"/>
        </w:rPr>
        <w:t>食品安全法</w:t>
      </w:r>
      <w:r>
        <w:rPr>
          <w:rFonts w:hint="eastAsia" w:ascii="Times New Roman" w:hAnsi="Times New Roman" w:eastAsia="仿宋_GB2312" w:cs="Times New Roman"/>
          <w:b w:val="0"/>
          <w:bCs w:val="0"/>
          <w:sz w:val="32"/>
          <w:szCs w:val="32"/>
          <w:lang w:val="en-US" w:eastAsia="zh-CN"/>
        </w:rPr>
        <w:fldChar w:fldCharType="end"/>
      </w:r>
      <w:r>
        <w:rPr>
          <w:rFonts w:hint="eastAsia" w:ascii="Times New Roman" w:hAnsi="Times New Roman" w:eastAsia="仿宋_GB2312" w:cs="Times New Roman"/>
          <w:b w:val="0"/>
          <w:bCs w:val="0"/>
          <w:sz w:val="32"/>
          <w:szCs w:val="32"/>
          <w:lang w:val="en-US" w:eastAsia="zh-CN"/>
        </w:rPr>
        <w:t>》</w:t>
      </w:r>
      <w:bookmarkStart w:id="0" w:name="7008955"/>
      <w:r>
        <w:rPr>
          <w:rFonts w:hint="eastAsia" w:ascii="Times New Roman" w:hAnsi="Times New Roman" w:eastAsia="仿宋_GB2312" w:cs="Times New Roman"/>
          <w:b w:val="0"/>
          <w:bCs w:val="0"/>
          <w:sz w:val="32"/>
          <w:szCs w:val="32"/>
          <w:lang w:val="en-US" w:eastAsia="zh-CN"/>
        </w:rPr>
        <w:fldChar w:fldCharType="begin"/>
      </w:r>
      <w:r>
        <w:rPr>
          <w:rFonts w:hint="eastAsia" w:ascii="Times New Roman" w:hAnsi="Times New Roman" w:eastAsia="仿宋_GB2312" w:cs="Times New Roman"/>
          <w:b w:val="0"/>
          <w:bCs w:val="0"/>
          <w:sz w:val="32"/>
          <w:szCs w:val="32"/>
          <w:lang w:val="en-US" w:eastAsia="zh-CN"/>
        </w:rPr>
        <w:instrText xml:space="preserve"> HYPERLINK "http://59.208.149.64:15022/?token=1680743974222663680_420119" \l "/javascript:;" </w:instrText>
      </w:r>
      <w:r>
        <w:rPr>
          <w:rFonts w:hint="eastAsia" w:ascii="Times New Roman" w:hAnsi="Times New Roman" w:eastAsia="仿宋_GB2312" w:cs="Times New Roman"/>
          <w:b w:val="0"/>
          <w:bCs w:val="0"/>
          <w:sz w:val="32"/>
          <w:szCs w:val="32"/>
          <w:lang w:val="en-US" w:eastAsia="zh-CN"/>
        </w:rPr>
        <w:fldChar w:fldCharType="separate"/>
      </w:r>
      <w:r>
        <w:rPr>
          <w:rFonts w:hint="eastAsia" w:ascii="Times New Roman" w:hAnsi="Times New Roman" w:eastAsia="仿宋_GB2312" w:cs="Times New Roman"/>
          <w:b w:val="0"/>
          <w:bCs w:val="0"/>
          <w:sz w:val="32"/>
          <w:szCs w:val="32"/>
          <w:lang w:val="en-US" w:eastAsia="zh-CN"/>
        </w:rPr>
        <w:t>第一百二十四条</w:t>
      </w:r>
      <w:bookmarkEnd w:id="0"/>
      <w:r>
        <w:rPr>
          <w:rFonts w:hint="eastAsia" w:ascii="Times New Roman" w:hAnsi="Times New Roman" w:eastAsia="仿宋_GB2312" w:cs="Times New Roman"/>
          <w:b w:val="0"/>
          <w:bCs w:val="0"/>
          <w:sz w:val="32"/>
          <w:szCs w:val="32"/>
          <w:lang w:val="en-US" w:eastAsia="zh-CN"/>
        </w:rPr>
        <w:fldChar w:fldCharType="end"/>
      </w:r>
      <w:r>
        <w:rPr>
          <w:rFonts w:hint="eastAsia" w:ascii="Times New Roman" w:hAnsi="Times New Roman" w:eastAsia="仿宋_GB2312" w:cs="Times New Roman"/>
          <w:b w:val="0"/>
          <w:bCs w:val="0"/>
          <w:sz w:val="32"/>
          <w:szCs w:val="32"/>
          <w:lang w:val="en-US" w:eastAsia="zh-CN"/>
        </w:rPr>
        <w:t>第一款：“违反本法规定，有下列情形之一，尚不构成犯罪的，由县级以上人民政府食品安全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一）生产经营致病性微生物，农药残留、兽药残留、生物毒素、重金属等污染物质以及其他危害人体健康的物质含量超过食品安全标准限量的食品、食品添加剂；”的规定应当进行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鉴于当事人采购该批次茄子时履行了进货查验义务，有充分证据证明其不知道所采购的食品不符合食品安全标准，案发后积极配合调查，主动提供进货票据、供货商营业执照、学校食堂菜谱记录、情况说明等证据材料，能够如实说明进货来源，符合《中华人民共和国食品安全法》第一百三十六条“食品经营者履行了本法规定的进货查验等义务，有充分证据证明其不知道所采购的食品不符合食品安全标准，并能如实说明其进货来源的，可以免予处罚，但应当依法没收其不符合食品安全标准的食品；造成人身、财产或者其他损害的，依法承担赔偿责任。”的规定，本局决定对当事人不予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员对该经营单位进行了全面检查，该单位积极配合调查，如实说明涉案产品来源，提供了供货商的</w:t>
      </w:r>
      <w:r>
        <w:rPr>
          <w:rFonts w:hint="eastAsia" w:ascii="Times New Roman" w:hAnsi="Times New Roman" w:eastAsia="仿宋_GB2312" w:cs="Times New Roman"/>
          <w:b w:val="0"/>
          <w:bCs w:val="0"/>
          <w:kern w:val="2"/>
          <w:sz w:val="32"/>
          <w:szCs w:val="32"/>
          <w:lang w:val="en-US" w:eastAsia="zh-CN" w:bidi="ar-SA"/>
        </w:rPr>
        <w:t>《营业执</w:t>
      </w:r>
      <w:r>
        <w:rPr>
          <w:rFonts w:hint="eastAsia" w:eastAsia="仿宋_GB2312"/>
          <w:sz w:val="32"/>
          <w:szCs w:val="32"/>
          <w:lang w:val="en-US" w:eastAsia="zh-CN"/>
        </w:rPr>
        <w:t>照》</w:t>
      </w:r>
      <w:r>
        <w:rPr>
          <w:rFonts w:hint="eastAsia" w:ascii="Times New Roman" w:hAnsi="Times New Roman" w:eastAsia="仿宋_GB2312" w:cs="Times New Roman"/>
          <w:b w:val="0"/>
          <w:bCs w:val="0"/>
          <w:sz w:val="32"/>
          <w:szCs w:val="32"/>
          <w:lang w:val="en-US" w:eastAsia="zh-CN"/>
        </w:rPr>
        <w:t>《食品经营许可证》、</w:t>
      </w:r>
      <w:r>
        <w:rPr>
          <w:rFonts w:hint="eastAsia" w:eastAsia="仿宋_GB2312" w:cs="Times New Roman"/>
          <w:b w:val="0"/>
          <w:bCs w:val="0"/>
          <w:sz w:val="32"/>
          <w:szCs w:val="32"/>
          <w:lang w:val="en-US" w:eastAsia="zh-CN"/>
        </w:rPr>
        <w:t>农产品检测报告单、</w:t>
      </w:r>
      <w:r>
        <w:rPr>
          <w:rFonts w:hint="eastAsia" w:ascii="仿宋_GB2312" w:hAnsi="仿宋_GB2312" w:eastAsia="仿宋_GB2312" w:cs="仿宋_GB2312"/>
          <w:b w:val="0"/>
          <w:bCs w:val="0"/>
          <w:sz w:val="32"/>
          <w:szCs w:val="32"/>
          <w:lang w:val="en-US" w:eastAsia="zh-CN"/>
        </w:rPr>
        <w:t>进货票据</w:t>
      </w:r>
      <w:r>
        <w:rPr>
          <w:rFonts w:hint="eastAsia" w:ascii="仿宋_GB2312" w:hAnsi="仿宋_GB2312" w:eastAsia="仿宋_GB2312" w:cs="仿宋_GB2312"/>
          <w:b w:val="0"/>
          <w:bCs w:val="0"/>
          <w:color w:val="auto"/>
          <w:sz w:val="32"/>
          <w:szCs w:val="32"/>
          <w:lang w:val="en-US" w:eastAsia="zh-CN"/>
        </w:rPr>
        <w:t>和</w:t>
      </w:r>
      <w:r>
        <w:rPr>
          <w:rFonts w:hint="eastAsia" w:ascii="仿宋_GB2312" w:hAnsi="仿宋_GB2312" w:eastAsia="仿宋_GB2312" w:cs="仿宋_GB2312"/>
          <w:sz w:val="32"/>
          <w:szCs w:val="32"/>
          <w:lang w:val="en-US" w:eastAsia="zh-CN"/>
        </w:rPr>
        <w:t>学校就餐菜谱</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等相关证明文件。针对此次不合格情况，该单位已制定整改措施：一是</w:t>
      </w:r>
      <w:r>
        <w:rPr>
          <w:rFonts w:hint="eastAsia" w:eastAsia="仿宋_GB2312" w:cs="Times New Roman"/>
          <w:b w:val="0"/>
          <w:bCs w:val="0"/>
          <w:sz w:val="32"/>
          <w:szCs w:val="32"/>
          <w:lang w:val="en-US" w:eastAsia="zh-CN"/>
        </w:rPr>
        <w:t>完善供应商管理，对现有食材供应商进行全面审查，包括供应商资质和产品的检测报告</w:t>
      </w:r>
      <w:r>
        <w:rPr>
          <w:rFonts w:hint="eastAsia" w:ascii="Times New Roman" w:hAnsi="Times New Roman" w:eastAsia="仿宋_GB2312" w:cs="Times New Roman"/>
          <w:b w:val="0"/>
          <w:bCs w:val="0"/>
          <w:sz w:val="32"/>
          <w:szCs w:val="32"/>
          <w:lang w:val="en-US" w:eastAsia="zh-CN"/>
        </w:rPr>
        <w:t>；二是</w:t>
      </w:r>
      <w:r>
        <w:rPr>
          <w:rFonts w:hint="eastAsia" w:eastAsia="仿宋_GB2312" w:cs="Times New Roman"/>
          <w:b w:val="0"/>
          <w:bCs w:val="0"/>
          <w:sz w:val="32"/>
          <w:szCs w:val="32"/>
          <w:lang w:val="en-US" w:eastAsia="zh-CN"/>
        </w:rPr>
        <w:t>加强食材验收管理，制定详细的食材验收标准和操作流程，要求验收人员严格按照标准索证索票，同时增加农药残留快速检测环节，做好抽检结果记录；三是健全食品安全管理制度，明确各环节责任，并组织员工开展食品安全知识培训，强化工作人员责任意识</w:t>
      </w:r>
      <w:r>
        <w:rPr>
          <w:rFonts w:hint="eastAsia" w:eastAsia="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5120" w:firstLineChars="16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6</w:t>
      </w:r>
      <w:r>
        <w:rPr>
          <w:rFonts w:hint="default" w:eastAsia="仿宋_GB2312"/>
          <w:sz w:val="32"/>
          <w:szCs w:val="32"/>
          <w:lang w:val="en-US" w:eastAsia="zh-CN"/>
        </w:rPr>
        <w:t>月</w:t>
      </w:r>
      <w:r>
        <w:rPr>
          <w:rFonts w:hint="eastAsia" w:eastAsia="仿宋_GB2312"/>
          <w:sz w:val="32"/>
          <w:szCs w:val="32"/>
          <w:lang w:val="en-US" w:eastAsia="zh-CN"/>
        </w:rPr>
        <w:t>9</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F621E6"/>
    <w:rsid w:val="02D941AB"/>
    <w:rsid w:val="03195FD7"/>
    <w:rsid w:val="032C69D5"/>
    <w:rsid w:val="03A36F29"/>
    <w:rsid w:val="03C858EE"/>
    <w:rsid w:val="03D91B06"/>
    <w:rsid w:val="043C5FE1"/>
    <w:rsid w:val="049322AC"/>
    <w:rsid w:val="0502527B"/>
    <w:rsid w:val="05E42A13"/>
    <w:rsid w:val="05F91121"/>
    <w:rsid w:val="06A42B48"/>
    <w:rsid w:val="06A7211B"/>
    <w:rsid w:val="06B27233"/>
    <w:rsid w:val="06D363B8"/>
    <w:rsid w:val="0733359A"/>
    <w:rsid w:val="07862CB6"/>
    <w:rsid w:val="07883506"/>
    <w:rsid w:val="079414C1"/>
    <w:rsid w:val="07F20132"/>
    <w:rsid w:val="08543D87"/>
    <w:rsid w:val="08602BA8"/>
    <w:rsid w:val="08FA46E1"/>
    <w:rsid w:val="09C70100"/>
    <w:rsid w:val="09F105B3"/>
    <w:rsid w:val="0A0D17E8"/>
    <w:rsid w:val="0A2819F5"/>
    <w:rsid w:val="0A910564"/>
    <w:rsid w:val="0AAD2736"/>
    <w:rsid w:val="0BE00729"/>
    <w:rsid w:val="0BE63BCF"/>
    <w:rsid w:val="0C660740"/>
    <w:rsid w:val="0CD27E67"/>
    <w:rsid w:val="0D7231BC"/>
    <w:rsid w:val="0DBB3146"/>
    <w:rsid w:val="0E3623AE"/>
    <w:rsid w:val="0E562FC0"/>
    <w:rsid w:val="0EFE518C"/>
    <w:rsid w:val="0F812DD5"/>
    <w:rsid w:val="0F844CC6"/>
    <w:rsid w:val="0FFD229E"/>
    <w:rsid w:val="1078223F"/>
    <w:rsid w:val="10B26BF4"/>
    <w:rsid w:val="11EE54F1"/>
    <w:rsid w:val="11FA1E15"/>
    <w:rsid w:val="13802757"/>
    <w:rsid w:val="1391711A"/>
    <w:rsid w:val="13AD648F"/>
    <w:rsid w:val="141D2C86"/>
    <w:rsid w:val="1428264A"/>
    <w:rsid w:val="148215ED"/>
    <w:rsid w:val="151128EB"/>
    <w:rsid w:val="154E1950"/>
    <w:rsid w:val="158F59EA"/>
    <w:rsid w:val="15C50DAE"/>
    <w:rsid w:val="16AB2FDC"/>
    <w:rsid w:val="178222B0"/>
    <w:rsid w:val="184A0D05"/>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E0E3CEC"/>
    <w:rsid w:val="1E7E1981"/>
    <w:rsid w:val="1F081643"/>
    <w:rsid w:val="1FDA19FB"/>
    <w:rsid w:val="200935DC"/>
    <w:rsid w:val="206814FD"/>
    <w:rsid w:val="20C64A1E"/>
    <w:rsid w:val="20EC2133"/>
    <w:rsid w:val="21013697"/>
    <w:rsid w:val="2171516D"/>
    <w:rsid w:val="21DA70B8"/>
    <w:rsid w:val="21DF7E38"/>
    <w:rsid w:val="220F251D"/>
    <w:rsid w:val="22712A2C"/>
    <w:rsid w:val="22977D4A"/>
    <w:rsid w:val="22E938B0"/>
    <w:rsid w:val="22FD3125"/>
    <w:rsid w:val="23945A72"/>
    <w:rsid w:val="23DF1901"/>
    <w:rsid w:val="240D6649"/>
    <w:rsid w:val="24964711"/>
    <w:rsid w:val="24D859AE"/>
    <w:rsid w:val="24F37810"/>
    <w:rsid w:val="25485E80"/>
    <w:rsid w:val="259D1595"/>
    <w:rsid w:val="25DF6B72"/>
    <w:rsid w:val="263B78CF"/>
    <w:rsid w:val="2644262F"/>
    <w:rsid w:val="272B0385"/>
    <w:rsid w:val="272F5A50"/>
    <w:rsid w:val="27685E79"/>
    <w:rsid w:val="27CA0CAB"/>
    <w:rsid w:val="28BD5493"/>
    <w:rsid w:val="28E7314A"/>
    <w:rsid w:val="28E750BB"/>
    <w:rsid w:val="294560D8"/>
    <w:rsid w:val="297F6074"/>
    <w:rsid w:val="29F72AE8"/>
    <w:rsid w:val="2B8F3E3B"/>
    <w:rsid w:val="2C01177C"/>
    <w:rsid w:val="2D9177AD"/>
    <w:rsid w:val="2D98535F"/>
    <w:rsid w:val="2EAA3276"/>
    <w:rsid w:val="2EB96CAB"/>
    <w:rsid w:val="2F01285B"/>
    <w:rsid w:val="2F5614BD"/>
    <w:rsid w:val="2F64349D"/>
    <w:rsid w:val="2FFF34B3"/>
    <w:rsid w:val="309E0133"/>
    <w:rsid w:val="312F1C8F"/>
    <w:rsid w:val="31AE616A"/>
    <w:rsid w:val="320A5E9F"/>
    <w:rsid w:val="322C0E36"/>
    <w:rsid w:val="322E174B"/>
    <w:rsid w:val="32FB7FC6"/>
    <w:rsid w:val="33875743"/>
    <w:rsid w:val="33A743DF"/>
    <w:rsid w:val="33C13BA1"/>
    <w:rsid w:val="34B3770A"/>
    <w:rsid w:val="34FF4367"/>
    <w:rsid w:val="350A0A2B"/>
    <w:rsid w:val="35454ACD"/>
    <w:rsid w:val="35E37025"/>
    <w:rsid w:val="35EA1101"/>
    <w:rsid w:val="35EB0756"/>
    <w:rsid w:val="369C0825"/>
    <w:rsid w:val="36F16073"/>
    <w:rsid w:val="373527DC"/>
    <w:rsid w:val="37A40015"/>
    <w:rsid w:val="38181E92"/>
    <w:rsid w:val="385D0C07"/>
    <w:rsid w:val="38645639"/>
    <w:rsid w:val="38CC5375"/>
    <w:rsid w:val="3A1B20DA"/>
    <w:rsid w:val="3A200389"/>
    <w:rsid w:val="3A6C0903"/>
    <w:rsid w:val="3AFA5077"/>
    <w:rsid w:val="3B770B56"/>
    <w:rsid w:val="3BC1660B"/>
    <w:rsid w:val="3D005A45"/>
    <w:rsid w:val="3D4E4434"/>
    <w:rsid w:val="3D5C0252"/>
    <w:rsid w:val="3DD75AE4"/>
    <w:rsid w:val="3DE752B1"/>
    <w:rsid w:val="3E5962C4"/>
    <w:rsid w:val="3E757063"/>
    <w:rsid w:val="3F0F1D3C"/>
    <w:rsid w:val="3F307160"/>
    <w:rsid w:val="4031098C"/>
    <w:rsid w:val="40704606"/>
    <w:rsid w:val="40821F36"/>
    <w:rsid w:val="40976185"/>
    <w:rsid w:val="412E4291"/>
    <w:rsid w:val="41366633"/>
    <w:rsid w:val="41D5249F"/>
    <w:rsid w:val="4255407F"/>
    <w:rsid w:val="425E7D06"/>
    <w:rsid w:val="42D9657C"/>
    <w:rsid w:val="43747872"/>
    <w:rsid w:val="43A268DE"/>
    <w:rsid w:val="43B81F37"/>
    <w:rsid w:val="43BB469E"/>
    <w:rsid w:val="43E81139"/>
    <w:rsid w:val="43FD30EB"/>
    <w:rsid w:val="4432385F"/>
    <w:rsid w:val="446A4392"/>
    <w:rsid w:val="44994BFE"/>
    <w:rsid w:val="449F59C6"/>
    <w:rsid w:val="450822D5"/>
    <w:rsid w:val="452C1738"/>
    <w:rsid w:val="459D3BAC"/>
    <w:rsid w:val="45B15B6F"/>
    <w:rsid w:val="45C70991"/>
    <w:rsid w:val="46FE04A5"/>
    <w:rsid w:val="484375F2"/>
    <w:rsid w:val="4932086F"/>
    <w:rsid w:val="49BE5F57"/>
    <w:rsid w:val="49D55CCC"/>
    <w:rsid w:val="4A092CEE"/>
    <w:rsid w:val="4A0F4C6E"/>
    <w:rsid w:val="4B171876"/>
    <w:rsid w:val="4B2D3BB3"/>
    <w:rsid w:val="4B7F2071"/>
    <w:rsid w:val="4C0A2CAF"/>
    <w:rsid w:val="4CF36C10"/>
    <w:rsid w:val="4D3F3966"/>
    <w:rsid w:val="4D714B56"/>
    <w:rsid w:val="4DB869DC"/>
    <w:rsid w:val="4E8A3567"/>
    <w:rsid w:val="4EBB20E8"/>
    <w:rsid w:val="4ED6150F"/>
    <w:rsid w:val="4EF87A84"/>
    <w:rsid w:val="4F0C246E"/>
    <w:rsid w:val="4F27768C"/>
    <w:rsid w:val="4F320217"/>
    <w:rsid w:val="4F5B2592"/>
    <w:rsid w:val="501A2DA6"/>
    <w:rsid w:val="50206532"/>
    <w:rsid w:val="50E922F5"/>
    <w:rsid w:val="512C3BED"/>
    <w:rsid w:val="51C163D9"/>
    <w:rsid w:val="527049F9"/>
    <w:rsid w:val="52A54EA1"/>
    <w:rsid w:val="536C718F"/>
    <w:rsid w:val="53751EBA"/>
    <w:rsid w:val="54182D6F"/>
    <w:rsid w:val="543B65E6"/>
    <w:rsid w:val="544C19ED"/>
    <w:rsid w:val="544D66DA"/>
    <w:rsid w:val="54987538"/>
    <w:rsid w:val="54CA7311"/>
    <w:rsid w:val="55F4617B"/>
    <w:rsid w:val="56C22E2C"/>
    <w:rsid w:val="56FB56AD"/>
    <w:rsid w:val="591B75F7"/>
    <w:rsid w:val="5945486B"/>
    <w:rsid w:val="59802FCB"/>
    <w:rsid w:val="5A087442"/>
    <w:rsid w:val="5A736A40"/>
    <w:rsid w:val="5A946F21"/>
    <w:rsid w:val="5A9D7A40"/>
    <w:rsid w:val="5B156D38"/>
    <w:rsid w:val="5B282F95"/>
    <w:rsid w:val="5B702303"/>
    <w:rsid w:val="5B7511E7"/>
    <w:rsid w:val="5CED2007"/>
    <w:rsid w:val="5D082CDF"/>
    <w:rsid w:val="5DAC617B"/>
    <w:rsid w:val="5DB73809"/>
    <w:rsid w:val="5DE867AE"/>
    <w:rsid w:val="5E0C1D7C"/>
    <w:rsid w:val="5ED86461"/>
    <w:rsid w:val="5EFE71D2"/>
    <w:rsid w:val="5F0F0FBD"/>
    <w:rsid w:val="5F5E2CAF"/>
    <w:rsid w:val="5F726AFE"/>
    <w:rsid w:val="5FC9335B"/>
    <w:rsid w:val="5FDE5B8E"/>
    <w:rsid w:val="601F638E"/>
    <w:rsid w:val="60B078BF"/>
    <w:rsid w:val="60E2206D"/>
    <w:rsid w:val="610D1C2D"/>
    <w:rsid w:val="613A2E11"/>
    <w:rsid w:val="61EB6FE8"/>
    <w:rsid w:val="621A2951"/>
    <w:rsid w:val="62210286"/>
    <w:rsid w:val="627F35C8"/>
    <w:rsid w:val="62A941BD"/>
    <w:rsid w:val="63B77699"/>
    <w:rsid w:val="63B84723"/>
    <w:rsid w:val="63F2579A"/>
    <w:rsid w:val="649A72EB"/>
    <w:rsid w:val="64BA1A0D"/>
    <w:rsid w:val="657764EA"/>
    <w:rsid w:val="65A65B15"/>
    <w:rsid w:val="65C46D71"/>
    <w:rsid w:val="65D74FB3"/>
    <w:rsid w:val="65F50571"/>
    <w:rsid w:val="66050144"/>
    <w:rsid w:val="66483949"/>
    <w:rsid w:val="668D6B97"/>
    <w:rsid w:val="672E6FB2"/>
    <w:rsid w:val="679276B1"/>
    <w:rsid w:val="68472ABA"/>
    <w:rsid w:val="68BF2D88"/>
    <w:rsid w:val="69B81DD1"/>
    <w:rsid w:val="69CB2E9E"/>
    <w:rsid w:val="69E043F6"/>
    <w:rsid w:val="6A6B401A"/>
    <w:rsid w:val="6AED2300"/>
    <w:rsid w:val="6B2E6296"/>
    <w:rsid w:val="6B425AF6"/>
    <w:rsid w:val="6B5253E6"/>
    <w:rsid w:val="6B78426C"/>
    <w:rsid w:val="6BB00A49"/>
    <w:rsid w:val="6C2975FB"/>
    <w:rsid w:val="6C4E1DC6"/>
    <w:rsid w:val="6C8115A7"/>
    <w:rsid w:val="6CE23C89"/>
    <w:rsid w:val="6CFD7B2E"/>
    <w:rsid w:val="6D5676EC"/>
    <w:rsid w:val="6E4D4A90"/>
    <w:rsid w:val="6EB14834"/>
    <w:rsid w:val="6F7B7803"/>
    <w:rsid w:val="700E3121"/>
    <w:rsid w:val="70F42CBC"/>
    <w:rsid w:val="7184039E"/>
    <w:rsid w:val="71E421CB"/>
    <w:rsid w:val="72351068"/>
    <w:rsid w:val="726807DE"/>
    <w:rsid w:val="726D5F54"/>
    <w:rsid w:val="73C53520"/>
    <w:rsid w:val="73EB0E3A"/>
    <w:rsid w:val="745831D2"/>
    <w:rsid w:val="74944BF7"/>
    <w:rsid w:val="751355EF"/>
    <w:rsid w:val="75892F76"/>
    <w:rsid w:val="75AD6A4E"/>
    <w:rsid w:val="7646766A"/>
    <w:rsid w:val="76BB7341"/>
    <w:rsid w:val="76C70360"/>
    <w:rsid w:val="772C3F02"/>
    <w:rsid w:val="77303BDE"/>
    <w:rsid w:val="775B2DBD"/>
    <w:rsid w:val="77B3133E"/>
    <w:rsid w:val="78212FBB"/>
    <w:rsid w:val="78E148C6"/>
    <w:rsid w:val="78F410AA"/>
    <w:rsid w:val="7905538F"/>
    <w:rsid w:val="793F6AEA"/>
    <w:rsid w:val="797C2F4C"/>
    <w:rsid w:val="798833E0"/>
    <w:rsid w:val="79BF118C"/>
    <w:rsid w:val="79E5652D"/>
    <w:rsid w:val="7A0803AC"/>
    <w:rsid w:val="7B5D411E"/>
    <w:rsid w:val="7BE744BE"/>
    <w:rsid w:val="7BE8031C"/>
    <w:rsid w:val="7D111FAE"/>
    <w:rsid w:val="7D186EC0"/>
    <w:rsid w:val="7D817463"/>
    <w:rsid w:val="7DC71A4D"/>
    <w:rsid w:val="7DE7687B"/>
    <w:rsid w:val="7E1E409F"/>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194</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2025-06-09T03:37:24Z</cp:lastPrinted>
  <dcterms:modified xsi:type="dcterms:W3CDTF">2025-06-09T06:36:37Z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