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XBJ25420142491932536</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武汉东湖新技术开发区鑫运达调料批发店销售的烟桂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2025年3月19日抽自</w:t>
      </w:r>
      <w:r>
        <w:rPr>
          <w:rFonts w:hint="eastAsia" w:eastAsia="仿宋_GB2312"/>
          <w:b w:val="0"/>
          <w:bCs w:val="0"/>
          <w:sz w:val="32"/>
          <w:szCs w:val="32"/>
          <w:lang w:val="en-US" w:eastAsia="zh-CN"/>
        </w:rPr>
        <w:t>武汉东湖新技术开发区鑫运达调料批发店销售的烟桂，二氧化硫残留量项目不符合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经查，当事人销售食品添加剂含量超过食品安全标准限量烟桂（桂皮）的行为违反了</w:t>
      </w:r>
      <w:bookmarkStart w:id="0" w:name="OLE_LINK3"/>
      <w:r>
        <w:rPr>
          <w:rFonts w:hint="eastAsia" w:ascii="Times New Roman" w:hAnsi="Times New Roman" w:eastAsia="仿宋_GB2312" w:cs="Times New Roman"/>
          <w:b w:val="0"/>
          <w:bCs w:val="0"/>
          <w:sz w:val="32"/>
          <w:szCs w:val="32"/>
          <w:lang w:val="en-US" w:eastAsia="zh-CN"/>
        </w:rPr>
        <w:t>《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食品添加剂含量超过食品安全标准限量烟桂（桂皮）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烟桂（桂皮）时履行了进货查验义务，有充分证据证明其不知道所采购的烟桂（桂皮）不符合食品安全标准，案发后积极配合调查，主动提供情况说明、供货方资质、进货记录等证据材料，能够如实说明进货来源，涉案不合格批次烟桂（桂皮）已使用完毕且无消费者退回，无不合格烟桂（桂皮）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的免予处罚规定，本局决定对当事人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业执照》《测试报告》、进货票据和</w:t>
      </w:r>
      <w:r>
        <w:rPr>
          <w:rFonts w:hint="eastAsia" w:eastAsia="仿宋_GB2312" w:cs="Times New Roman"/>
          <w:sz w:val="32"/>
          <w:szCs w:val="32"/>
          <w:lang w:val="en-US" w:eastAsia="zh-CN"/>
        </w:rPr>
        <w:t>退货凭证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暂停销售涉案批次产品</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加强管理，严格履行进货查验义务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561BE8"/>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335DFA"/>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44420F"/>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0C6B8D"/>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2025-07-07T09:08:39Z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