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GZJ25420000003333471</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武汉东湖新技术开发区李彩玲水果店销售的鲜桑葚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2025年4月22日抽自</w:t>
      </w:r>
      <w:r>
        <w:rPr>
          <w:rFonts w:hint="eastAsia" w:eastAsia="仿宋_GB2312"/>
          <w:b w:val="0"/>
          <w:bCs w:val="0"/>
          <w:sz w:val="32"/>
          <w:szCs w:val="32"/>
          <w:lang w:val="en-US" w:eastAsia="zh-CN"/>
        </w:rPr>
        <w:t>武汉东湖新技术开发区李彩玲水果店销售的鲜桑葚，脱氢乙酸及其钠盐(以脱氢乙酸计)项目不符合 GB 2760-2024《食品安全国家标准食品添加剂使用标准》要求，检验结论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销售添加剂含量超过食品安全标准限量【整果】鲜桑葚的行为违反了《食用农产品市场销售质量安全监督管理办法》第十五条第一款“禁止销售者采购、销售食品安全法第三十四条规定情形的食用农产品。”的规定。</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未完全履行进货查验义务的行为违反了《中华人民共和国食品安全法》第五十三条第一款“食品经营者采购食品，应当查验供货者的许可证和食品出厂检验合格证或者其他合格证明（以下称合格证明文件）。”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lang w:val="zh-CN" w:eastAsia="zh-CN"/>
        </w:rPr>
      </w:pPr>
      <w:r>
        <w:rPr>
          <w:rFonts w:hint="eastAsia" w:ascii="Times New Roman" w:hAnsi="Times New Roman" w:eastAsia="仿宋_GB2312" w:cs="Times New Roman"/>
          <w:b w:val="0"/>
          <w:bCs w:val="0"/>
          <w:kern w:val="2"/>
          <w:sz w:val="32"/>
          <w:szCs w:val="32"/>
          <w:lang w:val="en-US" w:eastAsia="zh-CN" w:bidi="ar-SA"/>
        </w:rPr>
        <w:t>通过查询国家企业信用信息公示系统显示无行政处罚信息。查询湖北市场监管智慧监管一张网（协同执法办案）显示有一立案信息，该案件为</w:t>
      </w:r>
      <w:r>
        <w:rPr>
          <w:rFonts w:hint="default" w:ascii="Times New Roman" w:hAnsi="Times New Roman" w:eastAsia="仿宋_GB2312" w:cs="Times New Roman"/>
          <w:b w:val="0"/>
          <w:bCs w:val="0"/>
          <w:kern w:val="2"/>
          <w:sz w:val="32"/>
          <w:szCs w:val="32"/>
          <w:lang w:val="en-US" w:eastAsia="zh-CN" w:bidi="ar-SA"/>
        </w:rPr>
        <w:t>2025</w:t>
      </w:r>
      <w:r>
        <w:rPr>
          <w:rFonts w:hint="eastAsia" w:ascii="Times New Roman" w:hAnsi="Times New Roman" w:eastAsia="仿宋_GB2312" w:cs="Times New Roman"/>
          <w:b w:val="0"/>
          <w:bCs w:val="0"/>
          <w:kern w:val="2"/>
          <w:sz w:val="32"/>
          <w:szCs w:val="32"/>
          <w:lang w:val="en-US" w:eastAsia="zh-CN" w:bidi="ar-SA"/>
        </w:rPr>
        <w:t>年</w:t>
      </w:r>
      <w:r>
        <w:rPr>
          <w:rFonts w:hint="default" w:ascii="Times New Roman" w:hAnsi="Times New Roman" w:eastAsia="仿宋_GB2312" w:cs="Times New Roman"/>
          <w:b w:val="0"/>
          <w:bCs w:val="0"/>
          <w:kern w:val="2"/>
          <w:sz w:val="32"/>
          <w:szCs w:val="32"/>
          <w:lang w:val="en-US" w:eastAsia="zh-CN" w:bidi="ar-SA"/>
        </w:rPr>
        <w:t>5</w:t>
      </w:r>
      <w:r>
        <w:rPr>
          <w:rFonts w:hint="eastAsia" w:ascii="Times New Roman" w:hAnsi="Times New Roman" w:eastAsia="仿宋_GB2312" w:cs="Times New Roman"/>
          <w:b w:val="0"/>
          <w:bCs w:val="0"/>
          <w:kern w:val="2"/>
          <w:sz w:val="32"/>
          <w:szCs w:val="32"/>
          <w:lang w:val="en-US" w:eastAsia="zh-CN" w:bidi="ar-SA"/>
        </w:rPr>
        <w:t>月</w:t>
      </w:r>
      <w:r>
        <w:rPr>
          <w:rFonts w:hint="default" w:ascii="Times New Roman" w:hAnsi="Times New Roman" w:eastAsia="仿宋_GB2312" w:cs="Times New Roman"/>
          <w:b w:val="0"/>
          <w:bCs w:val="0"/>
          <w:kern w:val="2"/>
          <w:sz w:val="32"/>
          <w:szCs w:val="32"/>
          <w:lang w:val="en-US" w:eastAsia="zh-CN" w:bidi="ar-SA"/>
        </w:rPr>
        <w:t>29</w:t>
      </w:r>
      <w:r>
        <w:rPr>
          <w:rFonts w:hint="eastAsia" w:ascii="Times New Roman" w:hAnsi="Times New Roman" w:eastAsia="仿宋_GB2312" w:cs="Times New Roman"/>
          <w:b w:val="0"/>
          <w:bCs w:val="0"/>
          <w:kern w:val="2"/>
          <w:sz w:val="32"/>
          <w:szCs w:val="32"/>
          <w:lang w:val="en-US" w:eastAsia="zh-CN" w:bidi="ar-SA"/>
        </w:rPr>
        <w:t>日立案的桑葚抽检不合格案，即本案。当事人系首次违法，且当事人仅售一单，即被抽检的那单，后续无销售该产品，没有造成危害后果。符合《中华人民共和国行政处罚法》第三十三条第一款“违法行为轻微并及时改正，没有</w:t>
      </w:r>
      <w:r>
        <w:rPr>
          <w:rFonts w:hint="eastAsia" w:ascii="仿宋_GB2312" w:hAnsi="仿宋_GB2312" w:eastAsia="仿宋_GB2312" w:cs="仿宋_GB2312"/>
          <w:color w:val="auto"/>
          <w:kern w:val="0"/>
          <w:sz w:val="32"/>
          <w:szCs w:val="32"/>
          <w:lang w:val="en-US" w:eastAsia="zh-CN"/>
        </w:rPr>
        <w:t>造成危害后果的，不予行政处罚。初次违法且危害后果轻微并及时改正的，可以不予行政处罚。”规定的不予行政处罚。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当事人销售添加剂含量超过食品安全标准限量【整果】鲜桑葚的行为违反了《食用农产品市场销售质量安全监督管理办法》第十五条第一款的规定，依据《食用农产品市场销售质量安全监督管理办法》第四十二</w:t>
      </w:r>
      <w:bookmarkStart w:id="0" w:name="_GoBack"/>
      <w:bookmarkEnd w:id="0"/>
      <w:r>
        <w:rPr>
          <w:rFonts w:hint="eastAsia" w:ascii="仿宋_GB2312" w:hAnsi="仿宋_GB2312" w:eastAsia="仿宋_GB2312" w:cs="仿宋_GB2312"/>
          <w:bCs/>
          <w:color w:val="auto"/>
          <w:sz w:val="32"/>
          <w:szCs w:val="32"/>
          <w:lang w:val="en-US" w:eastAsia="zh-CN"/>
        </w:rPr>
        <w:t>条“销售者违反本办法第十五条规定，采购、销售食品安全法第三十四条规定情形的食用农产品的，由县级以上市场监督管理部门依照食品安全法有关规定给予处罚。”及《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的规定，给予行政处罚。由于当事人系首次违法，没有造成危害后果，依据《中华人民共和国行政处罚法》第三十三条第一款“违法行为轻微并及时改正，没有造成危害后果的，不予行政处罚。初次违法且危害后果轻微并及时改正的，可以不予行政处罚。”规定的不予行政处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Cs/>
          <w:color w:val="auto"/>
          <w:sz w:val="32"/>
          <w:szCs w:val="32"/>
          <w:lang w:val="en-US" w:eastAsia="zh-CN"/>
        </w:rPr>
        <w:t>当事人未完全履行进货查验义务的行为违反了《中华人民共和国食品安全》第五十三条第一款的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仿宋_GB2312" w:hAnsi="仿宋_GB2312" w:eastAsia="仿宋_GB2312" w:cs="仿宋_GB2312"/>
          <w:color w:val="000000"/>
          <w:sz w:val="32"/>
          <w:szCs w:val="32"/>
          <w:lang w:val="en-US" w:eastAsia="zh-CN"/>
        </w:rPr>
        <w:t>综上所述，我局决定对当事人给予如下行政处罚：警告</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进货单和情况说明</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加强进货查验责任，确保源头可溯，确保食品安全。</w:t>
      </w:r>
    </w:p>
    <w:p>
      <w:pPr>
        <w:pStyle w:val="2"/>
        <w:rPr>
          <w:rFonts w:hint="eastAsia"/>
          <w:lang w:val="en-US" w:eastAsia="zh-CN"/>
        </w:rPr>
      </w:pPr>
    </w:p>
    <w:p>
      <w:pPr>
        <w:pStyle w:val="2"/>
        <w:keepNext w:val="0"/>
        <w:keepLines w:val="0"/>
        <w:pageBreakBefore w:val="0"/>
        <w:kinsoku/>
        <w:overflowPunct/>
        <w:topLinePunct w:val="0"/>
        <w:bidi w:val="0"/>
        <w:snapToGrid/>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B8F3E3B"/>
    <w:rsid w:val="2BED54AA"/>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60AFB"/>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33B65"/>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EB6FE8"/>
    <w:rsid w:val="621A2951"/>
    <w:rsid w:val="62210286"/>
    <w:rsid w:val="627F35C8"/>
    <w:rsid w:val="62A941BD"/>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944BF7"/>
    <w:rsid w:val="751355EF"/>
    <w:rsid w:val="75892F76"/>
    <w:rsid w:val="759954FE"/>
    <w:rsid w:val="75AD6A4E"/>
    <w:rsid w:val="7646766A"/>
    <w:rsid w:val="76BB7341"/>
    <w:rsid w:val="76C70360"/>
    <w:rsid w:val="772C3F02"/>
    <w:rsid w:val="77303BDE"/>
    <w:rsid w:val="77502C87"/>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2025-07-25T02:57:06Z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