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东湖高新区</w:t>
      </w:r>
      <w:r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  <w:t>2026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年网络餐饮服务单位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食品安全“红黑榜”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楷体" w:hAnsi="楷体" w:eastAsia="楷体" w:cs="方正小标宋简体"/>
          <w:b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auto"/>
          <w:sz w:val="36"/>
          <w:szCs w:val="36"/>
        </w:rPr>
      </w:pPr>
      <w:r>
        <w:rPr>
          <w:rFonts w:hint="eastAsia" w:ascii="楷体" w:hAnsi="楷体" w:eastAsia="楷体" w:cs="方正小标宋简体"/>
          <w:b/>
          <w:color w:val="auto"/>
          <w:sz w:val="32"/>
          <w:szCs w:val="32"/>
        </w:rPr>
        <w:t>（第一期）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FangSong_GB2312" w:hAnsi="FangSong_GB2312" w:eastAsia="FangSong_GB2312" w:cs="FangSong_GB2312"/>
          <w:color w:val="auto"/>
          <w:sz w:val="32"/>
          <w:szCs w:val="32"/>
        </w:rPr>
      </w:pP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2026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年</w:t>
      </w: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1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月，市场监管总局发布第</w:t>
      </w: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123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号令《网络餐饮服务经营者落实食品安全主体责任监督管理规定》，对网络餐饮服务提出更严格、更细致的要求。为深入贯彻落实食品安全“四个最严”要求，扎实推进网络餐饮食品安全问题专项整治，加强辖区网络餐饮服务食品安全监管，强化网络餐饮服务经营者主体责任意识。武汉东湖新技术开发区市场监管局按照省、市局的统一部署，</w:t>
      </w:r>
      <w:r>
        <w:rPr>
          <w:rFonts w:hint="eastAsia" w:ascii="FangSong_GB2312" w:eastAsia="FangSong_GB2312"/>
          <w:color w:val="auto"/>
          <w:sz w:val="32"/>
          <w:szCs w:val="32"/>
        </w:rPr>
        <w:t>根据《中华人民共和国食品安全法》《餐饮服务食品安全操作规范》《湖北省餐饮服务食品安全“红黑榜”工作指南》等有关法律法规、规章文件要求，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结合近期“随机查餐厅”行动及日常监督检查情况，对辖区网络餐饮服务单位进行综合评价。现发布</w:t>
      </w: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2026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年网络餐饮服务单位食品安全“红黑榜”（第一期）。（以下排名不分先后）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一、红榜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8" w:leftChars="304" w:hanging="960" w:hangingChars="300"/>
        <w:textAlignment w:val="auto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（一）武汉市东湖新技术开发区蔬三时轻食餐饮店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249" w:leftChars="306" w:hanging="1606" w:hangingChars="500"/>
        <w:textAlignment w:val="auto"/>
        <w:rPr>
          <w:rFonts w:ascii="FangSong_GB2312" w:hAnsi="FangSong_GB2312" w:eastAsia="FangSong_GB2312" w:cs="FangSong_GB2312"/>
          <w:color w:val="auto"/>
          <w:sz w:val="32"/>
          <w:szCs w:val="32"/>
        </w:rPr>
      </w:pPr>
      <w:r>
        <w:rPr>
          <w:rFonts w:hint="eastAsia" w:eastAsia="FangSong_GB2312"/>
          <w:b/>
          <w:bCs/>
          <w:sz w:val="32"/>
          <w:szCs w:val="32"/>
        </w:rPr>
        <w:t>经营地址：</w:t>
      </w:r>
      <w:r>
        <w:rPr>
          <w:rFonts w:hint="eastAsia" w:ascii="FangSong_GB2312" w:hAnsi="FangSong_GB2312" w:eastAsia="FangSong_GB2312" w:cs="FangSong_GB2312"/>
          <w:sz w:val="32"/>
          <w:szCs w:val="32"/>
        </w:rPr>
        <w:t>湖北省武汉东湖新技术开发区新竹路光谷青年城</w:t>
      </w:r>
      <w:r>
        <w:rPr>
          <w:rFonts w:ascii="FangSong_GB2312" w:hAnsi="FangSong_GB2312" w:eastAsia="FangSong_GB2312" w:cs="FangSong_GB2312"/>
          <w:sz w:val="32"/>
          <w:szCs w:val="32"/>
        </w:rPr>
        <w:t>8</w:t>
      </w:r>
      <w:r>
        <w:rPr>
          <w:rFonts w:hint="eastAsia" w:ascii="FangSong_GB2312" w:hAnsi="FangSong_GB2312" w:eastAsia="FangSong_GB2312" w:cs="FangSong_GB2312"/>
          <w:sz w:val="32"/>
          <w:szCs w:val="32"/>
        </w:rPr>
        <w:t>号楼</w:t>
      </w: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2F016-A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249" w:leftChars="306" w:hanging="1606" w:hangingChars="500"/>
        <w:textAlignment w:val="auto"/>
        <w:rPr>
          <w:rFonts w:ascii="FangSong_GB2312" w:hAnsi="FangSong_GB2312" w:eastAsia="FangSong_GB2312" w:cs="FangSong_GB2312"/>
          <w:color w:val="auto"/>
          <w:sz w:val="32"/>
          <w:szCs w:val="32"/>
        </w:rPr>
      </w:pPr>
      <w:r>
        <w:rPr>
          <w:rFonts w:hint="eastAsia" w:eastAsia="FangSong_GB2312"/>
          <w:b/>
          <w:bCs/>
          <w:color w:val="auto"/>
          <w:sz w:val="32"/>
          <w:szCs w:val="32"/>
        </w:rPr>
        <w:t>上榜理由：</w:t>
      </w: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1.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证照齐全有效按规定公示；</w:t>
      </w: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2.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操作间干净整洁有序；</w:t>
      </w:r>
      <w:r>
        <w:rPr>
          <w:rFonts w:ascii="FangSong_GB2312" w:hAnsi="FangSong_GB2312" w:eastAsia="FangSong_GB2312" w:cs="FangSong_GB2312"/>
          <w:color w:val="auto"/>
          <w:sz w:val="32"/>
          <w:szCs w:val="32"/>
        </w:rPr>
        <w:t>3.</w:t>
      </w:r>
      <w:r>
        <w:rPr>
          <w:rFonts w:hint="eastAsia" w:ascii="FangSong_GB2312" w:hAnsi="FangSong_GB2312" w:eastAsia="FangSong_GB2312" w:cs="FangSong_GB2312"/>
          <w:color w:val="auto"/>
          <w:sz w:val="32"/>
          <w:szCs w:val="32"/>
        </w:rPr>
        <w:t>“三防”设施齐全。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FangSong_GB2312" w:hAnsi="FangSong_GB2312" w:eastAsia="FangSong_GB2312" w:cs="FangSong_GB2312"/>
          <w:color w:val="auto"/>
          <w:sz w:val="28"/>
          <w:szCs w:val="28"/>
        </w:rPr>
      </w:pPr>
      <w:r>
        <w:rPr>
          <w:rFonts w:ascii="FangSong_GB2312" w:hAnsi="FangSong_GB2312" w:eastAsia="FangSong_GB2312" w:cs="FangSong_GB2312"/>
          <w:color w:val="auto"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FangSong_GB2312" w:hAnsi="FangSong_GB2312" w:eastAsia="FangSong_GB2312" w:cs="FangSong_GB2312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180975</wp:posOffset>
            </wp:positionV>
            <wp:extent cx="3352165" cy="2513330"/>
            <wp:effectExtent l="0" t="0" r="635" b="1270"/>
            <wp:wrapTight wrapText="bothSides">
              <wp:wrapPolygon>
                <wp:start x="-41" y="0"/>
                <wp:lineTo x="-41" y="21546"/>
                <wp:lineTo x="21600" y="21546"/>
                <wp:lineTo x="21600" y="0"/>
                <wp:lineTo x="-41" y="0"/>
              </wp:wrapPolygon>
            </wp:wrapTight>
            <wp:docPr id="2" name="图片 9" descr="4469938e30c16648e954a77261303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4469938e30c16648e954a772613038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268" w:leftChars="304" w:hanging="630" w:hangingChars="300"/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139700</wp:posOffset>
            </wp:positionV>
            <wp:extent cx="3361690" cy="2515870"/>
            <wp:effectExtent l="0" t="0" r="10160" b="17780"/>
            <wp:wrapTight wrapText="bothSides">
              <wp:wrapPolygon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1" name="图片 8" descr="d7ec56ae51896c00b2c632414face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d7ec56ae51896c00b2c632414faced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268" w:leftChars="304" w:hanging="630" w:hangingChars="300"/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99695</wp:posOffset>
            </wp:positionV>
            <wp:extent cx="3371215" cy="2528570"/>
            <wp:effectExtent l="0" t="0" r="635" b="508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（二）武汉市楚禾膳宴餐饮管理有限公司</w:t>
      </w:r>
    </w:p>
    <w:p>
      <w:pPr>
        <w:spacing w:line="580" w:lineRule="exact"/>
        <w:ind w:left="2165" w:leftChars="266" w:hanging="1606" w:hangingChars="500"/>
        <w:rPr>
          <w:rFonts w:eastAsia="FangSong_GB2312"/>
          <w:sz w:val="32"/>
          <w:szCs w:val="32"/>
        </w:rPr>
      </w:pPr>
      <w:r>
        <w:rPr>
          <w:rFonts w:hint="eastAsia" w:eastAsia="FangSong_GB2312"/>
          <w:b/>
          <w:bCs/>
          <w:sz w:val="32"/>
          <w:szCs w:val="32"/>
        </w:rPr>
        <w:t>经营地址：</w:t>
      </w:r>
      <w:r>
        <w:rPr>
          <w:rFonts w:hint="eastAsia" w:eastAsia="FangSong_GB2312"/>
          <w:sz w:val="32"/>
          <w:szCs w:val="32"/>
        </w:rPr>
        <w:t>湖北省武汉市东湖新技术开发区高新二路北辰光谷里</w:t>
      </w:r>
      <w:r>
        <w:rPr>
          <w:rFonts w:ascii="FangSong_GB2312" w:eastAsia="FangSong_GB2312"/>
          <w:sz w:val="32"/>
          <w:szCs w:val="32"/>
        </w:rPr>
        <w:t>2A</w:t>
      </w:r>
      <w:r>
        <w:rPr>
          <w:rFonts w:hint="eastAsia" w:eastAsia="FangSong_GB2312"/>
          <w:sz w:val="32"/>
          <w:szCs w:val="32"/>
        </w:rPr>
        <w:t>栋</w:t>
      </w:r>
      <w:r>
        <w:rPr>
          <w:rFonts w:ascii="FangSong_GB2312" w:eastAsia="FangSong_GB2312"/>
          <w:sz w:val="32"/>
          <w:szCs w:val="32"/>
        </w:rPr>
        <w:t>3</w:t>
      </w:r>
      <w:r>
        <w:rPr>
          <w:rFonts w:hint="eastAsia" w:eastAsia="FangSong_GB2312"/>
          <w:sz w:val="32"/>
          <w:szCs w:val="32"/>
        </w:rPr>
        <w:t>层</w:t>
      </w:r>
      <w:r>
        <w:rPr>
          <w:rFonts w:ascii="FangSong_GB2312" w:eastAsia="FangSong_GB2312"/>
          <w:sz w:val="32"/>
          <w:szCs w:val="32"/>
        </w:rPr>
        <w:t>01</w:t>
      </w:r>
      <w:r>
        <w:rPr>
          <w:rFonts w:hint="eastAsia" w:eastAsia="FangSong_GB2312"/>
          <w:sz w:val="32"/>
          <w:szCs w:val="32"/>
        </w:rPr>
        <w:t>号</w:t>
      </w:r>
    </w:p>
    <w:p>
      <w:pPr>
        <w:spacing w:line="580" w:lineRule="exact"/>
        <w:ind w:left="2083" w:leftChars="235" w:hanging="1590" w:hangingChars="495"/>
        <w:jc w:val="left"/>
        <w:rPr>
          <w:rFonts w:eastAsia="FangSong_GB2312"/>
          <w:sz w:val="32"/>
          <w:szCs w:val="32"/>
        </w:rPr>
      </w:pPr>
      <w:r>
        <w:rPr>
          <w:rFonts w:hint="eastAsia" w:eastAsia="FangSong_GB2312"/>
          <w:b/>
          <w:bCs/>
          <w:sz w:val="32"/>
          <w:szCs w:val="32"/>
        </w:rPr>
        <w:t>上榜理由：</w:t>
      </w:r>
      <w:r>
        <w:rPr>
          <w:rFonts w:ascii="FangSong_GB2312" w:eastAsia="FangSong_GB2312"/>
          <w:bCs/>
          <w:sz w:val="32"/>
          <w:szCs w:val="32"/>
        </w:rPr>
        <w:t>1.</w:t>
      </w:r>
      <w:r>
        <w:rPr>
          <w:rFonts w:hint="eastAsia" w:eastAsia="FangSong_GB2312"/>
          <w:sz w:val="32"/>
          <w:szCs w:val="32"/>
        </w:rPr>
        <w:t>大型餐饮企业，就餐环境优美</w:t>
      </w:r>
      <w:r>
        <w:rPr>
          <w:rFonts w:hint="eastAsia" w:ascii="FangSong_GB2312" w:eastAsia="FangSong_GB2312"/>
          <w:bCs/>
          <w:sz w:val="32"/>
          <w:szCs w:val="32"/>
        </w:rPr>
        <w:t>；</w:t>
      </w:r>
      <w:r>
        <w:rPr>
          <w:rFonts w:ascii="FangSong_GB2312" w:eastAsia="FangSong_GB2312"/>
          <w:bCs/>
          <w:sz w:val="32"/>
          <w:szCs w:val="32"/>
        </w:rPr>
        <w:t>2.</w:t>
      </w:r>
      <w:r>
        <w:rPr>
          <w:rFonts w:hint="eastAsia" w:eastAsia="FangSong_GB2312"/>
          <w:sz w:val="32"/>
          <w:szCs w:val="32"/>
        </w:rPr>
        <w:t>员工穿戴干净整洁，操作流程符合规范；</w:t>
      </w:r>
      <w:r>
        <w:rPr>
          <w:rFonts w:ascii="FangSong_GB2312" w:eastAsia="FangSong_GB2312"/>
          <w:bCs/>
          <w:sz w:val="32"/>
          <w:szCs w:val="32"/>
        </w:rPr>
        <w:t>3.</w:t>
      </w:r>
      <w:r>
        <w:rPr>
          <w:rFonts w:hint="eastAsia" w:eastAsia="FangSong_GB2312"/>
          <w:sz w:val="32"/>
          <w:szCs w:val="32"/>
        </w:rPr>
        <w:t>厨房操作区域卫生整洁。</w:t>
      </w:r>
    </w:p>
    <w:p>
      <w:pPr>
        <w:spacing w:line="580" w:lineRule="exact"/>
        <w:ind w:left="1688" w:leftChars="304" w:hanging="1050" w:hangingChars="500"/>
        <w:jc w:val="left"/>
        <w:rPr>
          <w:rFonts w:eastAsia="FangSong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167640</wp:posOffset>
            </wp:positionV>
            <wp:extent cx="4414520" cy="2487295"/>
            <wp:effectExtent l="0" t="0" r="5080" b="8255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eastAsia="FangSong_GB2312"/>
          <w:sz w:val="32"/>
          <w:szCs w:val="32"/>
        </w:rPr>
      </w:pPr>
    </w:p>
    <w:p>
      <w:pPr>
        <w:spacing w:line="580" w:lineRule="exact"/>
        <w:ind w:left="2238" w:leftChars="304" w:hanging="1600" w:hangingChars="500"/>
        <w:jc w:val="left"/>
        <w:rPr>
          <w:rFonts w:eastAsia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42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  <w: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146050</wp:posOffset>
            </wp:positionV>
            <wp:extent cx="4425950" cy="3320415"/>
            <wp:effectExtent l="0" t="0" r="12700" b="13335"/>
            <wp:wrapTight wrapText="bothSides">
              <wp:wrapPolygon>
                <wp:start x="-41" y="0"/>
                <wp:lineTo x="-41" y="21546"/>
                <wp:lineTo x="21600" y="21546"/>
                <wp:lineTo x="21600" y="0"/>
                <wp:lineTo x="-41" y="0"/>
              </wp:wrapPolygon>
            </wp:wrapTight>
            <wp:docPr id="4" name="图片 13" descr="c5f6d9e8667f275850f12c7b7cd9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5f6d9e8667f275850f12c7b7cd95b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115570</wp:posOffset>
            </wp:positionV>
            <wp:extent cx="4979670" cy="3743325"/>
            <wp:effectExtent l="0" t="0" r="11430" b="9525"/>
            <wp:wrapTight wrapText="bothSides">
              <wp:wrapPolygon>
                <wp:start x="-41" y="0"/>
                <wp:lineTo x="-41" y="21546"/>
                <wp:lineTo x="21600" y="21546"/>
                <wp:lineTo x="21600" y="0"/>
                <wp:lineTo x="-41" y="0"/>
              </wp:wrapPolygon>
            </wp:wrapTight>
            <wp:docPr id="3" name="图片 12" descr="294192e16214a4f6cd063751aeb0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294192e16214a4f6cd063751aeb0d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二、黑榜</w:t>
      </w: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（一）武汉市东湖新技术开发区饭阿喜餐饮店</w:t>
      </w:r>
    </w:p>
    <w:p>
      <w:pPr>
        <w:spacing w:line="580" w:lineRule="exact"/>
        <w:ind w:left="2244" w:leftChars="304" w:hanging="1606" w:hangingChars="500"/>
        <w:jc w:val="left"/>
        <w:rPr>
          <w:rFonts w:eastAsia="FangSong_GB2312"/>
          <w:sz w:val="32"/>
          <w:szCs w:val="32"/>
        </w:rPr>
      </w:pPr>
      <w:r>
        <w:rPr>
          <w:rFonts w:hint="eastAsia" w:eastAsia="FangSong_GB2312"/>
          <w:b/>
          <w:bCs/>
          <w:sz w:val="32"/>
          <w:szCs w:val="32"/>
        </w:rPr>
        <w:t>经营地址：</w:t>
      </w:r>
      <w:r>
        <w:rPr>
          <w:rFonts w:hint="eastAsia" w:eastAsia="FangSong_GB2312"/>
          <w:sz w:val="32"/>
          <w:szCs w:val="32"/>
        </w:rPr>
        <w:t>湖北省武汉东湖新技术开发区光谷青年城</w:t>
      </w:r>
      <w:r>
        <w:rPr>
          <w:rFonts w:eastAsia="FangSong_GB2312"/>
          <w:sz w:val="32"/>
          <w:szCs w:val="32"/>
        </w:rPr>
        <w:t>10</w:t>
      </w:r>
      <w:r>
        <w:rPr>
          <w:rFonts w:hint="eastAsia" w:eastAsia="FangSong_GB2312"/>
          <w:sz w:val="32"/>
          <w:szCs w:val="32"/>
        </w:rPr>
        <w:t>栋</w:t>
      </w:r>
      <w:r>
        <w:rPr>
          <w:rFonts w:ascii="FangSong_GB2312" w:eastAsia="FangSong_GB2312"/>
          <w:sz w:val="32"/>
          <w:szCs w:val="32"/>
        </w:rPr>
        <w:t>1F014-1</w:t>
      </w:r>
    </w:p>
    <w:p>
      <w:pPr>
        <w:spacing w:line="560" w:lineRule="exact"/>
        <w:ind w:left="2244" w:leftChars="304" w:hanging="1606" w:hangingChars="500"/>
        <w:jc w:val="left"/>
        <w:rPr>
          <w:rFonts w:eastAsia="FangSong_GB2312"/>
          <w:color w:val="auto"/>
          <w:sz w:val="32"/>
          <w:szCs w:val="32"/>
        </w:rPr>
      </w:pPr>
      <w:r>
        <w:rPr>
          <w:rFonts w:hint="eastAsia" w:eastAsia="FangSong_GB2312"/>
          <w:b/>
          <w:bCs/>
          <w:sz w:val="32"/>
          <w:szCs w:val="32"/>
        </w:rPr>
        <w:t>上榜理由：</w:t>
      </w:r>
      <w:r>
        <w:rPr>
          <w:rFonts w:ascii="FangSong_GB2312" w:eastAsia="FangSong_GB2312"/>
          <w:sz w:val="32"/>
          <w:szCs w:val="32"/>
        </w:rPr>
        <w:t>1.</w:t>
      </w:r>
      <w:r>
        <w:rPr>
          <w:rFonts w:hint="eastAsia" w:eastAsia="FangSong_GB2312"/>
          <w:sz w:val="32"/>
          <w:szCs w:val="32"/>
        </w:rPr>
        <w:t>操</w:t>
      </w:r>
      <w:r>
        <w:rPr>
          <w:rFonts w:hint="eastAsia" w:eastAsia="FangSong_GB2312"/>
          <w:color w:val="auto"/>
          <w:sz w:val="32"/>
          <w:szCs w:val="32"/>
        </w:rPr>
        <w:t>作间墙面油渍污渍未清理；</w:t>
      </w:r>
      <w:r>
        <w:rPr>
          <w:rFonts w:ascii="FangSong_GB2312" w:eastAsia="FangSong_GB2312"/>
          <w:color w:val="auto"/>
          <w:sz w:val="32"/>
          <w:szCs w:val="32"/>
        </w:rPr>
        <w:t>2.</w:t>
      </w:r>
      <w:r>
        <w:rPr>
          <w:rFonts w:ascii="MS Gothic" w:hAnsi="MS Gothic" w:eastAsia="MS Gothic" w:cs="MS Gothic"/>
          <w:color w:val="auto"/>
        </w:rPr>
        <w:t xml:space="preserve"> </w:t>
      </w:r>
      <w:r>
        <w:rPr>
          <w:rFonts w:hint="eastAsia" w:ascii="FangSong_GB2312" w:eastAsia="FangSong_GB2312"/>
          <w:color w:val="auto"/>
          <w:sz w:val="32"/>
          <w:szCs w:val="32"/>
        </w:rPr>
        <w:t>操作台摆放混乱，</w:t>
      </w:r>
      <w:r>
        <w:rPr>
          <w:rFonts w:hint="eastAsia" w:eastAsia="FangSong_GB2312"/>
          <w:color w:val="auto"/>
          <w:sz w:val="32"/>
          <w:szCs w:val="32"/>
        </w:rPr>
        <w:t>食品与非食品混放</w:t>
      </w:r>
      <w:r>
        <w:rPr>
          <w:rFonts w:hint="eastAsia" w:ascii="FangSong_GB2312" w:eastAsia="FangSong_GB2312"/>
          <w:color w:val="auto"/>
          <w:sz w:val="32"/>
          <w:szCs w:val="32"/>
        </w:rPr>
        <w:t>；</w:t>
      </w:r>
      <w:r>
        <w:rPr>
          <w:rFonts w:ascii="FangSong_GB2312" w:eastAsia="FangSong_GB2312"/>
          <w:color w:val="auto"/>
          <w:sz w:val="32"/>
          <w:szCs w:val="32"/>
        </w:rPr>
        <w:t>3.</w:t>
      </w:r>
      <w:r>
        <w:rPr>
          <w:rFonts w:hint="eastAsia" w:eastAsia="FangSong_GB2312"/>
          <w:color w:val="auto"/>
          <w:sz w:val="32"/>
          <w:szCs w:val="32"/>
        </w:rPr>
        <w:t>地漏破损未修复，“三防”设施隐患较大。</w:t>
      </w: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left="1609" w:leftChars="266" w:hanging="105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-166370</wp:posOffset>
            </wp:positionV>
            <wp:extent cx="4025900" cy="2858135"/>
            <wp:effectExtent l="0" t="0" r="12700" b="18415"/>
            <wp:wrapSquare wrapText="bothSides"/>
            <wp:docPr id="5" name="图片 15" descr="ef21a2e6d595787c1cdd51e3d342e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ef21a2e6d595787c1cdd51e3d342ed6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560" w:firstLineChars="200"/>
        <w:jc w:val="left"/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268" w:leftChars="304" w:hanging="630" w:hangingChars="300"/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175895</wp:posOffset>
            </wp:positionV>
            <wp:extent cx="4025265" cy="2809240"/>
            <wp:effectExtent l="0" t="0" r="13335" b="10160"/>
            <wp:wrapTight wrapText="bothSides">
              <wp:wrapPolygon>
                <wp:start x="-48" y="0"/>
                <wp:lineTo x="-48" y="21531"/>
                <wp:lineTo x="21600" y="21531"/>
                <wp:lineTo x="21600" y="0"/>
                <wp:lineTo x="-48" y="0"/>
              </wp:wrapPolygon>
            </wp:wrapTight>
            <wp:docPr id="7" name="图片 17" descr="f573ce6e8aaa8c085cfe9c5cdbe0a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f573ce6e8aaa8c085cfe9c5cdbe0ade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420" w:firstLineChars="200"/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46990</wp:posOffset>
            </wp:positionV>
            <wp:extent cx="4041140" cy="2808605"/>
            <wp:effectExtent l="0" t="0" r="16510" b="10795"/>
            <wp:wrapTight wrapText="bothSides">
              <wp:wrapPolygon>
                <wp:start x="-48" y="0"/>
                <wp:lineTo x="-48" y="21530"/>
                <wp:lineTo x="21600" y="21530"/>
                <wp:lineTo x="21600" y="0"/>
                <wp:lineTo x="-48" y="0"/>
              </wp:wrapPolygon>
            </wp:wrapTight>
            <wp:docPr id="6" name="图片 16" descr="16a85da688ec172b083711b54196e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16a85da688ec172b083711b54196e6b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（二）武汉东湖新技术开发区闵龙龙鸡公煲餐饮店</w:t>
      </w:r>
    </w:p>
    <w:p>
      <w:pPr>
        <w:spacing w:line="580" w:lineRule="exact"/>
        <w:ind w:left="2165" w:leftChars="266" w:hanging="1606" w:hangingChars="500"/>
        <w:jc w:val="left"/>
        <w:rPr>
          <w:rFonts w:eastAsia="FangSong_GB2312"/>
          <w:color w:val="auto"/>
          <w:sz w:val="32"/>
          <w:szCs w:val="32"/>
        </w:rPr>
      </w:pPr>
      <w:r>
        <w:rPr>
          <w:rFonts w:hint="eastAsia" w:eastAsia="FangSong_GB2312"/>
          <w:b/>
          <w:bCs/>
          <w:sz w:val="32"/>
          <w:szCs w:val="32"/>
        </w:rPr>
        <w:t>经营地址：</w:t>
      </w:r>
      <w:r>
        <w:rPr>
          <w:rFonts w:hint="eastAsia" w:eastAsia="FangSong_GB2312"/>
          <w:sz w:val="32"/>
          <w:szCs w:val="32"/>
        </w:rPr>
        <w:t>武汉市东湖新技术开发区光谷</w:t>
      </w:r>
      <w:r>
        <w:rPr>
          <w:rFonts w:eastAsia="FangSong_GB2312"/>
          <w:sz w:val="32"/>
          <w:szCs w:val="32"/>
        </w:rPr>
        <w:t>SBI</w:t>
      </w:r>
      <w:r>
        <w:rPr>
          <w:rFonts w:hint="eastAsia" w:eastAsia="FangSong_GB2312"/>
          <w:sz w:val="32"/>
          <w:szCs w:val="32"/>
        </w:rPr>
        <w:t>创业街后街商</w:t>
      </w:r>
      <w:r>
        <w:rPr>
          <w:rFonts w:hint="eastAsia" w:eastAsia="FangSong_GB2312"/>
          <w:color w:val="auto"/>
          <w:sz w:val="32"/>
          <w:szCs w:val="32"/>
        </w:rPr>
        <w:t>铺</w:t>
      </w:r>
      <w:r>
        <w:rPr>
          <w:rFonts w:ascii="FangSong_GB2312" w:eastAsia="FangSong_GB2312"/>
          <w:color w:val="auto"/>
          <w:sz w:val="32"/>
          <w:szCs w:val="32"/>
        </w:rPr>
        <w:t>C29—30</w:t>
      </w:r>
      <w:r>
        <w:rPr>
          <w:rFonts w:hint="eastAsia" w:eastAsia="FangSong_GB2312"/>
          <w:color w:val="auto"/>
          <w:sz w:val="32"/>
          <w:szCs w:val="32"/>
        </w:rPr>
        <w:t>号门面</w:t>
      </w:r>
    </w:p>
    <w:p>
      <w:pPr>
        <w:spacing w:line="580" w:lineRule="exact"/>
        <w:ind w:left="2165" w:leftChars="266" w:hanging="1606" w:hangingChars="500"/>
        <w:jc w:val="left"/>
        <w:rPr>
          <w:rFonts w:eastAsia="FangSong_GB2312"/>
          <w:b/>
          <w:bCs/>
          <w:color w:val="auto"/>
          <w:sz w:val="32"/>
          <w:szCs w:val="32"/>
        </w:rPr>
      </w:pPr>
      <w:r>
        <w:rPr>
          <w:rFonts w:hint="eastAsia" w:eastAsia="FangSong_GB2312"/>
          <w:b/>
          <w:bCs/>
          <w:color w:val="auto"/>
          <w:sz w:val="32"/>
          <w:szCs w:val="32"/>
        </w:rPr>
        <w:t>上榜理由</w:t>
      </w:r>
      <w:r>
        <w:rPr>
          <w:rFonts w:hint="eastAsia" w:eastAsia="FangSong_GB2312"/>
          <w:color w:val="auto"/>
          <w:sz w:val="32"/>
          <w:szCs w:val="32"/>
        </w:rPr>
        <w:t>：</w:t>
      </w:r>
      <w:r>
        <w:rPr>
          <w:rFonts w:ascii="FangSong_GB2312" w:eastAsia="FangSong_GB2312"/>
          <w:color w:val="auto"/>
          <w:sz w:val="32"/>
          <w:szCs w:val="32"/>
        </w:rPr>
        <w:t>1.</w:t>
      </w:r>
      <w:r>
        <w:rPr>
          <w:rFonts w:hint="eastAsia" w:eastAsia="FangSong_GB2312"/>
          <w:color w:val="auto"/>
          <w:sz w:val="32"/>
          <w:szCs w:val="32"/>
        </w:rPr>
        <w:t>“三防”设施不全；</w:t>
      </w:r>
      <w:r>
        <w:rPr>
          <w:rFonts w:ascii="FangSong_GB2312" w:eastAsia="FangSong_GB2312"/>
          <w:color w:val="auto"/>
          <w:sz w:val="32"/>
          <w:szCs w:val="32"/>
        </w:rPr>
        <w:t>2.</w:t>
      </w:r>
      <w:r>
        <w:rPr>
          <w:rFonts w:hint="eastAsia" w:eastAsia="FangSong_GB2312"/>
          <w:color w:val="auto"/>
          <w:sz w:val="32"/>
          <w:szCs w:val="32"/>
        </w:rPr>
        <w:t>食品与非食品混放</w:t>
      </w:r>
      <w:r>
        <w:rPr>
          <w:rFonts w:hint="eastAsia" w:ascii="FangSong_GB2312" w:eastAsia="FangSong_GB2312"/>
          <w:color w:val="auto"/>
          <w:sz w:val="32"/>
          <w:szCs w:val="32"/>
        </w:rPr>
        <w:t>；</w:t>
      </w:r>
      <w:r>
        <w:rPr>
          <w:rFonts w:ascii="FangSong_GB2312" w:eastAsia="FangSong_GB2312"/>
          <w:color w:val="auto"/>
          <w:sz w:val="32"/>
          <w:szCs w:val="32"/>
        </w:rPr>
        <w:t>3.</w:t>
      </w:r>
      <w:r>
        <w:rPr>
          <w:rFonts w:hint="eastAsia" w:eastAsia="FangSong_GB2312"/>
          <w:color w:val="auto"/>
          <w:sz w:val="32"/>
          <w:szCs w:val="32"/>
        </w:rPr>
        <w:t>操作区域摆放混乱，环境卫生差。</w:t>
      </w:r>
    </w:p>
    <w:p>
      <w:pPr>
        <w:spacing w:line="560" w:lineRule="exact"/>
        <w:ind w:left="1609" w:leftChars="266" w:hanging="105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60325</wp:posOffset>
            </wp:positionV>
            <wp:extent cx="4189730" cy="2915920"/>
            <wp:effectExtent l="0" t="0" r="1270" b="17780"/>
            <wp:wrapTight wrapText="bothSides">
              <wp:wrapPolygon>
                <wp:start x="-48" y="0"/>
                <wp:lineTo x="-48" y="21531"/>
                <wp:lineTo x="21600" y="21531"/>
                <wp:lineTo x="21600" y="0"/>
                <wp:lineTo x="-48" y="0"/>
              </wp:wrapPolygon>
            </wp:wrapTight>
            <wp:docPr id="8" name="图片 18" descr="7cff9d6f87f7f6f11bfa9295826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7cff9d6f87f7f6f11bfa929582668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268" w:leftChars="304" w:hanging="630" w:hangingChars="300"/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55245</wp:posOffset>
            </wp:positionV>
            <wp:extent cx="2667635" cy="3561080"/>
            <wp:effectExtent l="0" t="0" r="18415" b="127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598" w:leftChars="304" w:hanging="960" w:hangingChars="300"/>
        <w:rPr>
          <w:rFonts w:ascii="楷体_GB2312" w:hAnsi="楷体_GB2312" w:eastAsia="楷体_GB2312" w:cs="楷体_GB2312"/>
          <w:sz w:val="32"/>
          <w:szCs w:val="32"/>
        </w:rPr>
      </w:pPr>
    </w:p>
    <w:p>
      <w:pPr>
        <w:spacing w:line="580" w:lineRule="exact"/>
        <w:ind w:left="1268" w:leftChars="304" w:hanging="630" w:hangingChars="300"/>
        <w:rPr>
          <w:rFonts w:ascii="楷体_GB2312" w:hAnsi="楷体_GB2312" w:eastAsia="楷体_GB2312" w:cs="楷体_GB2312"/>
          <w:sz w:val="32"/>
          <w:szCs w:val="32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-107950</wp:posOffset>
            </wp:positionV>
            <wp:extent cx="4268470" cy="2976880"/>
            <wp:effectExtent l="0" t="0" r="17780" b="13970"/>
            <wp:wrapTight wrapText="bothSides">
              <wp:wrapPolygon>
                <wp:start x="-48" y="0"/>
                <wp:lineTo x="-48" y="21531"/>
                <wp:lineTo x="21600" y="21531"/>
                <wp:lineTo x="21600" y="0"/>
                <wp:lineTo x="-48" y="0"/>
              </wp:wrapPolygon>
            </wp:wrapTight>
            <wp:docPr id="9" name="图片 20" descr="b1588c188483b4b8466b93672186f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b1588c188483b4b8466b93672186f1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left="2159" w:leftChars="266" w:hanging="1600" w:hangingChars="500"/>
        <w:jc w:val="lef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560" w:firstLineChars="200"/>
        <w:jc w:val="left"/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spacing w:line="560" w:lineRule="exact"/>
        <w:ind w:firstLine="560" w:firstLineChars="200"/>
        <w:jc w:val="left"/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spacing w:line="560" w:lineRule="exact"/>
        <w:ind w:firstLine="560" w:firstLineChars="200"/>
        <w:jc w:val="left"/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spacing w:line="560" w:lineRule="exact"/>
        <w:ind w:firstLine="560" w:firstLineChars="200"/>
        <w:jc w:val="left"/>
        <w:rPr>
          <w:rFonts w:ascii="FangSong_GB2312" w:hAnsi="FangSong_GB2312" w:eastAsia="FangSong_GB2312" w:cs="FangSong_GB2312"/>
          <w:sz w:val="28"/>
          <w:szCs w:val="28"/>
        </w:rPr>
      </w:pPr>
    </w:p>
    <w:p>
      <w:pPr>
        <w:spacing w:line="580" w:lineRule="exact"/>
        <w:rPr>
          <w:rFonts w:ascii="FangSong_GB2312" w:hAnsi="FangSong_GB2312" w:eastAsia="FangSong_GB2312" w:cs="FangSong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FangSong_GB2312" w:hAnsi="FangSong_GB2312" w:eastAsia="FangSong_GB2312" w:cs="FangSong_GB2312"/>
          <w:sz w:val="32"/>
          <w:szCs w:val="32"/>
        </w:rPr>
      </w:pPr>
      <w:r>
        <w:rPr>
          <w:rFonts w:ascii="FangSong_GB2312" w:hAnsi="FangSong_GB2312" w:eastAsia="FangSong_GB2312" w:cs="FangSong_GB2312"/>
          <w:sz w:val="32"/>
          <w:szCs w:val="32"/>
        </w:rPr>
        <w:t xml:space="preserve"> </w:t>
      </w:r>
      <w:r>
        <w:rPr>
          <w:rFonts w:hint="eastAsia" w:ascii="FangSong_GB2312" w:hAnsi="FangSong_GB2312" w:eastAsia="FangSong_GB2312" w:cs="FangSong_GB2312"/>
          <w:sz w:val="32"/>
          <w:szCs w:val="32"/>
        </w:rPr>
        <w:t>“红黑榜”只反映当期评价情况，榜单实行动态管理，被列入“红榜”的餐饮服务单位如不能持续达到列入“红榜”条件的，可及时将其从“红榜”中移除。被列入“黑榜”的餐饮服务单位，执法人员将增加日常监督检查频次，实施重点监管，若在规定期限内积极完成整改并经复查整改到位的，可申请移出“黑榜”并公开整改后的信息。</w:t>
      </w:r>
    </w:p>
    <w:p>
      <w:pPr>
        <w:spacing w:line="560" w:lineRule="exact"/>
        <w:ind w:firstLine="640" w:firstLineChars="200"/>
        <w:rPr>
          <w:rFonts w:ascii="FangSong_GB2312" w:hAnsi="FangSong_GB2312" w:eastAsia="FangSong_GB2312" w:cs="FangSong_GB2312"/>
          <w:sz w:val="32"/>
          <w:szCs w:val="32"/>
        </w:rPr>
      </w:pPr>
      <w:r>
        <w:rPr>
          <w:rFonts w:hint="eastAsia" w:ascii="FangSong_GB2312" w:hAnsi="FangSong_GB2312" w:eastAsia="FangSong_GB2312" w:cs="FangSong_GB2312"/>
          <w:sz w:val="32"/>
          <w:szCs w:val="32"/>
        </w:rPr>
        <w:t>希望东湖高新区各网络餐饮服务单位以“黑榜”为警示，以“红榜”为标杆，加强自查自纠，主动落实食品安全主体责任。</w:t>
      </w:r>
    </w:p>
    <w:p>
      <w:pPr>
        <w:spacing w:line="560" w:lineRule="exact"/>
        <w:ind w:firstLine="643" w:firstLineChars="200"/>
        <w:rPr>
          <w:rFonts w:hint="eastAsia" w:ascii="FangSong_GB2312" w:hAnsi="FangSong_GB2312" w:eastAsia="FangSong_GB2312" w:cs="FangSong_GB2312"/>
          <w:b/>
          <w:sz w:val="32"/>
          <w:szCs w:val="32"/>
        </w:rPr>
      </w:pPr>
      <w:r>
        <w:rPr>
          <w:rFonts w:hint="eastAsia" w:ascii="FangSong_GB2312" w:hAnsi="FangSong_GB2312" w:eastAsia="FangSong_GB2312" w:cs="FangSong_GB2312"/>
          <w:b/>
          <w:sz w:val="32"/>
          <w:szCs w:val="32"/>
        </w:rPr>
        <w:t>武汉东湖新技术开发区市场监管局提醒广大消费者，在外出就餐</w:t>
      </w:r>
      <w:r>
        <w:rPr>
          <w:rFonts w:hint="eastAsia" w:ascii="FangSong_GB2312" w:hAnsi="FangSong_GB2312" w:eastAsia="FangSong_GB2312" w:cs="FangSong_GB2312"/>
          <w:b/>
          <w:sz w:val="32"/>
          <w:szCs w:val="32"/>
          <w:lang w:val="en-US" w:eastAsia="zh-CN"/>
        </w:rPr>
        <w:t>或通过网络订餐</w:t>
      </w:r>
      <w:r>
        <w:rPr>
          <w:rFonts w:hint="eastAsia" w:ascii="FangSong_GB2312" w:hAnsi="FangSong_GB2312" w:eastAsia="FangSong_GB2312" w:cs="FangSong_GB2312"/>
          <w:b/>
          <w:sz w:val="32"/>
          <w:szCs w:val="32"/>
        </w:rPr>
        <w:t>时要更加关注饮食卫生与安全，积极参与食品安全监督，当合法消费权益受到侵害时，及时拨打</w:t>
      </w:r>
      <w:r>
        <w:rPr>
          <w:rFonts w:ascii="FangSong_GB2312" w:hAnsi="FangSong_GB2312" w:eastAsia="FangSong_GB2312" w:cs="FangSong_GB2312"/>
          <w:b/>
          <w:sz w:val="32"/>
          <w:szCs w:val="32"/>
        </w:rPr>
        <w:t xml:space="preserve">12315 </w:t>
      </w:r>
      <w:r>
        <w:rPr>
          <w:rFonts w:hint="eastAsia" w:ascii="FangSong_GB2312" w:hAnsi="FangSong_GB2312" w:eastAsia="FangSong_GB2312" w:cs="FangSong_GB2312"/>
          <w:b/>
          <w:sz w:val="32"/>
          <w:szCs w:val="32"/>
        </w:rPr>
        <w:t>热线进行投诉。</w:t>
      </w:r>
    </w:p>
    <w:p>
      <w:pPr>
        <w:spacing w:line="560" w:lineRule="exact"/>
        <w:rPr>
          <w:rFonts w:hint="eastAsia" w:ascii="FangSong_GB2312" w:hAnsi="FangSong_GB2312" w:eastAsia="FangSong_GB2312" w:cs="FangSong_GB2312"/>
          <w:b/>
          <w:sz w:val="32"/>
          <w:szCs w:val="32"/>
        </w:rPr>
      </w:pPr>
      <w:bookmarkStart w:id="0" w:name="_GoBack"/>
      <w:bookmarkEnd w:id="0"/>
    </w:p>
    <w:p>
      <w:pPr>
        <w:ind w:firstLine="4480" w:firstLineChars="1400"/>
        <w:rPr>
          <w:rFonts w:eastAsia="FangSong_GB2312"/>
          <w:b/>
          <w:sz w:val="32"/>
          <w:szCs w:val="32"/>
        </w:rPr>
      </w:pPr>
      <w:r>
        <w:rPr>
          <w:rFonts w:ascii="FangSong_GB2312" w:eastAsia="FangSong_GB2312"/>
          <w:sz w:val="32"/>
          <w:szCs w:val="32"/>
        </w:rPr>
        <w:t>2026</w:t>
      </w:r>
      <w:r>
        <w:rPr>
          <w:rFonts w:hint="eastAsia" w:ascii="FangSong_GB2312" w:eastAsia="FangSong_GB2312"/>
          <w:sz w:val="32"/>
          <w:szCs w:val="32"/>
        </w:rPr>
        <w:t>年</w:t>
      </w:r>
      <w:r>
        <w:rPr>
          <w:rFonts w:ascii="FangSong_GB2312" w:eastAsia="FangSong_GB2312"/>
          <w:sz w:val="32"/>
          <w:szCs w:val="32"/>
        </w:rPr>
        <w:t>4</w:t>
      </w:r>
      <w:r>
        <w:rPr>
          <w:rFonts w:hint="eastAsia" w:ascii="FangSong_GB2312" w:eastAsia="FangSong_GB2312"/>
          <w:sz w:val="32"/>
          <w:szCs w:val="32"/>
        </w:rPr>
        <w:t>月</w:t>
      </w:r>
      <w:r>
        <w:rPr>
          <w:rFonts w:ascii="FangSong_GB2312" w:eastAsia="FangSong_GB2312"/>
          <w:sz w:val="32"/>
          <w:szCs w:val="32"/>
        </w:rPr>
        <w:t>1</w:t>
      </w:r>
      <w:r>
        <w:rPr>
          <w:rFonts w:hint="eastAsia" w:ascii="FangSong_GB2312" w:eastAsia="FangSong_GB2312"/>
          <w:sz w:val="32"/>
          <w:szCs w:val="32"/>
        </w:rPr>
        <w:t>日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angSong_GB2312">
    <w:altName w:val="仿宋_GB2312"/>
    <w:panose1 w:val="0201060906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7"/>
        <w:rFonts w:ascii="宋体" w:hAnsi="宋体"/>
        <w:sz w:val="24"/>
        <w:szCs w:val="24"/>
      </w:rPr>
    </w:pPr>
    <w:r>
      <w:rPr>
        <w:rStyle w:val="7"/>
        <w:rFonts w:ascii="宋体" w:hAnsi="宋体"/>
        <w:sz w:val="24"/>
        <w:szCs w:val="24"/>
      </w:rPr>
      <w:fldChar w:fldCharType="begin"/>
    </w:r>
    <w:r>
      <w:rPr>
        <w:rStyle w:val="7"/>
        <w:rFonts w:ascii="宋体" w:hAnsi="宋体"/>
        <w:sz w:val="24"/>
        <w:szCs w:val="24"/>
      </w:rPr>
      <w:instrText xml:space="preserve">PAGE  </w:instrText>
    </w:r>
    <w:r>
      <w:rPr>
        <w:rStyle w:val="7"/>
        <w:rFonts w:ascii="宋体" w:hAnsi="宋体"/>
        <w:sz w:val="24"/>
        <w:szCs w:val="24"/>
      </w:rPr>
      <w:fldChar w:fldCharType="separate"/>
    </w:r>
    <w:r>
      <w:rPr>
        <w:rStyle w:val="7"/>
        <w:rFonts w:ascii="宋体" w:hAnsi="宋体"/>
        <w:sz w:val="24"/>
        <w:szCs w:val="24"/>
      </w:rPr>
      <w:t>- 1 -</w:t>
    </w:r>
    <w:r>
      <w:rPr>
        <w:rStyle w:val="7"/>
        <w:rFonts w:ascii="宋体" w:hAnsi="宋体"/>
        <w:sz w:val="24"/>
        <w:szCs w:val="24"/>
      </w:rPr>
      <w:fldChar w:fldCharType="end"/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4F0A1D"/>
    <w:rsid w:val="002803E4"/>
    <w:rsid w:val="002F56DD"/>
    <w:rsid w:val="0037488B"/>
    <w:rsid w:val="00376BC0"/>
    <w:rsid w:val="003B3B17"/>
    <w:rsid w:val="00520378"/>
    <w:rsid w:val="005E5DD8"/>
    <w:rsid w:val="00792EF0"/>
    <w:rsid w:val="00883270"/>
    <w:rsid w:val="00894AF4"/>
    <w:rsid w:val="008D46C1"/>
    <w:rsid w:val="00914C36"/>
    <w:rsid w:val="00AC38B3"/>
    <w:rsid w:val="00D30486"/>
    <w:rsid w:val="00DA7602"/>
    <w:rsid w:val="042B7DA1"/>
    <w:rsid w:val="09586070"/>
    <w:rsid w:val="0ADF6E55"/>
    <w:rsid w:val="0DC03825"/>
    <w:rsid w:val="1152793E"/>
    <w:rsid w:val="1535240B"/>
    <w:rsid w:val="1AEC47EE"/>
    <w:rsid w:val="1E1905AE"/>
    <w:rsid w:val="1E4F0A1D"/>
    <w:rsid w:val="29223F17"/>
    <w:rsid w:val="2F33775C"/>
    <w:rsid w:val="3F464226"/>
    <w:rsid w:val="4994253A"/>
    <w:rsid w:val="4EFA63B4"/>
    <w:rsid w:val="53294F4F"/>
    <w:rsid w:val="53552317"/>
    <w:rsid w:val="53D90613"/>
    <w:rsid w:val="55527775"/>
    <w:rsid w:val="56221CA1"/>
    <w:rsid w:val="5B3C287E"/>
    <w:rsid w:val="5EBE517C"/>
    <w:rsid w:val="627E40C4"/>
    <w:rsid w:val="6B5D00A0"/>
    <w:rsid w:val="6C712895"/>
    <w:rsid w:val="72374E7D"/>
    <w:rsid w:val="73D05A55"/>
    <w:rsid w:val="74FE4C5F"/>
    <w:rsid w:val="7CFF7D07"/>
    <w:rsid w:val="7E7F079A"/>
    <w:rsid w:val="7F4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uiPriority w:val="99"/>
    <w:rPr>
      <w:rFonts w:cs="Times New Roman"/>
    </w:rPr>
  </w:style>
  <w:style w:type="character" w:customStyle="1" w:styleId="8">
    <w:name w:val="Footer Char"/>
    <w:basedOn w:val="6"/>
    <w:link w:val="2"/>
    <w:semiHidden/>
    <w:uiPriority w:val="99"/>
    <w:rPr>
      <w:rFonts w:ascii="Calibri" w:hAnsi="Calibri"/>
      <w:sz w:val="18"/>
      <w:szCs w:val="18"/>
    </w:rPr>
  </w:style>
  <w:style w:type="character" w:customStyle="1" w:styleId="9">
    <w:name w:val="Header Char"/>
    <w:basedOn w:val="6"/>
    <w:link w:val="3"/>
    <w:semiHidden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181</Words>
  <Characters>1038</Characters>
  <Lines>0</Lines>
  <Paragraphs>0</Paragraphs>
  <TotalTime>2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2026-04-02T07:48:00Z</dcterms:created>
  <dc:creator>Best</dc:creator>
  <cp:lastModifiedBy>特发</cp:lastModifiedBy>
  <cp:lastPrinted>2026-04-03T01:38:00Z</cp:lastPrinted>
  <dcterms:modified xsi:type="dcterms:W3CDTF">2026-04-07T08:48:40Z</dcterms:modified>
  <dc:title>东湖高新区2026年餐饮服务单位食品安全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