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方正小标宋简体" w:hAnsi="方正小标宋简体" w:eastAsia="方正小标宋简体" w:cs="方正小标宋简体"/>
          <w:b w:val="0"/>
          <w:bCs w:val="0"/>
          <w:i w:val="0"/>
          <w:iCs w:val="0"/>
          <w:caps w:val="0"/>
          <w:color w:val="333333"/>
          <w:spacing w:val="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highlight w:val="none"/>
          <w:shd w:val="clear" w:color="auto" w:fill="FFFFFF"/>
          <w:lang w:val="en-US" w:eastAsia="zh-CN"/>
        </w:rPr>
        <w:t>政务服务和大数据管理局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方正小标宋简体" w:hAnsi="方正小标宋简体" w:eastAsia="方正小标宋简体" w:cs="方正小标宋简体"/>
          <w:b w:val="0"/>
          <w:bCs w:val="0"/>
          <w:i w:val="0"/>
          <w:iCs w:val="0"/>
          <w:caps w:val="0"/>
          <w:color w:val="333333"/>
          <w:spacing w:val="0"/>
          <w:sz w:val="44"/>
          <w:szCs w:val="44"/>
          <w:highlight w:val="none"/>
          <w:shd w:val="clear" w:color="auto" w:fill="FFFFFF"/>
        </w:rPr>
      </w:pPr>
      <w:r>
        <w:rPr>
          <w:rFonts w:hint="eastAsia" w:ascii="方正小标宋简体" w:hAnsi="方正小标宋简体" w:eastAsia="方正小标宋简体" w:cs="方正小标宋简体"/>
          <w:b w:val="0"/>
          <w:bCs w:val="0"/>
          <w:i w:val="0"/>
          <w:iCs w:val="0"/>
          <w:caps w:val="0"/>
          <w:color w:val="333333"/>
          <w:spacing w:val="0"/>
          <w:sz w:val="44"/>
          <w:szCs w:val="44"/>
          <w:highlight w:val="none"/>
          <w:shd w:val="clear" w:color="auto" w:fill="FFFFFF"/>
          <w:lang w:val="en-US" w:eastAsia="zh-CN"/>
        </w:rPr>
        <w:t>2023年</w:t>
      </w:r>
      <w:r>
        <w:rPr>
          <w:rFonts w:hint="eastAsia" w:ascii="方正小标宋简体" w:hAnsi="方正小标宋简体" w:eastAsia="方正小标宋简体" w:cs="方正小标宋简体"/>
          <w:b w:val="0"/>
          <w:bCs w:val="0"/>
          <w:i w:val="0"/>
          <w:iCs w:val="0"/>
          <w:caps w:val="0"/>
          <w:color w:val="333333"/>
          <w:spacing w:val="0"/>
          <w:sz w:val="44"/>
          <w:szCs w:val="44"/>
          <w:highlight w:val="none"/>
          <w:shd w:val="clear" w:color="auto" w:fill="FFFFFF"/>
        </w:rPr>
        <w:t>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sz w:val="44"/>
          <w:szCs w:val="44"/>
          <w:highlight w:val="none"/>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kern w:val="2"/>
          <w:sz w:val="32"/>
          <w:szCs w:val="32"/>
          <w:highlight w:val="none"/>
          <w:lang w:val="en-US" w:eastAsia="zh-CN" w:bidi="ar-SA"/>
        </w:rPr>
        <w:t>根据《中华人民共和国政府信息公开条例》（国务院令第711号）和《国务院办公厅政府信息与政务公开办公室关于印发〈中华人民共和国政府信息公开工作年度报告格式〉的通知》（国办公开办函〔2021〕30号）要求，编制本年度报告。本年报中所列数据的统计期限自2023年1月1日起至2023年12月31日止。本年度报告电子版可从武汉市东湖新技术开发区政府网站（https://www.wehdz.gov.cn/）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leftChars="0" w:right="0" w:firstLine="640" w:firstLineChars="200"/>
        <w:jc w:val="both"/>
        <w:textAlignment w:val="auto"/>
        <w:outlineLvl w:val="0"/>
        <w:rPr>
          <w:rFonts w:hint="eastAsia" w:ascii="黑体" w:hAnsi="黑体" w:eastAsia="黑体" w:cs="黑体"/>
          <w:kern w:val="2"/>
          <w:sz w:val="32"/>
          <w:szCs w:val="32"/>
          <w:highlight w:val="none"/>
          <w:lang w:bidi="ar-SA"/>
        </w:rPr>
      </w:pPr>
      <w:r>
        <w:rPr>
          <w:rFonts w:hint="eastAsia" w:ascii="黑体" w:hAnsi="黑体" w:eastAsia="黑体" w:cs="黑体"/>
          <w:kern w:val="2"/>
          <w:sz w:val="32"/>
          <w:szCs w:val="32"/>
          <w:highlight w:val="none"/>
          <w:lang w:val="en-US" w:eastAsia="zh-CN" w:bidi="ar-SA"/>
        </w:rPr>
        <w:t>一、总体情况</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1"/>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（一）主动公开</w:t>
      </w:r>
    </w:p>
    <w:p>
      <w:pPr>
        <w:keepNext w:val="0"/>
        <w:keepLines w:val="0"/>
        <w:widowControl/>
        <w:suppressLineNumbers w:val="0"/>
        <w:spacing w:line="58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积极推进政务公开工作，印发《关于切实做好东湖高新区政府网站信息内容建设工作的通知》。组织开展全区政务公开培训会，提升全区各部门、街道工作人员政务公开工作意识和水平，落实政务公开各项重点工作。坚持“以公开为常态、不公开为例外”原则，不断创新公开形式、丰富公开载体，加大公开力度，提高公开标准。2023年，政务服务和大数据管理局通过东湖高新区门户网站主动公开审批核准备案信息、工程建设领域信息、重大建设项目信息等各类信息204条。</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1"/>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（二）依申请公开</w:t>
      </w:r>
    </w:p>
    <w:p>
      <w:pPr>
        <w:keepNext w:val="0"/>
        <w:keepLines w:val="0"/>
        <w:widowControl/>
        <w:suppressLineNumbers w:val="0"/>
        <w:spacing w:line="58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积极统筹指导各部门、街道进行依申请公开答复工作，进一步规范政府依申请公开工作办理程序，提升依申请公开答复工作水平。2023年共收到42条依申请公开申请，全部按时、高效完成答复。</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1"/>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（三）政府信息管理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一是将政府信息公开工作纳入绩效考核目标。制定考核细则，明确具体任务和要求，建立健全沟通机制，加强全区统筹。</w:t>
      </w:r>
      <w:bookmarkStart w:id="0" w:name="_GoBack"/>
      <w:bookmarkEnd w:id="0"/>
      <w:r>
        <w:rPr>
          <w:rFonts w:hint="default" w:ascii="Times New Roman" w:hAnsi="Times New Roman" w:eastAsia="仿宋_GB2312" w:cs="Times New Roman"/>
          <w:kern w:val="2"/>
          <w:sz w:val="32"/>
          <w:szCs w:val="32"/>
          <w:highlight w:val="none"/>
          <w:lang w:val="en-US" w:eastAsia="zh-CN" w:bidi="ar-SA"/>
        </w:rPr>
        <w:t>二是制发政府网站及新媒体更新情况月报，形成问题清单，安排专人及时对接沟通，做好问题整改和答疑解惑。三是强化信息发布更新。遵循“谁发布、谁负责，谁承诺、谁办理”的原则，指导各单位做好门户网站信息录入、保密检查及内容审查工作，未经审核的信息不得上网发布，确保信息的严肃性及涉密信息不上网。</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1"/>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（四）政府信息公开平台建设</w:t>
      </w:r>
    </w:p>
    <w:p>
      <w:pPr>
        <w:keepNext w:val="0"/>
        <w:keepLines w:val="0"/>
        <w:widowControl/>
        <w:suppressLineNumbers w:val="0"/>
        <w:spacing w:line="580" w:lineRule="exact"/>
        <w:ind w:firstLine="640" w:firstLineChars="200"/>
        <w:jc w:val="both"/>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一是做好平台技术支持和运维工作，上线“科创供应链天</w:t>
      </w:r>
      <w:r>
        <w:rPr>
          <w:rFonts w:hint="default" w:ascii="Times New Roman" w:hAnsi="Times New Roman" w:eastAsia="仿宋_GB2312" w:cs="Times New Roman"/>
          <w:b w:val="0"/>
          <w:bCs w:val="0"/>
          <w:kern w:val="2"/>
          <w:sz w:val="32"/>
          <w:szCs w:val="32"/>
          <w:highlight w:val="none"/>
          <w:lang w:val="en-US" w:eastAsia="zh-CN" w:bidi="ar-SA"/>
        </w:rPr>
        <w:t>网平台”“光谷教育”重点专栏。二是持续提升“光谷政务”微信公众号影响力，充分发挥政务新媒体作用，主动、及时、全面将政务服务相关信息推送给全区市场主体及群众，截至2023年末公众号粉丝量已达50万人，累计阅读量超245万人次。三是上线“鄂汇办·光谷政务”</w:t>
      </w:r>
      <w:r>
        <w:rPr>
          <w:rFonts w:hint="default" w:ascii="Times New Roman" w:hAnsi="Times New Roman" w:eastAsia="仿宋_GB2312" w:cs="Times New Roman"/>
          <w:b w:val="0"/>
          <w:bCs w:val="0"/>
          <w:sz w:val="32"/>
          <w:szCs w:val="32"/>
        </w:rPr>
        <w:t>掌上政务</w:t>
      </w:r>
      <w:r>
        <w:rPr>
          <w:rFonts w:hint="default" w:ascii="Times New Roman" w:hAnsi="Times New Roman" w:eastAsia="仿宋_GB2312" w:cs="Times New Roman"/>
          <w:b w:val="0"/>
          <w:bCs w:val="0"/>
          <w:kern w:val="2"/>
          <w:sz w:val="32"/>
          <w:szCs w:val="32"/>
          <w:highlight w:val="none"/>
          <w:lang w:val="en-US" w:eastAsia="zh-CN" w:bidi="ar-SA"/>
        </w:rPr>
        <w:t>服务专区，打通服务群众“最后一公里”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擦亮</w:t>
      </w:r>
      <w:r>
        <w:rPr>
          <w:rFonts w:hint="default" w:ascii="Times New Roman" w:hAnsi="Times New Roman" w:eastAsia="仿宋_GB2312" w:cs="Times New Roman"/>
          <w:b w:val="0"/>
          <w:bCs w:val="0"/>
          <w:sz w:val="32"/>
          <w:szCs w:val="32"/>
          <w:lang w:val="en-US" w:eastAsia="zh-CN"/>
        </w:rPr>
        <w:t>东湖高新区政务</w:t>
      </w:r>
      <w:r>
        <w:rPr>
          <w:rFonts w:hint="default" w:ascii="Times New Roman" w:hAnsi="Times New Roman" w:eastAsia="仿宋_GB2312" w:cs="Times New Roman"/>
          <w:b w:val="0"/>
          <w:bCs w:val="0"/>
          <w:sz w:val="32"/>
          <w:szCs w:val="32"/>
        </w:rPr>
        <w:t>服务新名片</w:t>
      </w:r>
      <w:r>
        <w:rPr>
          <w:rFonts w:hint="default" w:ascii="Times New Roman" w:hAnsi="Times New Roman"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1"/>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（五）监督保障</w:t>
      </w:r>
    </w:p>
    <w:p>
      <w:pPr>
        <w:keepNext w:val="0"/>
        <w:keepLines w:val="0"/>
        <w:widowControl/>
        <w:suppressLineNumbers w:val="0"/>
        <w:spacing w:line="58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高度重视政务信息公开工作，加强全区工作统筹，切实做好政府网站（政务新媒体）信息内容建设和依申请公开处理工作。主动接受上级部门和社会公众监督，将政务公开工作纳入年度绩效目标考核，发布月度通报，对发现的问题及时落实整改。全年未发生因不履行政务公开义务而发生的责任追究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exact"/>
        <w:ind w:right="0" w:firstLine="640" w:firstLineChars="200"/>
        <w:jc w:val="both"/>
        <w:outlineLvl w:val="0"/>
        <w:rPr>
          <w:rFonts w:hint="eastAsia" w:ascii="黑体" w:hAnsi="黑体" w:eastAsia="黑体" w:cs="黑体"/>
          <w:i w:val="0"/>
          <w:iCs w:val="0"/>
          <w:caps w:val="0"/>
          <w:spacing w:val="0"/>
          <w:kern w:val="2"/>
          <w:sz w:val="32"/>
          <w:szCs w:val="32"/>
          <w:highlight w:val="none"/>
          <w:lang w:bidi="ar-SA"/>
        </w:rPr>
      </w:pPr>
      <w:r>
        <w:rPr>
          <w:rFonts w:hint="eastAsia" w:ascii="黑体" w:hAnsi="黑体" w:eastAsia="黑体" w:cs="黑体"/>
          <w:kern w:val="2"/>
          <w:sz w:val="32"/>
          <w:szCs w:val="32"/>
          <w:highlight w:val="none"/>
          <w:lang w:val="en-US" w:eastAsia="zh-CN" w:bidi="ar-SA"/>
        </w:rPr>
        <w:t>二、主动公开政府信息情况</w:t>
      </w: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信息内容</w:t>
            </w:r>
          </w:p>
        </w:tc>
        <w:tc>
          <w:tcPr>
            <w:tcW w:w="1250"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本年</w:t>
            </w:r>
            <w:r>
              <w:rPr>
                <w:rFonts w:hint="default" w:ascii="Times New Roman" w:hAnsi="Times New Roman" w:eastAsia="宋体" w:cs="Times New Roman"/>
                <w:kern w:val="0"/>
                <w:sz w:val="20"/>
                <w:szCs w:val="20"/>
                <w:highlight w:val="none"/>
                <w:lang w:val="en-US" w:eastAsia="zh-CN" w:bidi="ar"/>
              </w:rPr>
              <w:t>制发件数</w:t>
            </w:r>
          </w:p>
        </w:tc>
        <w:tc>
          <w:tcPr>
            <w:tcW w:w="1250"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本年废止件数</w:t>
            </w:r>
          </w:p>
        </w:tc>
        <w:tc>
          <w:tcPr>
            <w:tcW w:w="1250"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现行有效件</w:t>
            </w:r>
            <w:r>
              <w:rPr>
                <w:rFonts w:hint="default" w:ascii="Times New Roman" w:hAnsi="Times New Roman" w:eastAsia="宋体" w:cs="Times New Roman"/>
                <w:kern w:val="0"/>
                <w:sz w:val="20"/>
                <w:szCs w:val="20"/>
                <w:highlight w:val="none"/>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4"/>
                <w:highlight w:val="none"/>
              </w:rPr>
            </w:pPr>
            <w:r>
              <w:rPr>
                <w:rFonts w:hint="default" w:ascii="Times New Roman" w:hAnsi="Times New Roman" w:eastAsia="宋体" w:cs="Times New Roman"/>
                <w:color w:val="000000"/>
                <w:kern w:val="0"/>
                <w:sz w:val="20"/>
                <w:szCs w:val="20"/>
                <w:highlight w:val="none"/>
                <w:lang w:val="en-US" w:eastAsia="zh-CN" w:bidi="ar"/>
              </w:rPr>
              <w:t>规章</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2"/>
                <w:szCs w:val="24"/>
                <w:highlight w:val="none"/>
              </w:rPr>
            </w:pPr>
            <w:r>
              <w:rPr>
                <w:rFonts w:hint="default" w:ascii="Times New Roman" w:hAnsi="Times New Roman" w:eastAsia="宋体" w:cs="Times New Roman"/>
                <w:color w:val="000000"/>
                <w:kern w:val="0"/>
                <w:sz w:val="20"/>
                <w:szCs w:val="20"/>
                <w:highlight w:val="none"/>
                <w:lang w:val="en-US" w:eastAsia="zh-CN" w:bidi="ar"/>
              </w:rPr>
              <w:t>行政规范性文件</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信息内容</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行政许可</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highlight w:val="none"/>
                <w:lang w:val="en-US" w:eastAsia="zh-CN"/>
              </w:rPr>
            </w:pPr>
            <w:r>
              <w:rPr>
                <w:rFonts w:hint="eastAsia" w:cs="Times New Roman"/>
                <w:highlight w:val="none"/>
                <w:lang w:val="en-US" w:eastAsia="zh-CN"/>
              </w:rPr>
              <w:t>112341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信息内容</w:t>
            </w:r>
          </w:p>
        </w:tc>
        <w:tc>
          <w:tcPr>
            <w:tcW w:w="3750" w:type="pct"/>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行政处罚</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行政强制</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信息内容</w:t>
            </w:r>
          </w:p>
        </w:tc>
        <w:tc>
          <w:tcPr>
            <w:tcW w:w="3750" w:type="pct"/>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行政事业性收费</w:t>
            </w:r>
          </w:p>
        </w:tc>
        <w:tc>
          <w:tcPr>
            <w:tcW w:w="3750" w:type="pct"/>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exact"/>
        <w:ind w:right="0" w:firstLine="640" w:firstLineChars="200"/>
        <w:jc w:val="both"/>
        <w:outlineLvl w:val="0"/>
        <w:rPr>
          <w:rFonts w:hint="eastAsia" w:ascii="黑体" w:hAnsi="黑体" w:eastAsia="黑体" w:cs="黑体"/>
          <w:i w:val="0"/>
          <w:iCs w:val="0"/>
          <w:caps w:val="0"/>
          <w:spacing w:val="0"/>
          <w:kern w:val="2"/>
          <w:sz w:val="32"/>
          <w:szCs w:val="32"/>
          <w:highlight w:val="none"/>
          <w:lang w:bidi="ar-SA"/>
        </w:rPr>
      </w:pPr>
      <w:r>
        <w:rPr>
          <w:rFonts w:hint="eastAsia" w:ascii="黑体" w:hAnsi="黑体" w:eastAsia="黑体" w:cs="黑体"/>
          <w:kern w:val="2"/>
          <w:sz w:val="32"/>
          <w:szCs w:val="32"/>
          <w:highlight w:val="none"/>
          <w:lang w:val="en-US" w:eastAsia="zh-CN" w:bidi="ar-SA"/>
        </w:rPr>
        <w:t>三、收到和处理政府信息公开申请情况</w:t>
      </w:r>
    </w:p>
    <w:tbl>
      <w:tblPr>
        <w:tblStyle w:val="6"/>
        <w:tblW w:w="490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2"/>
        <w:gridCol w:w="800"/>
        <w:gridCol w:w="2749"/>
        <w:gridCol w:w="582"/>
        <w:gridCol w:w="582"/>
        <w:gridCol w:w="582"/>
        <w:gridCol w:w="582"/>
        <w:gridCol w:w="582"/>
        <w:gridCol w:w="604"/>
        <w:gridCol w:w="6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6" w:type="pct"/>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楷体" w:cs="Times New Roman"/>
                <w:kern w:val="0"/>
                <w:sz w:val="20"/>
                <w:szCs w:val="20"/>
                <w:highlight w:val="none"/>
                <w:lang w:val="en-US" w:eastAsia="zh-CN" w:bidi="ar"/>
              </w:rPr>
              <w:t>（本列数据的勾稽关系为：第一项加第二项之和，等于第三项加第四项之和）</w:t>
            </w:r>
          </w:p>
        </w:tc>
        <w:tc>
          <w:tcPr>
            <w:tcW w:w="2473" w:type="pct"/>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6" w:type="pct"/>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highlight w:val="none"/>
              </w:rPr>
            </w:pPr>
          </w:p>
        </w:tc>
        <w:tc>
          <w:tcPr>
            <w:tcW w:w="350" w:type="pct"/>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自然人</w:t>
            </w:r>
          </w:p>
        </w:tc>
        <w:tc>
          <w:tcPr>
            <w:tcW w:w="1763" w:type="pct"/>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法人或其他组织</w:t>
            </w:r>
          </w:p>
        </w:tc>
        <w:tc>
          <w:tcPr>
            <w:tcW w:w="358" w:type="pct"/>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6" w:type="pct"/>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highlight w:val="none"/>
              </w:rPr>
            </w:pPr>
          </w:p>
        </w:tc>
        <w:tc>
          <w:tcPr>
            <w:tcW w:w="350" w:type="pct"/>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企业</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机构</w:t>
            </w:r>
          </w:p>
        </w:tc>
        <w:tc>
          <w:tcPr>
            <w:tcW w:w="350"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社会公益组织</w:t>
            </w:r>
          </w:p>
        </w:tc>
        <w:tc>
          <w:tcPr>
            <w:tcW w:w="350"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法律服务机构</w:t>
            </w:r>
          </w:p>
        </w:tc>
        <w:tc>
          <w:tcPr>
            <w:tcW w:w="360"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其他</w:t>
            </w:r>
          </w:p>
        </w:tc>
        <w:tc>
          <w:tcPr>
            <w:tcW w:w="358" w:type="pct"/>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2526" w:type="pct"/>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一、本年新收政府信息公开申请数量</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42</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6" w:type="pct"/>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二、上年结转政府信息公开申请数量</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三、本年度办理结果</w:t>
            </w:r>
          </w:p>
        </w:tc>
        <w:tc>
          <w:tcPr>
            <w:tcW w:w="2134" w:type="pct"/>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（一）予以公开</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12</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2134" w:type="pct"/>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（二）部分公开</w:t>
            </w:r>
            <w:r>
              <w:rPr>
                <w:rFonts w:hint="default" w:ascii="Times New Roman" w:hAnsi="Times New Roman" w:eastAsia="楷体" w:cs="Times New Roman"/>
                <w:kern w:val="0"/>
                <w:sz w:val="20"/>
                <w:szCs w:val="20"/>
                <w:highlight w:val="none"/>
                <w:lang w:val="en-US" w:eastAsia="zh-CN" w:bidi="ar"/>
              </w:rPr>
              <w:t>（区分处理的，只计这一情形，不计其他情形）</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（三）不予公开</w:t>
            </w: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1.属于国家秘密</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2.其他法律行政法规禁止公开</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3.危及</w:t>
            </w:r>
            <w:r>
              <w:rPr>
                <w:rFonts w:hint="eastAsia" w:ascii="Times New Roman" w:hAnsi="Times New Roman" w:cs="Times New Roman"/>
                <w:kern w:val="0"/>
                <w:sz w:val="20"/>
                <w:szCs w:val="20"/>
                <w:highlight w:val="none"/>
                <w:lang w:val="en-US" w:eastAsia="zh-CN" w:bidi="ar"/>
              </w:rPr>
              <w:t>“</w:t>
            </w:r>
            <w:r>
              <w:rPr>
                <w:rFonts w:hint="default" w:ascii="Times New Roman" w:hAnsi="Times New Roman" w:eastAsia="宋体" w:cs="Times New Roman"/>
                <w:kern w:val="0"/>
                <w:sz w:val="20"/>
                <w:szCs w:val="20"/>
                <w:highlight w:val="none"/>
                <w:lang w:val="en-US" w:eastAsia="zh-CN" w:bidi="ar"/>
              </w:rPr>
              <w:t>三安全一稳定</w:t>
            </w:r>
            <w:r>
              <w:rPr>
                <w:rFonts w:hint="eastAsia" w:ascii="Times New Roman" w:hAnsi="Times New Roman" w:cs="Times New Roman"/>
                <w:kern w:val="0"/>
                <w:sz w:val="20"/>
                <w:szCs w:val="20"/>
                <w:highlight w:val="none"/>
                <w:lang w:val="en-US" w:eastAsia="zh-CN" w:bidi="ar"/>
              </w:rPr>
              <w:t>”</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4.保护第三方合法权益</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5.属于三类内部事务信息</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6.属于四类过程性信息</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cs="Times New Roman"/>
                <w:highlight w:val="none"/>
                <w:lang w:val="en-US" w:eastAsia="zh-CN"/>
              </w:rPr>
              <w:t>6</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cs="Times New Roman"/>
                <w:highlight w:val="none"/>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7.属于行政执法案卷</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8.属于行政查询事项</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cs="Times New Roman"/>
                <w:highlight w:val="none"/>
                <w:lang w:val="en-US" w:eastAsia="zh-CN"/>
              </w:rPr>
              <w:t>1</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cs="Times New Roman"/>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（四）无法提供</w:t>
            </w: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1.本机关不掌握相关政府信息</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18</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2.没有现成信息需要另行制作</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3.补正后申请内容仍不明确</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（五）不予处理</w:t>
            </w: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1.信访举报投诉类申请</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2.重复申请</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3.要求提供公开出版物</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4.无正当理由大量反复申请</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5.要求行政机关确认或重新出具已获取信息</w:t>
            </w:r>
          </w:p>
        </w:tc>
        <w:tc>
          <w:tcPr>
            <w:tcW w:w="350"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highlight w:val="none"/>
                <w:lang w:val="en-US" w:eastAsia="zh-CN" w:bidi="ar-SA"/>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（六）其他处理</w:t>
            </w:r>
          </w:p>
        </w:tc>
        <w:tc>
          <w:tcPr>
            <w:tcW w:w="165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1.申请人无正当理由逾期不补正、行政机关不再处理其政府信息公开申请</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5</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2.申请人逾期未按收费通知要求缴纳费用、行政机关不再处理其政府信息公开申请</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481" w:type="pct"/>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165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3.其他</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92" w:type="pct"/>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highlight w:val="none"/>
              </w:rPr>
            </w:pPr>
          </w:p>
        </w:tc>
        <w:tc>
          <w:tcPr>
            <w:tcW w:w="2134" w:type="pct"/>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（七）总计</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42</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26" w:type="pct"/>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四、结转下年度继续办理</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cs="Times New Roman"/>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6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c>
          <w:tcPr>
            <w:tcW w:w="358"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lang w:val="en-US" w:eastAsia="zh-CN"/>
              </w:rPr>
            </w:pPr>
            <w:r>
              <w:rPr>
                <w:rFonts w:hint="eastAsia" w:eastAsia="方正仿宋_GBK" w:cs="Times New Roman"/>
                <w:sz w:val="21"/>
                <w:szCs w:val="21"/>
                <w:highlight w:val="none"/>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exact"/>
        <w:ind w:right="0" w:firstLine="640" w:firstLineChars="200"/>
        <w:jc w:val="both"/>
        <w:outlineLvl w:val="0"/>
        <w:rPr>
          <w:rFonts w:hint="eastAsia" w:ascii="黑体" w:hAnsi="黑体" w:eastAsia="黑体" w:cs="黑体"/>
          <w:i w:val="0"/>
          <w:iCs w:val="0"/>
          <w:caps w:val="0"/>
          <w:spacing w:val="0"/>
          <w:kern w:val="2"/>
          <w:sz w:val="32"/>
          <w:szCs w:val="32"/>
          <w:highlight w:val="none"/>
          <w:lang w:bidi="ar-SA"/>
        </w:rPr>
      </w:pPr>
      <w:r>
        <w:rPr>
          <w:rFonts w:hint="eastAsia" w:ascii="黑体" w:hAnsi="黑体" w:eastAsia="黑体" w:cs="黑体"/>
          <w:kern w:val="2"/>
          <w:sz w:val="32"/>
          <w:szCs w:val="32"/>
          <w:highlight w:val="none"/>
          <w:lang w:val="en-US" w:eastAsia="zh-CN" w:bidi="ar-SA"/>
        </w:rPr>
        <w:t>四、政府信息公开行政复议、行政诉讼情况</w:t>
      </w:r>
    </w:p>
    <w:tbl>
      <w:tblPr>
        <w:tblStyle w:val="6"/>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65"/>
        <w:gridCol w:w="565"/>
        <w:gridCol w:w="565"/>
        <w:gridCol w:w="565"/>
        <w:gridCol w:w="573"/>
        <w:gridCol w:w="566"/>
        <w:gridCol w:w="566"/>
        <w:gridCol w:w="568"/>
        <w:gridCol w:w="568"/>
        <w:gridCol w:w="571"/>
        <w:gridCol w:w="568"/>
        <w:gridCol w:w="568"/>
        <w:gridCol w:w="568"/>
        <w:gridCol w:w="568"/>
        <w:gridCol w:w="5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64" w:type="pct"/>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行政复议</w:t>
            </w:r>
          </w:p>
        </w:tc>
        <w:tc>
          <w:tcPr>
            <w:tcW w:w="3335" w:type="pct"/>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pct"/>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结果维持</w:t>
            </w:r>
          </w:p>
        </w:tc>
        <w:tc>
          <w:tcPr>
            <w:tcW w:w="332" w:type="pct"/>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highlight w:val="none"/>
                <w:lang w:val="en-US" w:eastAsia="zh-CN" w:bidi="ar"/>
              </w:rPr>
            </w:pPr>
            <w:r>
              <w:rPr>
                <w:rFonts w:hint="default" w:ascii="Times New Roman" w:hAnsi="Times New Roman" w:eastAsia="宋体" w:cs="Times New Roman"/>
                <w:kern w:val="0"/>
                <w:sz w:val="20"/>
                <w:szCs w:val="20"/>
                <w:highlight w:val="none"/>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纠正</w:t>
            </w:r>
          </w:p>
        </w:tc>
        <w:tc>
          <w:tcPr>
            <w:tcW w:w="332" w:type="pct"/>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highlight w:val="none"/>
                <w:lang w:val="en-US" w:eastAsia="zh-CN" w:bidi="ar"/>
              </w:rPr>
            </w:pPr>
            <w:r>
              <w:rPr>
                <w:rFonts w:hint="default" w:ascii="Times New Roman" w:hAnsi="Times New Roman" w:eastAsia="宋体" w:cs="Times New Roman"/>
                <w:kern w:val="0"/>
                <w:sz w:val="20"/>
                <w:szCs w:val="20"/>
                <w:highlight w:val="none"/>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结果</w:t>
            </w:r>
          </w:p>
        </w:tc>
        <w:tc>
          <w:tcPr>
            <w:tcW w:w="332" w:type="pct"/>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highlight w:val="none"/>
                <w:lang w:val="en-US" w:eastAsia="zh-CN" w:bidi="ar"/>
              </w:rPr>
            </w:pPr>
            <w:r>
              <w:rPr>
                <w:rFonts w:hint="default" w:ascii="Times New Roman" w:hAnsi="Times New Roman" w:eastAsia="宋体" w:cs="Times New Roman"/>
                <w:kern w:val="0"/>
                <w:sz w:val="20"/>
                <w:szCs w:val="20"/>
                <w:highlight w:val="none"/>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审结</w:t>
            </w:r>
          </w:p>
        </w:tc>
        <w:tc>
          <w:tcPr>
            <w:tcW w:w="333" w:type="pct"/>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总计</w:t>
            </w:r>
          </w:p>
        </w:tc>
        <w:tc>
          <w:tcPr>
            <w:tcW w:w="1665" w:type="pct"/>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未经复议直接起诉</w:t>
            </w:r>
          </w:p>
        </w:tc>
        <w:tc>
          <w:tcPr>
            <w:tcW w:w="1669" w:type="pct"/>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32"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highlight w:val="none"/>
              </w:rPr>
            </w:pPr>
          </w:p>
        </w:tc>
        <w:tc>
          <w:tcPr>
            <w:tcW w:w="332"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highlight w:val="none"/>
              </w:rPr>
            </w:pPr>
          </w:p>
        </w:tc>
        <w:tc>
          <w:tcPr>
            <w:tcW w:w="332"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highlight w:val="none"/>
              </w:rPr>
            </w:pPr>
          </w:p>
        </w:tc>
        <w:tc>
          <w:tcPr>
            <w:tcW w:w="332"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highlight w:val="none"/>
              </w:rPr>
            </w:pPr>
          </w:p>
        </w:tc>
        <w:tc>
          <w:tcPr>
            <w:tcW w:w="333"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highlight w:val="none"/>
              </w:rPr>
            </w:pPr>
          </w:p>
        </w:tc>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highlight w:val="none"/>
                <w:lang w:val="en-US" w:eastAsia="zh-CN" w:bidi="ar"/>
              </w:rPr>
            </w:pPr>
            <w:r>
              <w:rPr>
                <w:rFonts w:hint="default" w:ascii="Times New Roman" w:hAnsi="Times New Roman" w:eastAsia="宋体" w:cs="Times New Roman"/>
                <w:kern w:val="0"/>
                <w:sz w:val="20"/>
                <w:szCs w:val="20"/>
                <w:highlight w:val="none"/>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维持</w:t>
            </w:r>
          </w:p>
        </w:tc>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highlight w:val="none"/>
                <w:lang w:val="en-US" w:eastAsia="zh-CN" w:bidi="ar"/>
              </w:rPr>
            </w:pPr>
            <w:r>
              <w:rPr>
                <w:rFonts w:hint="default" w:ascii="Times New Roman" w:hAnsi="Times New Roman" w:eastAsia="宋体" w:cs="Times New Roman"/>
                <w:kern w:val="0"/>
                <w:sz w:val="20"/>
                <w:szCs w:val="20"/>
                <w:highlight w:val="none"/>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纠正</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highlight w:val="none"/>
                <w:lang w:val="en-US" w:eastAsia="zh-CN" w:bidi="ar"/>
              </w:rPr>
            </w:pPr>
            <w:r>
              <w:rPr>
                <w:rFonts w:hint="default" w:ascii="Times New Roman" w:hAnsi="Times New Roman" w:eastAsia="宋体" w:cs="Times New Roman"/>
                <w:kern w:val="0"/>
                <w:sz w:val="20"/>
                <w:szCs w:val="20"/>
                <w:highlight w:val="none"/>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结果</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highlight w:val="none"/>
                <w:lang w:val="en-US" w:eastAsia="zh-CN" w:bidi="ar"/>
              </w:rPr>
            </w:pPr>
            <w:r>
              <w:rPr>
                <w:rFonts w:hint="default" w:ascii="Times New Roman" w:hAnsi="Times New Roman" w:eastAsia="宋体" w:cs="Times New Roman"/>
                <w:kern w:val="0"/>
                <w:sz w:val="20"/>
                <w:szCs w:val="20"/>
                <w:highlight w:val="none"/>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审结</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总计</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highlight w:val="none"/>
                <w:lang w:val="en-US" w:eastAsia="zh-CN" w:bidi="ar"/>
              </w:rPr>
            </w:pPr>
            <w:r>
              <w:rPr>
                <w:rFonts w:hint="default" w:ascii="Times New Roman" w:hAnsi="Times New Roman" w:eastAsia="宋体" w:cs="Times New Roman"/>
                <w:kern w:val="0"/>
                <w:sz w:val="20"/>
                <w:szCs w:val="20"/>
                <w:highlight w:val="none"/>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维持</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highlight w:val="none"/>
                <w:lang w:val="en-US" w:eastAsia="zh-CN" w:bidi="ar"/>
              </w:rPr>
            </w:pPr>
            <w:r>
              <w:rPr>
                <w:rFonts w:hint="default" w:ascii="Times New Roman" w:hAnsi="Times New Roman" w:eastAsia="宋体" w:cs="Times New Roman"/>
                <w:kern w:val="0"/>
                <w:sz w:val="20"/>
                <w:szCs w:val="20"/>
                <w:highlight w:val="none"/>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纠正</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kern w:val="0"/>
                <w:sz w:val="20"/>
                <w:szCs w:val="20"/>
                <w:highlight w:val="none"/>
                <w:lang w:val="en-US" w:eastAsia="zh-CN" w:bidi="ar"/>
              </w:rPr>
            </w:pPr>
            <w:r>
              <w:rPr>
                <w:rFonts w:hint="default" w:ascii="Times New Roman" w:hAnsi="Times New Roman" w:eastAsia="宋体" w:cs="Times New Roman"/>
                <w:color w:val="000000"/>
                <w:kern w:val="0"/>
                <w:sz w:val="20"/>
                <w:szCs w:val="20"/>
                <w:highlight w:val="none"/>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结果</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highlight w:val="none"/>
                <w:lang w:val="en-US" w:eastAsia="zh-CN" w:bidi="ar"/>
              </w:rPr>
            </w:pPr>
            <w:r>
              <w:rPr>
                <w:rFonts w:hint="default" w:ascii="Times New Roman" w:hAnsi="Times New Roman" w:eastAsia="宋体" w:cs="Times New Roman"/>
                <w:kern w:val="0"/>
                <w:sz w:val="20"/>
                <w:szCs w:val="20"/>
                <w:highlight w:val="none"/>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kern w:val="0"/>
                <w:sz w:val="20"/>
                <w:szCs w:val="20"/>
                <w:highlight w:val="none"/>
                <w:lang w:val="en-US" w:eastAsia="zh-CN" w:bidi="ar"/>
              </w:rPr>
              <w:t>审结</w:t>
            </w:r>
          </w:p>
        </w:tc>
        <w:tc>
          <w:tcPr>
            <w:tcW w:w="334"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56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6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6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6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6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6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6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6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7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6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6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6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6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highlight w:val="none"/>
              </w:rPr>
            </w:pPr>
            <w:r>
              <w:rPr>
                <w:rFonts w:hint="eastAsia" w:eastAsia="方正仿宋_GBK" w:cs="Times New Roman"/>
                <w:sz w:val="21"/>
                <w:szCs w:val="21"/>
                <w:highlight w:val="none"/>
                <w:lang w:val="en-US" w:eastAsia="zh-CN"/>
              </w:rPr>
              <w:t>0</w:t>
            </w:r>
          </w:p>
        </w:tc>
        <w:tc>
          <w:tcPr>
            <w:tcW w:w="57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4"/>
                <w:szCs w:val="24"/>
                <w:highlight w:val="none"/>
                <w:lang w:val="en-US" w:eastAsia="zh-CN"/>
              </w:rPr>
            </w:pPr>
            <w:r>
              <w:rPr>
                <w:rFonts w:hint="eastAsia" w:eastAsia="方正仿宋_GBK" w:cs="Times New Roman"/>
                <w:sz w:val="21"/>
                <w:szCs w:val="21"/>
                <w:highlight w:val="none"/>
                <w:lang w:val="en-US" w:eastAsia="zh-CN"/>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0"/>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五、存在的主要问题及改进情况</w:t>
      </w:r>
    </w:p>
    <w:p>
      <w:pPr>
        <w:keepNext w:val="0"/>
        <w:keepLines w:val="0"/>
        <w:widowControl/>
        <w:suppressLineNumbers w:val="0"/>
        <w:spacing w:line="58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存在问题：2023年政务服务和大数据管理局政府信息公开工作有了较大提升，但在全面性、系统性、规范性方面需要进一步加强。</w:t>
      </w:r>
    </w:p>
    <w:p>
      <w:pPr>
        <w:keepNext w:val="0"/>
        <w:keepLines w:val="0"/>
        <w:widowControl/>
        <w:suppressLineNumbers w:val="0"/>
        <w:spacing w:line="58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改进</w:t>
      </w:r>
      <w:r>
        <w:rPr>
          <w:rFonts w:hint="eastAsia" w:ascii="Times New Roman" w:hAnsi="Times New Roman" w:eastAsia="仿宋_GB2312" w:cs="Times New Roman"/>
          <w:kern w:val="2"/>
          <w:sz w:val="32"/>
          <w:szCs w:val="32"/>
          <w:highlight w:val="none"/>
          <w:lang w:val="en-US" w:eastAsia="zh-CN" w:bidi="ar-SA"/>
        </w:rPr>
        <w:t>措施</w:t>
      </w:r>
      <w:r>
        <w:rPr>
          <w:rFonts w:hint="default" w:ascii="Times New Roman" w:hAnsi="Times New Roman" w:eastAsia="仿宋_GB2312" w:cs="Times New Roman"/>
          <w:kern w:val="2"/>
          <w:sz w:val="32"/>
          <w:szCs w:val="32"/>
          <w:highlight w:val="none"/>
          <w:lang w:val="en-US" w:eastAsia="zh-CN" w:bidi="ar-SA"/>
        </w:rPr>
        <w:t>：政务服务和大数据管理局将进一步加强信息公开制度建设和执行力度，探索政府信息公开工作的新方法、新手段、新方式，进一步充实丰富政府信息公开内容，加大信息公开力度，规范信息公开管理，持续推动全区政府信息公开工作的发展与进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0"/>
        <w:rPr>
          <w:rFonts w:hint="eastAsia" w:ascii="黑体" w:hAnsi="黑体" w:eastAsia="黑体" w:cs="黑体"/>
          <w:sz w:val="32"/>
          <w:szCs w:val="32"/>
          <w:highlight w:val="none"/>
        </w:rPr>
      </w:pPr>
      <w:r>
        <w:rPr>
          <w:rFonts w:hint="eastAsia" w:ascii="黑体" w:hAnsi="黑体" w:eastAsia="黑体" w:cs="黑体"/>
          <w:kern w:val="2"/>
          <w:sz w:val="32"/>
          <w:szCs w:val="32"/>
          <w:highlight w:val="none"/>
          <w:lang w:val="en-US" w:eastAsia="zh-CN" w:bidi="ar-SA"/>
        </w:rPr>
        <w:t>六、其他需要报告的事项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2"/>
          <w:sz w:val="32"/>
          <w:szCs w:val="32"/>
          <w:highlight w:val="none"/>
          <w:lang w:val="en-US" w:eastAsia="zh-CN" w:bidi="ar-SA"/>
        </w:rPr>
        <w:t>按照《国务院办公厅关于印发〈政府信息公开信息处理费管理办法〉的通知》（国办函〔2020〕109号）规定的按件、按量收费标准，2023年未产生信息公开处理费</w:t>
      </w:r>
      <w:r>
        <w:rPr>
          <w:rFonts w:hint="default" w:ascii="Times New Roman" w:hAnsi="Times New Roman" w:eastAsia="仿宋_GB2312" w:cs="Times New Roman"/>
          <w:i w:val="0"/>
          <w:iCs w:val="0"/>
          <w:caps w:val="0"/>
          <w:color w:val="000000"/>
          <w:spacing w:val="0"/>
          <w:sz w:val="32"/>
          <w:szCs w:val="32"/>
          <w:highlight w:val="none"/>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61DAA9-90C4-42C0-9711-6083A1FA08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D16AD3D8-F5C5-484A-A969-E02F72021427}"/>
  </w:font>
  <w:font w:name="方正小标宋简体">
    <w:panose1 w:val="02000000000000000000"/>
    <w:charset w:val="86"/>
    <w:family w:val="auto"/>
    <w:pitch w:val="default"/>
    <w:sig w:usb0="00000001" w:usb1="08000000" w:usb2="00000000" w:usb3="00000000" w:csb0="00040000" w:csb1="00000000"/>
    <w:embedRegular r:id="rId3" w:fontKey="{E45DE0BF-B6F8-4BF2-9C68-B473DC06C8AD}"/>
  </w:font>
  <w:font w:name="仿宋_GB2312">
    <w:panose1 w:val="02010609030101010101"/>
    <w:charset w:val="86"/>
    <w:family w:val="auto"/>
    <w:pitch w:val="default"/>
    <w:sig w:usb0="00000001" w:usb1="080E0000" w:usb2="00000000" w:usb3="00000000" w:csb0="00040000" w:csb1="00000000"/>
    <w:embedRegular r:id="rId4" w:fontKey="{AB9842BD-4215-41F1-ACD5-8B1FF139ACCE}"/>
  </w:font>
  <w:font w:name="方正仿宋_GBK">
    <w:panose1 w:val="03000509000000000000"/>
    <w:charset w:val="86"/>
    <w:family w:val="auto"/>
    <w:pitch w:val="default"/>
    <w:sig w:usb0="00000001" w:usb1="080E0000" w:usb2="00000000" w:usb3="00000000" w:csb0="00040000" w:csb1="00000000"/>
    <w:embedRegular r:id="rId5" w:fontKey="{62A99B1F-241C-49C9-8D16-B933C0D8CA1C}"/>
  </w:font>
  <w:font w:name="方正楷体_GBK">
    <w:panose1 w:val="03000509000000000000"/>
    <w:charset w:val="86"/>
    <w:family w:val="auto"/>
    <w:pitch w:val="default"/>
    <w:sig w:usb0="00000001" w:usb1="080E0000" w:usb2="00000000" w:usb3="00000000" w:csb0="00040000" w:csb1="00000000"/>
    <w:embedRegular r:id="rId6" w:fontKey="{E8F2BF68-ACA9-44E0-A20B-8BA0635E2749}"/>
  </w:font>
  <w:font w:name="楷体">
    <w:panose1 w:val="02010609060101010101"/>
    <w:charset w:val="86"/>
    <w:family w:val="auto"/>
    <w:pitch w:val="default"/>
    <w:sig w:usb0="800002BF" w:usb1="38CF7CFA" w:usb2="00000016" w:usb3="00000000" w:csb0="00040001" w:csb1="00000000"/>
    <w:embedRegular r:id="rId7" w:fontKey="{E7E7B3A8-5C18-4EB2-8CF2-B1A4519F87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1E750DAB"/>
    <w:rsid w:val="019F6CE9"/>
    <w:rsid w:val="0D2C3551"/>
    <w:rsid w:val="0E533724"/>
    <w:rsid w:val="0FD77EDE"/>
    <w:rsid w:val="13602913"/>
    <w:rsid w:val="1B24622A"/>
    <w:rsid w:val="1E750DAB"/>
    <w:rsid w:val="201678DA"/>
    <w:rsid w:val="23B2401E"/>
    <w:rsid w:val="29DA2F38"/>
    <w:rsid w:val="306227A3"/>
    <w:rsid w:val="313F4810"/>
    <w:rsid w:val="337952B5"/>
    <w:rsid w:val="346B565D"/>
    <w:rsid w:val="387205E8"/>
    <w:rsid w:val="391C033C"/>
    <w:rsid w:val="3BD2530D"/>
    <w:rsid w:val="48A7164C"/>
    <w:rsid w:val="49E65626"/>
    <w:rsid w:val="5AE646A1"/>
    <w:rsid w:val="5F674B62"/>
    <w:rsid w:val="60C80ED4"/>
    <w:rsid w:val="6C117498"/>
    <w:rsid w:val="70173FB9"/>
    <w:rsid w:val="75605B6D"/>
    <w:rsid w:val="77EE508A"/>
    <w:rsid w:val="77F410B2"/>
    <w:rsid w:val="7B3C54BD"/>
    <w:rsid w:val="7BC90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line="590" w:lineRule="exact"/>
      <w:jc w:val="center"/>
      <w:outlineLvl w:val="0"/>
    </w:pPr>
    <w:rPr>
      <w:rFonts w:ascii="Times New Roman" w:hAnsi="Times New Roman" w:eastAsia="方正小标宋_GBK"/>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1102</Words>
  <Characters>1132</Characters>
  <Lines>0</Lines>
  <Paragraphs>0</Paragraphs>
  <TotalTime>2</TotalTime>
  <ScaleCrop>false</ScaleCrop>
  <LinksUpToDate>false</LinksUpToDate>
  <CharactersWithSpaces>1139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2023-01-05T06:41:00Z</dcterms:created>
  <dc:creator>Sunshine  ℡</dc:creator>
  <cp:lastModifiedBy>刀尖上的舞者</cp:lastModifiedBy>
  <dcterms:modified xsi:type="dcterms:W3CDTF">2024-02-20T01:24:54Z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8F07802B8F744056BC578C267CEFCB11_13</vt:lpwstr>
  </property>
</Properties>
</file>