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hint="default" w:ascii="Times New Roman" w:hAnsi="Times New Roman" w:cs="Times New Roman"/>
          <w:spacing w:val="0"/>
          <w:w w:val="100"/>
          <w:position w:val="0"/>
          <w:sz w:val="21"/>
          <w:u w:val="none" w:color="auto"/>
        </w:rPr>
      </w:pPr>
    </w:p>
    <w:p>
      <w:pPr>
        <w:pStyle w:val="2"/>
        <w:rPr>
          <w:rFonts w:hint="default"/>
          <w:u w:val="none" w:color="auto"/>
        </w:rPr>
      </w:pPr>
    </w:p>
    <w:p>
      <w:pPr>
        <w:spacing w:line="250" w:lineRule="auto"/>
        <w:rPr>
          <w:rFonts w:hint="default" w:ascii="Times New Roman" w:hAnsi="Times New Roman" w:cs="Times New Roman"/>
          <w:spacing w:val="0"/>
          <w:w w:val="100"/>
          <w:position w:val="0"/>
          <w:sz w:val="21"/>
          <w:u w:val="none" w:color="auto"/>
        </w:rPr>
      </w:pPr>
    </w:p>
    <w:p>
      <w:pPr>
        <w:spacing w:line="250" w:lineRule="auto"/>
        <w:rPr>
          <w:rFonts w:hint="default" w:ascii="Times New Roman" w:hAnsi="Times New Roman" w:cs="Times New Roman"/>
          <w:spacing w:val="0"/>
          <w:w w:val="100"/>
          <w:position w:val="0"/>
          <w:sz w:val="21"/>
          <w:u w:val="none" w:color="auto"/>
        </w:rPr>
      </w:pPr>
    </w:p>
    <w:p>
      <w:pPr>
        <w:spacing w:line="250"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spacing w:before="156" w:line="221" w:lineRule="auto"/>
        <w:ind w:right="20"/>
        <w:jc w:val="center"/>
        <w:rPr>
          <w:rFonts w:hint="default" w:ascii="Times New Roman" w:hAnsi="Times New Roman" w:eastAsia="黑体" w:cs="Times New Roman"/>
          <w:spacing w:val="0"/>
          <w:w w:val="100"/>
          <w:position w:val="0"/>
          <w:sz w:val="48"/>
          <w:szCs w:val="48"/>
          <w:u w:val="none" w:color="auto"/>
          <w:lang w:eastAsia="zh-CN"/>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年度</w:t>
      </w:r>
      <w:r>
        <w:rPr>
          <w:rFonts w:hint="eastAsia" w:ascii="Times New Roman" w:hAnsi="Times New Roman" w:eastAsia="方正小标宋简体" w:cs="Times New Roman"/>
          <w:spacing w:val="0"/>
          <w:w w:val="100"/>
          <w:position w:val="0"/>
          <w:sz w:val="44"/>
          <w:szCs w:val="44"/>
          <w:u w:val="none" w:color="auto"/>
          <w:lang w:eastAsia="zh-CN"/>
        </w:rPr>
        <w:t>武汉东湖新技术开发区教育局（汇总）</w:t>
      </w:r>
      <w:r>
        <w:rPr>
          <w:rFonts w:hint="default" w:ascii="Times New Roman" w:hAnsi="Times New Roman" w:eastAsia="方正小标宋简体" w:cs="Times New Roman"/>
          <w:spacing w:val="0"/>
          <w:w w:val="100"/>
          <w:position w:val="0"/>
          <w:sz w:val="44"/>
          <w:szCs w:val="44"/>
          <w:u w:val="none" w:color="auto"/>
        </w:rPr>
        <w:t>部门决算公开</w:t>
      </w: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1"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spacing w:line="242" w:lineRule="auto"/>
        <w:rPr>
          <w:rFonts w:hint="default" w:ascii="Times New Roman" w:hAnsi="Times New Roman" w:cs="Times New Roman"/>
          <w:spacing w:val="0"/>
          <w:w w:val="100"/>
          <w:position w:val="0"/>
          <w:sz w:val="21"/>
          <w:u w:val="none" w:color="auto"/>
        </w:rPr>
      </w:pPr>
    </w:p>
    <w:p>
      <w:pPr>
        <w:pStyle w:val="5"/>
        <w:spacing w:before="104" w:line="224" w:lineRule="auto"/>
        <w:ind w:left="316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202</w:t>
      </w:r>
      <w:r>
        <w:rPr>
          <w:rFonts w:hint="eastAsia" w:ascii="Times New Roman" w:hAnsi="Times New Roman" w:eastAsia="仿宋_GB2312" w:cs="Times New Roman"/>
          <w:spacing w:val="0"/>
          <w:w w:val="100"/>
          <w:position w:val="0"/>
          <w:u w:val="none" w:color="auto"/>
          <w:lang w:val="en-US" w:eastAsia="zh-CN"/>
        </w:rPr>
        <w:t>5</w:t>
      </w:r>
      <w:r>
        <w:rPr>
          <w:rFonts w:hint="default" w:ascii="Times New Roman" w:hAnsi="Times New Roman" w:eastAsia="仿宋_GB2312" w:cs="Times New Roman"/>
          <w:spacing w:val="0"/>
          <w:w w:val="100"/>
          <w:position w:val="0"/>
          <w:u w:val="none" w:color="auto"/>
        </w:rPr>
        <w:t>年9月29日</w:t>
      </w:r>
    </w:p>
    <w:p>
      <w:pPr>
        <w:spacing w:line="280" w:lineRule="auto"/>
        <w:rPr>
          <w:rFonts w:hint="default" w:ascii="Times New Roman" w:hAnsi="Times New Roman" w:cs="Times New Roman"/>
          <w:spacing w:val="0"/>
          <w:w w:val="100"/>
          <w:position w:val="0"/>
          <w:sz w:val="21"/>
          <w:u w:val="none" w:color="auto"/>
        </w:rPr>
      </w:pPr>
    </w:p>
    <w:p>
      <w:pPr>
        <w:pStyle w:val="10"/>
        <w:rPr>
          <w:rFonts w:hint="default" w:ascii="Times New Roman" w:hAnsi="Times New Roman" w:cs="Times New Roman"/>
          <w:spacing w:val="0"/>
          <w:w w:val="100"/>
          <w:position w:val="0"/>
          <w:sz w:val="21"/>
          <w:u w:val="none" w:color="auto"/>
        </w:rPr>
      </w:pPr>
    </w:p>
    <w:p>
      <w:pPr>
        <w:rPr>
          <w:rFonts w:hint="default" w:ascii="Times New Roman" w:hAnsi="Times New Roman" w:cs="Times New Roman"/>
          <w:spacing w:val="0"/>
          <w:w w:val="100"/>
          <w:position w:val="0"/>
          <w:sz w:val="21"/>
          <w:u w:val="none" w:color="auto"/>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目</w:t>
      </w:r>
      <w:r>
        <w:rPr>
          <w:rFonts w:hint="default" w:ascii="Times New Roman" w:hAnsi="Times New Roman" w:eastAsia="方正小标宋简体" w:cs="Times New Roman"/>
          <w:spacing w:val="0"/>
          <w:w w:val="100"/>
          <w:position w:val="0"/>
          <w:sz w:val="44"/>
          <w:szCs w:val="44"/>
          <w:u w:val="none" w:color="auto"/>
          <w:lang w:val="en-US" w:eastAsia="zh-CN"/>
        </w:rPr>
        <w:t xml:space="preserve">     </w:t>
      </w:r>
      <w:r>
        <w:rPr>
          <w:rFonts w:hint="default" w:ascii="Times New Roman" w:hAnsi="Times New Roman" w:eastAsia="方正小标宋简体" w:cs="Times New Roman"/>
          <w:spacing w:val="0"/>
          <w:w w:val="100"/>
          <w:position w:val="0"/>
          <w:sz w:val="44"/>
          <w:szCs w:val="44"/>
          <w:u w:val="none" w:color="auto"/>
        </w:rPr>
        <w:t>录</w:t>
      </w:r>
    </w:p>
    <w:p>
      <w:pPr>
        <w:spacing w:line="251" w:lineRule="auto"/>
        <w:rPr>
          <w:rFonts w:hint="default" w:ascii="Times New Roman" w:hAnsi="Times New Roman" w:cs="Times New Roman"/>
          <w:spacing w:val="0"/>
          <w:w w:val="100"/>
          <w:position w:val="0"/>
          <w:sz w:val="21"/>
          <w:u w:val="none" w:color="auto"/>
        </w:rPr>
      </w:pPr>
    </w:p>
    <w:p>
      <w:pPr>
        <w:spacing w:line="251" w:lineRule="auto"/>
        <w:rPr>
          <w:rFonts w:hint="default" w:ascii="Times New Roman" w:hAnsi="Times New Roman" w:cs="Times New Roman"/>
          <w:spacing w:val="0"/>
          <w:w w:val="100"/>
          <w:position w:val="0"/>
          <w:sz w:val="21"/>
          <w:u w:val="none" w:color="auto"/>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武汉东湖新技术开发区教育局（汇总）</w:t>
      </w:r>
      <w:r>
        <w:rPr>
          <w:rFonts w:hint="default" w:ascii="Times New Roman" w:hAnsi="Times New Roman" w:eastAsia="黑体" w:cs="Times New Roman"/>
          <w:spacing w:val="0"/>
          <w:w w:val="100"/>
          <w:position w:val="0"/>
          <w:sz w:val="32"/>
          <w:szCs w:val="32"/>
          <w:u w:val="none" w:color="auto"/>
        </w:rPr>
        <w:t>概况</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pPr>
        <w:pStyle w:val="5"/>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eastAsia" w:ascii="Times New Roman" w:hAnsi="Times New Roman" w:eastAsia="黑体" w:cs="Times New Roman"/>
          <w:spacing w:val="0"/>
          <w:w w:val="100"/>
          <w:position w:val="0"/>
          <w:sz w:val="32"/>
          <w:szCs w:val="32"/>
          <w:u w:val="none" w:color="auto"/>
          <w:lang w:eastAsia="zh-CN"/>
        </w:rPr>
        <w:t>武汉东湖新技术开发区教育局（汇总）</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第三部分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武汉东湖新技术开发区教育局（汇总）</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第四部分  202</w:t>
      </w:r>
      <w:r>
        <w:rPr>
          <w:rFonts w:hint="eastAsia" w:ascii="Times New Roman" w:hAnsi="Times New Roman" w:eastAsia="黑体" w:cs="Times New Roman"/>
          <w:spacing w:val="0"/>
          <w:w w:val="100"/>
          <w:position w:val="0"/>
          <w:sz w:val="32"/>
          <w:u w:val="none" w:color="auto"/>
          <w:lang w:val="en-US" w:eastAsia="zh-CN"/>
        </w:rPr>
        <w:t>4</w:t>
      </w:r>
      <w:r>
        <w:rPr>
          <w:rFonts w:hint="default" w:ascii="Times New Roman" w:hAnsi="Times New Roman" w:eastAsia="黑体" w:cs="Times New Roman"/>
          <w:spacing w:val="0"/>
          <w:w w:val="100"/>
          <w:position w:val="0"/>
          <w:sz w:val="32"/>
          <w:u w:val="none" w:color="auto"/>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第六部分  附件</w:t>
      </w: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rPr>
          <w:rFonts w:hint="default" w:ascii="Times New Roman" w:hAnsi="Times New Roman" w:cs="Times New Roman"/>
          <w:u w:val="none" w:color="auto"/>
        </w:rPr>
      </w:pPr>
    </w:p>
    <w:p>
      <w:pPr>
        <w:pStyle w:val="10"/>
        <w:rPr>
          <w:rFonts w:hint="default" w:ascii="Times New Roman" w:hAnsi="Times New Roman" w:cs="Times New Roman"/>
          <w:u w:val="none" w:color="auto"/>
        </w:rPr>
      </w:pPr>
    </w:p>
    <w:p>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 xml:space="preserve">第一部分 </w:t>
      </w:r>
      <w:r>
        <w:rPr>
          <w:rFonts w:hint="eastAsia" w:ascii="Times New Roman" w:hAnsi="Times New Roman" w:eastAsia="方正小标宋简体" w:cs="Times New Roman"/>
          <w:spacing w:val="0"/>
          <w:w w:val="100"/>
          <w:position w:val="0"/>
          <w:sz w:val="44"/>
          <w:szCs w:val="44"/>
          <w:u w:val="none" w:color="auto"/>
          <w:lang w:eastAsia="zh-CN"/>
        </w:rPr>
        <w:t>武汉东湖新技术开发区教育局（汇总）</w:t>
      </w:r>
      <w:r>
        <w:rPr>
          <w:rFonts w:hint="default" w:ascii="Times New Roman" w:hAnsi="Times New Roman" w:eastAsia="方正小标宋简体" w:cs="Times New Roman"/>
          <w:spacing w:val="0"/>
          <w:w w:val="100"/>
          <w:position w:val="0"/>
          <w:sz w:val="44"/>
          <w:szCs w:val="44"/>
          <w:u w:val="none" w:color="auto"/>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highlight w:val="none"/>
          <w:u w:val="none" w:color="auto"/>
          <w:shd w:val="clear" w:color="auto" w:fill="auto"/>
        </w:rPr>
      </w:pPr>
      <w:r>
        <w:rPr>
          <w:rFonts w:hint="default" w:ascii="Times New Roman" w:hAnsi="Times New Roman" w:eastAsia="黑体" w:cs="Times New Roman"/>
          <w:color w:val="auto"/>
          <w:spacing w:val="0"/>
          <w:w w:val="100"/>
          <w:position w:val="0"/>
          <w:sz w:val="32"/>
          <w:szCs w:val="32"/>
          <w:highlight w:val="none"/>
          <w:u w:val="none" w:color="auto"/>
          <w:shd w:val="clear" w:color="auto" w:fill="auto"/>
        </w:rPr>
        <w:t>一、部门主要职责</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1.贯彻落实党和国家的教育方针政策、法律法规，研究制定东湖高新区教育发展战略、政策和规章制度并监督执行；组织编制东湖高新区教育事业中长期发展规划和阶段计划，并负责指导、协调和监督实施。</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2.会同有关部门规划、调整东湖高新区各级各类学校及幼儿园的布局，审核东湖高新区新建小区配套建设中的中小学校及幼儿园的规划、布局和教育设施的配置；按权限会同有关部门审批学校的设立、合并、撤销、变更；管理东湖高新区涉外办学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3.综合管理东湖高新区基础教育和所属职业技术教育、成人教育，按权限管理社会力量办学。</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4.参与研究和制订东湖高新区经济、科技体制改革方案，协调、指导东湖高新区办学体制和教育体制改革。</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5.会同有关部门研究制订筹措教育经费、教育基建投资、教育预算标准的政策和办法；负责提出东湖高新区教育年度经费综合预算计划建议并监督使用。负责汇总编制东湖高新区预算内、外教育经费年度决算报表，会同有关部门拟定东湖高新区教育费附加的年度使用计划。</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6.会同有关部门制定东湖高新区教育系统劳动工资及人事管理工作，协助管理东湖高新区教育系统教职工编制，指导和检查学校内设机构、岗位设置；会同主管部门做好学校、幼儿园教师及实验技术人员专业技术职务的评审工作。按规定权限，负责师资调配、教师职业资格的考核考试、认定等工作；负责教育系统内选拔专家和享受政府特殊、专项津贴人员的推荐申报工作；统筹规划并组织实施中小学校（幼儿园）教师继续教育和中小校校长（幼儿园园长）培训工作，指导教职工队伍建设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7.指导各级各类学校德育、体育、卫生、艺术工作以及劳动教育、国防教育、科技教育工作；统筹协调和指导东湖高新区青少年学生校外教育工作以及校外活动场所的建设和管理工作。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8.按权限管理东湖高新区学历教育（含具有学历效力教育）及其考试、招生工作，组织、管理继续教育和扫除青壮年文盲等工作。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9.规划、协调、指导东湖高新区教育教学科研、电化教育、教学仪器装备、勤工俭学和校办产业等工作。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10.规划并管理东湖高新区教育情报、统计资料及信息系统的开发与建设工作；规划指导东湖高新区教育现代信息技术的发展工作。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11.按规定管理东湖高新区招生考试办公室，管理所属学校和教育发展研究院等事业单位；指导教育学会、协会等教育类社团组织工作。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12.按规定管理东湖高新区学生资助管理中心，管理东湖高新区学前段、义务段、高中段贫困生资助及大学生源地助学贷款工作。</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bCs/>
          <w:color w:val="auto"/>
          <w:sz w:val="32"/>
          <w:szCs w:val="32"/>
          <w:highlight w:val="none"/>
          <w:u w:val="none" w:color="auto"/>
          <w:shd w:val="clear" w:color="auto" w:fill="auto"/>
        </w:rPr>
        <w:t>13.承办上级交办的其他事务。</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color w:val="auto"/>
          <w:spacing w:val="0"/>
          <w:w w:val="100"/>
          <w:position w:val="0"/>
          <w:sz w:val="32"/>
          <w:szCs w:val="32"/>
          <w:highlight w:val="none"/>
          <w:u w:val="none" w:color="auto"/>
          <w:shd w:val="clear" w:color="auto" w:fill="auto"/>
        </w:rPr>
      </w:pPr>
      <w:r>
        <w:rPr>
          <w:rFonts w:hint="default" w:ascii="Times New Roman" w:hAnsi="Times New Roman" w:eastAsia="黑体" w:cs="Times New Roman"/>
          <w:color w:val="auto"/>
          <w:spacing w:val="0"/>
          <w:w w:val="100"/>
          <w:position w:val="0"/>
          <w:sz w:val="32"/>
          <w:szCs w:val="32"/>
          <w:highlight w:val="none"/>
          <w:u w:val="none" w:color="auto"/>
          <w:shd w:val="clear" w:color="auto" w:fill="auto"/>
        </w:rPr>
        <w:t>二、机构设置情况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rPr>
        <w:t>从单位构成看，</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部门决算由纳入独立核算的单位本级决算和</w:t>
      </w:r>
      <w:r>
        <w:rPr>
          <w:rFonts w:hint="eastAsia" w:ascii="Times New Roman" w:hAnsi="Times New Roman" w:eastAsia="仿宋_GB2312" w:cs="Times New Roman"/>
          <w:bCs/>
          <w:color w:val="auto"/>
          <w:sz w:val="32"/>
          <w:szCs w:val="32"/>
          <w:highlight w:val="none"/>
          <w:u w:val="none" w:color="auto"/>
          <w:shd w:val="clear" w:color="auto" w:fill="auto"/>
          <w:lang w:val="en-US" w:eastAsia="zh-CN"/>
        </w:rPr>
        <w:t>0</w:t>
      </w:r>
      <w:r>
        <w:rPr>
          <w:rFonts w:hint="default" w:ascii="Times New Roman" w:hAnsi="Times New Roman" w:eastAsia="仿宋_GB2312" w:cs="Times New Roman"/>
          <w:bCs/>
          <w:color w:val="auto"/>
          <w:sz w:val="32"/>
          <w:szCs w:val="32"/>
          <w:highlight w:val="none"/>
          <w:u w:val="none" w:color="auto"/>
          <w:shd w:val="clear" w:color="auto" w:fill="auto"/>
        </w:rPr>
        <w:t>个下属单位决算组成。</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default" w:ascii="Times New Roman" w:hAnsi="Times New Roman" w:eastAsia="仿宋_GB2312" w:cs="Times New Roman"/>
          <w:bCs/>
          <w:color w:val="auto"/>
          <w:sz w:val="32"/>
          <w:szCs w:val="32"/>
          <w:highlight w:val="none"/>
          <w:u w:val="none" w:color="auto"/>
          <w:shd w:val="clear" w:color="auto" w:fill="auto"/>
        </w:rPr>
        <w:t>纳入</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202</w:t>
      </w:r>
      <w:r>
        <w:rPr>
          <w:rFonts w:hint="eastAsia" w:ascii="Times New Roman" w:hAnsi="Times New Roman" w:eastAsia="仿宋_GB2312" w:cs="Times New Roman"/>
          <w:bCs/>
          <w:color w:val="auto"/>
          <w:sz w:val="32"/>
          <w:szCs w:val="32"/>
          <w:highlight w:val="none"/>
          <w:u w:val="none" w:color="auto"/>
          <w:shd w:val="clear" w:color="auto" w:fill="auto"/>
          <w:lang w:val="en-US" w:eastAsia="zh-CN"/>
        </w:rPr>
        <w:t>4</w:t>
      </w:r>
      <w:r>
        <w:rPr>
          <w:rFonts w:hint="default" w:ascii="Times New Roman" w:hAnsi="Times New Roman" w:eastAsia="仿宋_GB2312" w:cs="Times New Roman"/>
          <w:bCs/>
          <w:color w:val="auto"/>
          <w:sz w:val="32"/>
          <w:szCs w:val="32"/>
          <w:highlight w:val="none"/>
          <w:u w:val="none" w:color="auto"/>
          <w:shd w:val="clear" w:color="auto" w:fill="auto"/>
        </w:rPr>
        <w:t>年度部门决算编制范围的二级预算单位包括：</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01武汉市光谷实验小学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02武汉市光谷第一小学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03武汉市光谷第二小学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04武汉市光谷第三小学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05武汉市光谷第四小学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06武汉市光谷第五小学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07武汉市光谷第六小学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08武汉市光谷第七小学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09武汉市光谷第八小学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10武汉市光谷第九小学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11武汉市光谷第十小学（武汉小学光谷分校）</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12武汉市光谷第十一小学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13武汉市光谷第十二小学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14武汉市光谷第十四小学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15武汉市光谷第十五小学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16武汉市光谷第十六小学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17武汉市光谷第十七小学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18武汉市光谷第十八小学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19武汉市光谷第二十一小学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20武汉市光谷第二十五小学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21武汉市光谷第二十六小学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22武汉市光谷第二十七小学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23武汉市光谷第二十八小学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24武汉市光谷第二十九小学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25武汉市光谷豹澥第一小学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26武汉东湖新技术开发区龙泉小学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27武汉市光谷第三十二小学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28武汉市光谷豹子溪小学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29武汉市光谷花城小学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30武汉新城中心小学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31武汉市光谷实验中学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32武汉市光谷第一初级中学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33武汉市光谷第二初级中学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34武汉市光谷第三初级中学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35武汉市光谷第四初级中学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36武汉市光谷汤逊湖学校</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37武汉市光谷喻家山学校</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38武汉市光谷第七初级中学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39武汉市光谷第八初级中学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40武汉市光谷左岭第一初级中学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41武汉东湖新技术开发区龙泉中学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42武汉市光谷花城初级中学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43武汉东湖新技术开发区大屋陈学校</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44武汉市光谷第二高级中学</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45武汉东湖新技术开发区流芳幼儿园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46武汉市光谷中心幼儿园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47武汉东湖新技术开发区滨湖幼儿园</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48武汉东湖新技术开发区教育发展研究院</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lang w:val="en-US" w:eastAsia="zh-CN"/>
        </w:rPr>
      </w:pPr>
      <w:r>
        <w:rPr>
          <w:rFonts w:hint="default" w:ascii="Times New Roman" w:hAnsi="Times New Roman" w:eastAsia="仿宋_GB2312" w:cs="Times New Roman"/>
          <w:bCs/>
          <w:color w:val="auto"/>
          <w:sz w:val="32"/>
          <w:szCs w:val="32"/>
          <w:highlight w:val="none"/>
          <w:u w:val="none" w:color="auto"/>
          <w:shd w:val="clear" w:color="auto" w:fill="auto"/>
          <w:lang w:val="en-US" w:eastAsia="zh-CN"/>
        </w:rPr>
        <w:t>49武汉东湖新技术开发区教育服务中心</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color w:val="auto"/>
          <w:sz w:val="32"/>
          <w:szCs w:val="32"/>
          <w:highlight w:val="none"/>
          <w:u w:val="none" w:color="auto"/>
          <w:shd w:val="clear" w:color="auto" w:fill="auto"/>
        </w:rPr>
      </w:pPr>
      <w:r>
        <w:rPr>
          <w:rFonts w:hint="eastAsia" w:ascii="Times New Roman" w:hAnsi="Times New Roman" w:eastAsia="仿宋_GB2312" w:cs="Times New Roman"/>
          <w:bCs/>
          <w:color w:val="auto"/>
          <w:sz w:val="32"/>
          <w:szCs w:val="32"/>
          <w:highlight w:val="none"/>
          <w:u w:val="none" w:color="auto"/>
          <w:shd w:val="clear" w:color="auto" w:fill="auto"/>
          <w:lang w:val="en-US" w:eastAsia="zh-CN"/>
        </w:rPr>
        <w:t>50</w:t>
      </w:r>
      <w:r>
        <w:rPr>
          <w:rFonts w:hint="default" w:ascii="Times New Roman" w:hAnsi="Times New Roman" w:eastAsia="仿宋_GB2312" w:cs="Times New Roman"/>
          <w:bCs/>
          <w:color w:val="auto"/>
          <w:sz w:val="32"/>
          <w:szCs w:val="32"/>
          <w:highlight w:val="none"/>
          <w:u w:val="none" w:color="auto"/>
          <w:shd w:val="clear" w:color="auto" w:fill="auto"/>
        </w:rPr>
        <w:t>.</w:t>
      </w:r>
      <w:r>
        <w:rPr>
          <w:rFonts w:hint="eastAsia" w:ascii="Times New Roman" w:hAnsi="Times New Roman" w:eastAsia="仿宋_GB2312" w:cs="Times New Roman"/>
          <w:bCs/>
          <w:color w:val="auto"/>
          <w:sz w:val="32"/>
          <w:szCs w:val="32"/>
          <w:highlight w:val="none"/>
          <w:u w:val="none" w:color="auto"/>
          <w:shd w:val="clear" w:color="auto" w:fill="auto"/>
          <w:lang w:eastAsia="zh-CN"/>
        </w:rPr>
        <w:t>武汉东湖新技术开发区教育局</w:t>
      </w:r>
      <w:r>
        <w:rPr>
          <w:rFonts w:hint="default" w:ascii="Times New Roman" w:hAnsi="Times New Roman" w:eastAsia="仿宋_GB2312" w:cs="Times New Roman"/>
          <w:bCs/>
          <w:color w:val="auto"/>
          <w:sz w:val="32"/>
          <w:szCs w:val="32"/>
          <w:highlight w:val="none"/>
          <w:u w:val="none" w:color="auto"/>
          <w:shd w:val="clear" w:color="auto" w:fill="auto"/>
        </w:rPr>
        <w:t>(本级)</w:t>
      </w:r>
    </w:p>
    <w:p>
      <w:pPr>
        <w:rPr>
          <w:rFonts w:hint="default"/>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pStyle w:val="2"/>
        <w:rPr>
          <w:rFonts w:hint="default"/>
          <w:u w:val="none" w:color="auto"/>
          <w:lang w:eastAsia="zh-CN"/>
        </w:rPr>
      </w:pPr>
    </w:p>
    <w:p>
      <w:pPr>
        <w:rPr>
          <w:rFonts w:hint="default"/>
          <w:u w:val="none" w:color="auto"/>
          <w:lang w:eastAsia="zh-CN"/>
        </w:rPr>
      </w:pPr>
    </w:p>
    <w:p>
      <w:pPr>
        <w:pStyle w:val="2"/>
        <w:rPr>
          <w:rFonts w:hint="default"/>
          <w:u w:val="none" w:color="auto"/>
          <w:lang w:eastAsia="zh-CN"/>
        </w:rPr>
      </w:pPr>
    </w:p>
    <w:p>
      <w:pPr>
        <w:rPr>
          <w:rFonts w:hint="default"/>
          <w:u w:val="none" w:color="auto"/>
          <w:lang w:eastAsia="zh-CN"/>
        </w:rPr>
      </w:pPr>
    </w:p>
    <w:p>
      <w:pPr>
        <w:pStyle w:val="2"/>
        <w:rPr>
          <w:rFonts w:hint="default"/>
          <w:u w:val="none" w:color="auto"/>
          <w:lang w:eastAsia="zh-CN"/>
        </w:rPr>
      </w:pPr>
    </w:p>
    <w:p>
      <w:pPr>
        <w:rPr>
          <w:rFonts w:hint="default"/>
          <w:u w:val="none" w:color="auto"/>
          <w:lang w:eastAsia="zh-CN"/>
        </w:rPr>
      </w:pPr>
    </w:p>
    <w:p>
      <w:pPr>
        <w:pStyle w:val="2"/>
        <w:rPr>
          <w:rFonts w:hint="default"/>
          <w:u w:val="none" w:color="auto"/>
          <w:lang w:eastAsia="zh-CN"/>
        </w:rPr>
      </w:pPr>
    </w:p>
    <w:p>
      <w:pPr>
        <w:rPr>
          <w:rFonts w:hint="default"/>
          <w:u w:val="none" w:color="auto"/>
          <w:lang w:eastAsia="zh-CN"/>
        </w:rPr>
      </w:pPr>
    </w:p>
    <w:p>
      <w:pPr>
        <w:rPr>
          <w:rFonts w:hint="default" w:ascii="Times New Roman" w:hAnsi="Times New Roman" w:eastAsia="仿宋_GB2312" w:cs="Times New Roman"/>
          <w:b/>
          <w:bCs/>
          <w:spacing w:val="0"/>
          <w:w w:val="100"/>
          <w:position w:val="0"/>
          <w:sz w:val="32"/>
          <w:szCs w:val="32"/>
          <w:u w:val="none" w:color="auto"/>
          <w:lang w:eastAsia="zh-CN"/>
        </w:rPr>
      </w:pPr>
    </w:p>
    <w:p>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ascii="宋体" w:hAnsi="宋体" w:eastAsia="宋体" w:cs="宋体"/>
          <w:sz w:val="24"/>
          <w:szCs w:val="24"/>
          <w:u w:val="none" w:color="auto"/>
        </w:rPr>
        <w:drawing>
          <wp:inline distT="0" distB="0" distL="114300" distR="114300">
            <wp:extent cx="5617845" cy="5937250"/>
            <wp:effectExtent l="0" t="0" r="1905" b="6350"/>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6"/>
                    <a:stretch>
                      <a:fillRect/>
                    </a:stretch>
                  </pic:blipFill>
                  <pic:spPr>
                    <a:xfrm>
                      <a:off x="0" y="0"/>
                      <a:ext cx="5617845" cy="5937250"/>
                    </a:xfrm>
                    <a:prstGeom prst="rect">
                      <a:avLst/>
                    </a:prstGeom>
                    <a:noFill/>
                    <a:ln w="9525">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90170</wp:posOffset>
            </wp:positionH>
            <wp:positionV relativeFrom="paragraph">
              <wp:posOffset>116205</wp:posOffset>
            </wp:positionV>
            <wp:extent cx="5450840" cy="3561080"/>
            <wp:effectExtent l="0" t="0" r="16510" b="1270"/>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5450840" cy="3561080"/>
                    </a:xfrm>
                    <a:prstGeom prst="rect">
                      <a:avLst/>
                    </a:prstGeom>
                    <a:noFill/>
                    <a:ln w="9525">
                      <a:noFill/>
                    </a:ln>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130175</wp:posOffset>
            </wp:positionH>
            <wp:positionV relativeFrom="paragraph">
              <wp:posOffset>107950</wp:posOffset>
            </wp:positionV>
            <wp:extent cx="5469255" cy="2456180"/>
            <wp:effectExtent l="0" t="0" r="17145" b="1270"/>
            <wp:wrapSquare wrapText="bothSides"/>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5469255" cy="2456180"/>
                    </a:xfrm>
                    <a:prstGeom prst="rect">
                      <a:avLst/>
                    </a:prstGeom>
                    <a:noFill/>
                    <a:ln w="9525">
                      <a:noFill/>
                    </a:ln>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9525</wp:posOffset>
            </wp:positionH>
            <wp:positionV relativeFrom="paragraph">
              <wp:posOffset>107315</wp:posOffset>
            </wp:positionV>
            <wp:extent cx="5633085" cy="4218940"/>
            <wp:effectExtent l="0" t="0" r="5715" b="10160"/>
            <wp:wrapSquare wrapText="bothSides"/>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9"/>
                    <a:stretch>
                      <a:fillRect/>
                    </a:stretch>
                  </pic:blipFill>
                  <pic:spPr>
                    <a:xfrm>
                      <a:off x="0" y="0"/>
                      <a:ext cx="5633085" cy="4218940"/>
                    </a:xfrm>
                    <a:prstGeom prst="rect">
                      <a:avLst/>
                    </a:prstGeom>
                    <a:noFill/>
                    <a:ln w="9525">
                      <a:noFill/>
                    </a:ln>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6350</wp:posOffset>
            </wp:positionH>
            <wp:positionV relativeFrom="paragraph">
              <wp:posOffset>23495</wp:posOffset>
            </wp:positionV>
            <wp:extent cx="5619750" cy="3109595"/>
            <wp:effectExtent l="0" t="0" r="0" b="14605"/>
            <wp:wrapSquare wrapText="bothSides"/>
            <wp:docPr id="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1"/>
                    </pic:cNvPicPr>
                  </pic:nvPicPr>
                  <pic:blipFill>
                    <a:blip r:embed="rId10"/>
                    <a:stretch>
                      <a:fillRect/>
                    </a:stretch>
                  </pic:blipFill>
                  <pic:spPr>
                    <a:xfrm>
                      <a:off x="0" y="0"/>
                      <a:ext cx="5619750" cy="3109595"/>
                    </a:xfrm>
                    <a:prstGeom prst="rect">
                      <a:avLst/>
                    </a:prstGeom>
                    <a:noFill/>
                    <a:ln w="9525">
                      <a:noFill/>
                    </a:ln>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43180</wp:posOffset>
            </wp:positionH>
            <wp:positionV relativeFrom="paragraph">
              <wp:posOffset>165735</wp:posOffset>
            </wp:positionV>
            <wp:extent cx="5570220" cy="3644265"/>
            <wp:effectExtent l="0" t="0" r="11430" b="13335"/>
            <wp:wrapSquare wrapText="bothSides"/>
            <wp:docPr id="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6"/>
                    <pic:cNvPicPr>
                      <a:picLocks noChangeAspect="1"/>
                    </pic:cNvPicPr>
                  </pic:nvPicPr>
                  <pic:blipFill>
                    <a:blip r:embed="rId11"/>
                    <a:stretch>
                      <a:fillRect/>
                    </a:stretch>
                  </pic:blipFill>
                  <pic:spPr>
                    <a:xfrm>
                      <a:off x="0" y="0"/>
                      <a:ext cx="5570220" cy="3644265"/>
                    </a:xfrm>
                    <a:prstGeom prst="rect">
                      <a:avLst/>
                    </a:prstGeom>
                    <a:noFill/>
                    <a:ln w="9525">
                      <a:noFill/>
                    </a:ln>
                  </pic:spPr>
                </pic:pic>
              </a:graphicData>
            </a:graphic>
          </wp:anchor>
        </w:drawing>
      </w:r>
    </w:p>
    <w:p>
      <w:pPr>
        <w:pStyle w:val="2"/>
        <w:rPr>
          <w:rFonts w:ascii="宋体" w:hAnsi="宋体" w:eastAsia="宋体" w:cs="宋体"/>
          <w:sz w:val="24"/>
          <w:szCs w:val="24"/>
        </w:rPr>
      </w:pPr>
    </w:p>
    <w:p>
      <w:pPr>
        <w:rPr>
          <w:rFonts w:ascii="宋体" w:hAnsi="宋体" w:eastAsia="宋体" w:cs="宋体"/>
          <w:sz w:val="24"/>
          <w:szCs w:val="24"/>
        </w:rPr>
      </w:pPr>
    </w:p>
    <w:p>
      <w:pPr>
        <w:pStyle w:val="2"/>
        <w:rPr>
          <w:rFonts w:ascii="宋体" w:hAnsi="宋体" w:eastAsia="宋体" w:cs="宋体"/>
          <w:sz w:val="24"/>
          <w:szCs w:val="24"/>
        </w:rPr>
      </w:pPr>
      <w:r>
        <w:rPr>
          <w:rFonts w:ascii="宋体" w:hAnsi="宋体" w:eastAsia="宋体" w:cs="宋体"/>
          <w:sz w:val="24"/>
          <w:szCs w:val="24"/>
        </w:rPr>
        <w:drawing>
          <wp:inline distT="0" distB="0" distL="114300" distR="114300">
            <wp:extent cx="5979160" cy="1523365"/>
            <wp:effectExtent l="0" t="0" r="2540" b="635"/>
            <wp:docPr id="1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56"/>
                    <pic:cNvPicPr>
                      <a:picLocks noChangeAspect="1"/>
                    </pic:cNvPicPr>
                  </pic:nvPicPr>
                  <pic:blipFill>
                    <a:blip r:embed="rId12"/>
                    <a:stretch>
                      <a:fillRect/>
                    </a:stretch>
                  </pic:blipFill>
                  <pic:spPr>
                    <a:xfrm>
                      <a:off x="0" y="0"/>
                      <a:ext cx="5979160" cy="1523365"/>
                    </a:xfrm>
                    <a:prstGeom prst="rect">
                      <a:avLst/>
                    </a:prstGeom>
                    <a:noFill/>
                    <a:ln w="9525">
                      <a:noFill/>
                    </a:ln>
                  </pic:spPr>
                </pic:pic>
              </a:graphicData>
            </a:graphic>
          </wp:inline>
        </w:drawing>
      </w:r>
    </w:p>
    <w:p>
      <w:pPr>
        <w:pStyle w:val="2"/>
        <w:rPr>
          <w:rFonts w:ascii="宋体" w:hAnsi="宋体" w:eastAsia="宋体" w:cs="宋体"/>
          <w:sz w:val="24"/>
          <w:szCs w:val="24"/>
        </w:rPr>
      </w:pPr>
    </w:p>
    <w:p>
      <w:pPr>
        <w:rPr>
          <w:rFonts w:ascii="宋体" w:hAnsi="宋体" w:eastAsia="宋体" w:cs="宋体"/>
          <w:sz w:val="24"/>
          <w:szCs w:val="24"/>
        </w:rPr>
      </w:pPr>
    </w:p>
    <w:p>
      <w:pPr>
        <w:pStyle w:val="2"/>
        <w:rPr>
          <w:rFonts w:ascii="宋体" w:hAnsi="宋体" w:eastAsia="宋体" w:cs="宋体"/>
          <w:sz w:val="24"/>
          <w:szCs w:val="24"/>
        </w:rPr>
      </w:pPr>
      <w:r>
        <w:rPr>
          <w:rFonts w:ascii="宋体" w:hAnsi="宋体" w:eastAsia="宋体" w:cs="宋体"/>
          <w:sz w:val="24"/>
          <w:szCs w:val="24"/>
        </w:rPr>
        <w:drawing>
          <wp:inline distT="0" distB="0" distL="114300" distR="114300">
            <wp:extent cx="5926455" cy="2308225"/>
            <wp:effectExtent l="0" t="0" r="17145" b="15875"/>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13"/>
                    <a:stretch>
                      <a:fillRect/>
                    </a:stretch>
                  </pic:blipFill>
                  <pic:spPr>
                    <a:xfrm>
                      <a:off x="0" y="0"/>
                      <a:ext cx="5926455" cy="2308225"/>
                    </a:xfrm>
                    <a:prstGeom prst="rect">
                      <a:avLst/>
                    </a:prstGeom>
                    <a:noFill/>
                    <a:ln w="9525">
                      <a:noFill/>
                    </a:ln>
                  </pic:spPr>
                </pic:pic>
              </a:graphicData>
            </a:graphic>
          </wp:inline>
        </w:drawing>
      </w:r>
    </w:p>
    <w:p>
      <w:pPr>
        <w:pStyle w:val="2"/>
        <w:rPr>
          <w:rFonts w:ascii="宋体" w:hAnsi="宋体" w:eastAsia="宋体" w:cs="宋体"/>
          <w:sz w:val="24"/>
          <w:szCs w:val="24"/>
        </w:rPr>
      </w:pPr>
    </w:p>
    <w:p>
      <w:pPr>
        <w:pStyle w:val="2"/>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drawing>
          <wp:inline distT="0" distB="0" distL="114300" distR="114300">
            <wp:extent cx="6276975" cy="1656715"/>
            <wp:effectExtent l="0" t="0" r="9525" b="635"/>
            <wp:docPr id="1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56"/>
                    <pic:cNvPicPr>
                      <a:picLocks noChangeAspect="1"/>
                    </pic:cNvPicPr>
                  </pic:nvPicPr>
                  <pic:blipFill>
                    <a:blip r:embed="rId14"/>
                    <a:stretch>
                      <a:fillRect/>
                    </a:stretch>
                  </pic:blipFill>
                  <pic:spPr>
                    <a:xfrm>
                      <a:off x="0" y="0"/>
                      <a:ext cx="6276975" cy="1656715"/>
                    </a:xfrm>
                    <a:prstGeom prst="rect">
                      <a:avLst/>
                    </a:prstGeom>
                    <a:noFill/>
                    <a:ln w="9525">
                      <a:noFill/>
                    </a:ln>
                  </pic:spPr>
                </pic:pic>
              </a:graphicData>
            </a:graphic>
          </wp:inline>
        </w:drawing>
      </w:r>
    </w:p>
    <w:p>
      <w:pPr>
        <w:pStyle w:val="2"/>
        <w:rPr>
          <w:rFonts w:ascii="宋体" w:hAnsi="宋体" w:eastAsia="宋体" w:cs="宋体"/>
          <w:sz w:val="24"/>
          <w:szCs w:val="24"/>
        </w:rPr>
      </w:pPr>
    </w:p>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pStyle w:val="2"/>
        <w:rPr>
          <w:rFonts w:ascii="宋体" w:hAnsi="宋体" w:eastAsia="宋体" w:cs="宋体"/>
          <w:sz w:val="24"/>
          <w:szCs w:val="24"/>
        </w:rPr>
      </w:pPr>
    </w:p>
    <w:p>
      <w:pPr>
        <w:rPr>
          <w:rFonts w:ascii="宋体" w:hAnsi="宋体" w:eastAsia="宋体" w:cs="宋体"/>
          <w:sz w:val="24"/>
          <w:szCs w:val="24"/>
        </w:rPr>
      </w:pPr>
    </w:p>
    <w:p>
      <w:pPr>
        <w:pStyle w:val="2"/>
        <w:rPr>
          <w:rFonts w:ascii="宋体" w:hAnsi="宋体" w:eastAsia="宋体" w:cs="宋体"/>
          <w:sz w:val="24"/>
          <w:szCs w:val="24"/>
        </w:rPr>
      </w:pPr>
    </w:p>
    <w:p>
      <w:pPr>
        <w:rPr>
          <w:rFonts w:ascii="宋体" w:hAnsi="宋体" w:eastAsia="宋体" w:cs="宋体"/>
          <w:sz w:val="24"/>
          <w:szCs w:val="24"/>
        </w:rPr>
      </w:pPr>
    </w:p>
    <w:p>
      <w:pPr>
        <w:pStyle w:val="2"/>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u w:val="none" w:color="auto"/>
        </w:rPr>
      </w:pPr>
      <w:r>
        <w:rPr>
          <w:rFonts w:hint="eastAsia" w:ascii="Times New Roman" w:hAnsi="Times New Roman" w:eastAsia="方正小标宋_GBK" w:cs="Times New Roman"/>
          <w:spacing w:val="-23"/>
          <w:sz w:val="44"/>
          <w:szCs w:val="44"/>
          <w:u w:val="none" w:color="auto"/>
          <w:lang w:eastAsia="zh-CN"/>
        </w:rPr>
        <w:t>武汉东湖新技术开发区教育局（汇总）</w:t>
      </w:r>
      <w:r>
        <w:rPr>
          <w:rFonts w:hint="default" w:ascii="Times New Roman" w:hAnsi="Times New Roman" w:eastAsia="方正小标宋_GBK" w:cs="Times New Roman"/>
          <w:spacing w:val="-23"/>
          <w:sz w:val="44"/>
          <w:szCs w:val="44"/>
          <w:u w:val="none" w:color="auto"/>
        </w:rPr>
        <w:t>202</w:t>
      </w:r>
      <w:r>
        <w:rPr>
          <w:rFonts w:hint="eastAsia" w:ascii="Times New Roman" w:hAnsi="Times New Roman" w:eastAsia="方正小标宋_GBK" w:cs="Times New Roman"/>
          <w:spacing w:val="-23"/>
          <w:sz w:val="44"/>
          <w:szCs w:val="44"/>
          <w:u w:val="none" w:color="auto"/>
          <w:lang w:val="en-US" w:eastAsia="zh-CN"/>
        </w:rPr>
        <w:t>4</w:t>
      </w:r>
      <w:r>
        <w:rPr>
          <w:rFonts w:hint="default" w:ascii="Times New Roman" w:hAnsi="Times New Roman" w:eastAsia="方正小标宋_GBK" w:cs="Times New Roman"/>
          <w:spacing w:val="-23"/>
          <w:sz w:val="44"/>
          <w:szCs w:val="44"/>
          <w:u w:val="none" w:color="auto"/>
        </w:rPr>
        <w:t>年度部门决算情况说明</w:t>
      </w:r>
    </w:p>
    <w:p>
      <w:pPr>
        <w:rPr>
          <w:rFonts w:hint="default" w:ascii="Times New Roman" w:hAnsi="Times New Roman" w:cs="Times New Roman"/>
          <w:u w:val="none" w:color="auto"/>
        </w:rPr>
      </w:pPr>
    </w:p>
    <w:p>
      <w:pPr>
        <w:rPr>
          <w:rFonts w:hint="default" w:ascii="Times New Roman" w:hAnsi="Times New Roman" w:cs="Times New Roman"/>
          <w:u w:val="none" w:color="auto"/>
          <w:lang w:val="en-US" w:eastAsia="zh-CN"/>
        </w:rPr>
      </w:pPr>
    </w:p>
    <w:p>
      <w:pPr>
        <w:spacing w:before="10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一、收入支出决算总体情况说明</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年度收、支总计283568.98万元。与202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spacing w:val="-1"/>
          <w:u w:val="none" w:color="auto"/>
        </w:rPr>
        <w:t>支总计各增加</w:t>
      </w:r>
      <w:r>
        <w:rPr>
          <w:rFonts w:hint="eastAsia" w:ascii="Times New Roman" w:hAnsi="Times New Roman" w:eastAsia="仿宋_GB2312" w:cs="Times New Roman"/>
          <w:spacing w:val="-1"/>
          <w:u w:val="none" w:color="auto"/>
          <w:lang w:val="en-US" w:eastAsia="zh-CN"/>
        </w:rPr>
        <w:t>28529.89</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spacing w:val="-1"/>
          <w:u w:val="none" w:color="auto"/>
          <w:lang w:val="en-US" w:eastAsia="zh-CN"/>
        </w:rPr>
        <w:t>11.2</w:t>
      </w:r>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default" w:ascii="Times New Roman" w:hAnsi="Times New Roman" w:eastAsia="仿宋_GB2312" w:cs="Times New Roman"/>
          <w:spacing w:val="-14"/>
          <w:u w:val="none" w:color="auto"/>
        </w:rPr>
        <w:t>。</w:t>
      </w:r>
    </w:p>
    <w:p>
      <w:pPr>
        <w:pStyle w:val="5"/>
        <w:spacing w:before="74" w:line="224" w:lineRule="auto"/>
        <w:jc w:val="center"/>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图1：收、支决算总计变动情况</w:t>
      </w:r>
    </w:p>
    <w:p>
      <w:pPr>
        <w:pStyle w:val="5"/>
        <w:spacing w:before="74" w:line="224" w:lineRule="auto"/>
        <w:jc w:val="center"/>
        <w:rPr>
          <w:rFonts w:hint="default" w:ascii="Times New Roman" w:hAnsi="Times New Roman" w:eastAsia="楷体_GB2312" w:cs="Times New Roman"/>
          <w:spacing w:val="3"/>
          <w:sz w:val="32"/>
          <w:szCs w:val="32"/>
          <w:u w:val="none" w:color="auto"/>
        </w:rPr>
      </w:pPr>
    </w:p>
    <w:p>
      <w:pPr>
        <w:pStyle w:val="5"/>
        <w:spacing w:before="74" w:line="224" w:lineRule="auto"/>
        <w:jc w:val="center"/>
        <w:rPr>
          <w:rFonts w:hint="default" w:ascii="Times New Roman" w:hAnsi="Times New Roman" w:eastAsia="黑体" w:cs="Times New Roman"/>
          <w:spacing w:val="-2"/>
          <w:sz w:val="32"/>
          <w:szCs w:val="32"/>
          <w:u w:val="none" w:color="auto"/>
        </w:rPr>
      </w:pPr>
      <w:r>
        <w:rPr>
          <w:rFonts w:hint="eastAsia" w:ascii="仿宋_GB2312" w:hAnsi="宋体" w:eastAsia="仿宋_GB2312"/>
          <w:bCs/>
          <w:sz w:val="32"/>
          <w:szCs w:val="32"/>
          <w:highlight w:val="none"/>
          <w:u w:val="none" w:color="auto"/>
        </w:rPr>
        <w:object>
          <v:shape id="_x0000_i1035" o:spt="75" alt="" type="#_x0000_t75" style="height:222.75pt;width:396pt;" o:ole="t" filled="f" o:preferrelative="t" stroked="f" coordsize="21600,21600">
            <v:path/>
            <v:fill on="f" focussize="0,0"/>
            <v:stroke on="f"/>
            <v:imagedata r:id="rId16" o:title=""/>
            <o:lock v:ext="edit" aspectratio="t"/>
            <w10:wrap type="none"/>
            <w10:anchorlock/>
          </v:shape>
          <o:OLEObject Type="Embed" ProgID="Excel.Chart.8" ShapeID="_x0000_i1035" DrawAspect="Content" ObjectID="_1468075725" r:id="rId15">
            <o:LockedField>false</o:LockedField>
          </o:OLEObject>
        </w:object>
      </w:r>
    </w:p>
    <w:p>
      <w:pPr>
        <w:spacing w:before="29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年度收入合计283270.77万元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sz w:val="32"/>
          <w:szCs w:val="32"/>
          <w:highlight w:val="none"/>
          <w:u w:val="none" w:color="auto"/>
          <w:lang w:val="en-US" w:eastAsia="zh-CN"/>
        </w:rPr>
        <w:t>与2023年度相比，收入合计增加31937.65万元，增长12.7%，主要原因是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bCs/>
          <w:kern w:val="44"/>
          <w:sz w:val="32"/>
          <w:szCs w:val="32"/>
          <w:highlight w:val="none"/>
          <w:u w:val="none" w:color="auto"/>
        </w:rPr>
        <w:t>其中：财政拨款收入272754.01万元，占本年收入</w:t>
      </w:r>
      <w:r>
        <w:rPr>
          <w:rFonts w:hint="eastAsia" w:ascii="仿宋_GB2312" w:hAnsi="仿宋_GB2312" w:eastAsia="仿宋_GB2312" w:cs="仿宋_GB2312"/>
          <w:bCs/>
          <w:kern w:val="44"/>
          <w:sz w:val="32"/>
          <w:szCs w:val="32"/>
          <w:highlight w:val="none"/>
          <w:u w:val="none" w:color="auto"/>
          <w:lang w:val="en-US" w:eastAsia="zh-CN"/>
        </w:rPr>
        <w:t>96.3</w:t>
      </w:r>
      <w:r>
        <w:rPr>
          <w:rFonts w:hint="eastAsia" w:ascii="仿宋_GB2312" w:hAnsi="仿宋_GB2312" w:eastAsia="仿宋_GB2312" w:cs="仿宋_GB2312"/>
          <w:bCs/>
          <w:kern w:val="44"/>
          <w:sz w:val="32"/>
          <w:szCs w:val="32"/>
          <w:highlight w:val="none"/>
          <w:u w:val="none" w:color="auto"/>
        </w:rPr>
        <w:t>%；事业收入720.82万元，占本年收入</w:t>
      </w:r>
      <w:r>
        <w:rPr>
          <w:rFonts w:hint="eastAsia" w:ascii="仿宋_GB2312" w:hAnsi="仿宋_GB2312" w:eastAsia="仿宋_GB2312" w:cs="仿宋_GB2312"/>
          <w:bCs/>
          <w:kern w:val="44"/>
          <w:sz w:val="32"/>
          <w:szCs w:val="32"/>
          <w:highlight w:val="none"/>
          <w:u w:val="none" w:color="auto"/>
          <w:lang w:val="en-US" w:eastAsia="zh-CN"/>
        </w:rPr>
        <w:t>0.3</w:t>
      </w:r>
      <w:r>
        <w:rPr>
          <w:rFonts w:hint="eastAsia" w:ascii="仿宋_GB2312" w:hAnsi="仿宋_GB2312" w:eastAsia="仿宋_GB2312" w:cs="仿宋_GB2312"/>
          <w:bCs/>
          <w:kern w:val="44"/>
          <w:sz w:val="32"/>
          <w:szCs w:val="32"/>
          <w:highlight w:val="none"/>
          <w:u w:val="none" w:color="auto"/>
        </w:rPr>
        <w:t>%；其他收入9795.94万元，占本年收入</w:t>
      </w:r>
      <w:r>
        <w:rPr>
          <w:rFonts w:hint="eastAsia" w:ascii="仿宋_GB2312" w:hAnsi="仿宋_GB2312" w:eastAsia="仿宋_GB2312" w:cs="仿宋_GB2312"/>
          <w:bCs/>
          <w:kern w:val="44"/>
          <w:sz w:val="32"/>
          <w:szCs w:val="32"/>
          <w:highlight w:val="none"/>
          <w:u w:val="none" w:color="auto"/>
          <w:lang w:val="en-US" w:eastAsia="zh-CN"/>
        </w:rPr>
        <w:t>3.4</w:t>
      </w:r>
      <w:r>
        <w:rPr>
          <w:rFonts w:hint="eastAsia" w:ascii="仿宋_GB2312" w:hAnsi="仿宋_GB2312" w:eastAsia="仿宋_GB2312" w:cs="仿宋_GB2312"/>
          <w:bCs/>
          <w:kern w:val="44"/>
          <w:sz w:val="32"/>
          <w:szCs w:val="32"/>
          <w:highlight w:val="none"/>
          <w:u w:val="none" w:color="auto"/>
        </w:rPr>
        <w:t>%。</w:t>
      </w:r>
    </w:p>
    <w:p>
      <w:pPr>
        <w:pStyle w:val="5"/>
        <w:spacing w:before="220" w:line="223" w:lineRule="auto"/>
        <w:jc w:val="center"/>
        <w:outlineLvl w:val="1"/>
        <w:rPr>
          <w:rFonts w:hint="default" w:ascii="Times New Roman" w:hAnsi="Times New Roman" w:eastAsia="仿宋_GB2312" w:cs="Times New Roman"/>
          <w:b/>
          <w:bCs/>
          <w:spacing w:val="-6"/>
          <w:u w:val="none" w:color="auto"/>
          <w:lang w:val="en-US" w:eastAsia="zh-CN"/>
        </w:rPr>
      </w:pPr>
      <w:r>
        <w:rPr>
          <w:rFonts w:hint="eastAsia" w:ascii="Times New Roman" w:hAnsi="Times New Roman" w:eastAsia="仿宋_GB2312" w:cs="Times New Roman"/>
          <w:b/>
          <w:bCs/>
          <w:spacing w:val="-6"/>
          <w:u w:val="none" w:color="auto"/>
          <w:lang w:val="en-US" w:eastAsia="zh-CN"/>
        </w:rPr>
        <w:t>（</w:t>
      </w:r>
      <w:r>
        <w:rPr>
          <w:rFonts w:hint="default" w:ascii="Times New Roman" w:hAnsi="Times New Roman" w:eastAsia="仿宋_GB2312" w:cs="Times New Roman"/>
          <w:b/>
          <w:bCs/>
          <w:spacing w:val="-6"/>
          <w:u w:val="none" w:color="auto"/>
          <w:lang w:val="en-US" w:eastAsia="zh-CN"/>
        </w:rPr>
        <w:t>只需说明本部门核算使用的预算收入类会计科目</w:t>
      </w:r>
      <w:r>
        <w:rPr>
          <w:rFonts w:hint="eastAsia" w:ascii="Times New Roman" w:hAnsi="Times New Roman" w:eastAsia="仿宋_GB2312" w:cs="Times New Roman"/>
          <w:b/>
          <w:bCs/>
          <w:spacing w:val="-6"/>
          <w:u w:val="none" w:color="auto"/>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图2：收入决算结构</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p>
    <w:p>
      <w:pPr>
        <w:spacing w:line="269" w:lineRule="auto"/>
        <w:jc w:val="center"/>
        <w:rPr>
          <w:rFonts w:hint="default" w:ascii="Times New Roman" w:hAnsi="Times New Roman" w:cs="Times New Roman"/>
          <w:sz w:val="21"/>
          <w:u w:val="none" w:color="auto"/>
        </w:rPr>
      </w:pPr>
      <w:r>
        <w:rPr>
          <w:highlight w:val="none"/>
          <w:u w:val="none" w:color="auto"/>
        </w:rPr>
        <w:object>
          <v:shape id="_x0000_i1036" o:spt="75" alt="" type="#_x0000_t75" style="height:262.25pt;width:262pt;" o:ole="t" filled="f" o:preferrelative="t" stroked="f" coordsize="21600,21600">
            <v:path/>
            <v:fill on="f" focussize="0,0"/>
            <v:stroke on="f"/>
            <v:imagedata r:id="rId18" o:title=""/>
            <o:lock v:ext="edit" aspectratio="t"/>
            <w10:wrap type="none"/>
            <w10:anchorlock/>
          </v:shape>
          <o:OLEObject Type="Embed" ProgID="Excel.Chart.8" ShapeID="_x0000_i1036" DrawAspect="Content" ObjectID="_1468075726" r:id="rId17">
            <o:LockedField>false</o:LockedField>
          </o:OLEObject>
        </w:object>
      </w:r>
    </w:p>
    <w:p>
      <w:pPr>
        <w:rPr>
          <w:rFonts w:hint="default" w:ascii="Times New Roman" w:hAnsi="Times New Roman" w:cs="Times New Roman"/>
          <w:sz w:val="21"/>
          <w:u w:val="none" w:color="auto"/>
        </w:rPr>
      </w:pPr>
    </w:p>
    <w:p>
      <w:pPr>
        <w:spacing w:line="241" w:lineRule="auto"/>
        <w:rPr>
          <w:rFonts w:hint="default" w:ascii="Times New Roman" w:hAnsi="Times New Roman" w:cs="Times New Roman"/>
          <w:sz w:val="21"/>
          <w:u w:val="none" w:color="auto"/>
        </w:rPr>
      </w:pPr>
    </w:p>
    <w:p>
      <w:pPr>
        <w:spacing w:before="104" w:line="222" w:lineRule="auto"/>
        <w:ind w:left="642"/>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pacing w:val="-6"/>
          <w:u w:val="none" w:color="auto"/>
          <w:lang w:eastAsia="zh-CN"/>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年度支出合计283167.82万元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sz w:val="32"/>
          <w:szCs w:val="32"/>
          <w:u w:val="none" w:color="auto"/>
          <w:lang w:val="en-US" w:eastAsia="zh-CN"/>
        </w:rPr>
        <w:t>与2023年度相比，支出合计增加28446.58万元，增长11.2%，主要原因是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bCs/>
          <w:kern w:val="44"/>
          <w:sz w:val="32"/>
          <w:szCs w:val="32"/>
          <w:highlight w:val="none"/>
          <w:u w:val="none" w:color="auto"/>
        </w:rPr>
        <w:t>其中：基本支出168637.7万元，占本年支出</w:t>
      </w:r>
      <w:r>
        <w:rPr>
          <w:rFonts w:hint="eastAsia" w:ascii="仿宋_GB2312" w:hAnsi="仿宋_GB2312" w:eastAsia="仿宋_GB2312" w:cs="仿宋_GB2312"/>
          <w:bCs/>
          <w:kern w:val="44"/>
          <w:sz w:val="32"/>
          <w:szCs w:val="32"/>
          <w:highlight w:val="none"/>
          <w:u w:val="none" w:color="auto"/>
          <w:lang w:val="en-US" w:eastAsia="zh-CN"/>
        </w:rPr>
        <w:t>59.6</w:t>
      </w:r>
      <w:r>
        <w:rPr>
          <w:rFonts w:hint="eastAsia" w:ascii="仿宋_GB2312" w:hAnsi="仿宋_GB2312" w:eastAsia="仿宋_GB2312" w:cs="仿宋_GB2312"/>
          <w:bCs/>
          <w:kern w:val="44"/>
          <w:sz w:val="32"/>
          <w:szCs w:val="32"/>
          <w:highlight w:val="none"/>
          <w:u w:val="none" w:color="auto"/>
        </w:rPr>
        <w:t>%；项目支出114530.12万元，占本年支出</w:t>
      </w:r>
      <w:r>
        <w:rPr>
          <w:rFonts w:hint="eastAsia" w:ascii="仿宋_GB2312" w:hAnsi="仿宋_GB2312" w:eastAsia="仿宋_GB2312" w:cs="仿宋_GB2312"/>
          <w:bCs/>
          <w:kern w:val="44"/>
          <w:sz w:val="32"/>
          <w:szCs w:val="32"/>
          <w:highlight w:val="none"/>
          <w:u w:val="none" w:color="auto"/>
          <w:lang w:val="en-US" w:eastAsia="zh-CN"/>
        </w:rPr>
        <w:t>40.4</w:t>
      </w:r>
      <w:r>
        <w:rPr>
          <w:rFonts w:hint="eastAsia" w:ascii="仿宋_GB2312" w:hAnsi="仿宋_GB2312" w:eastAsia="仿宋_GB2312" w:cs="仿宋_GB2312"/>
          <w:bCs/>
          <w:kern w:val="44"/>
          <w:sz w:val="32"/>
          <w:szCs w:val="32"/>
          <w:highlight w:val="none"/>
          <w:u w:val="none" w:color="auto"/>
        </w:rPr>
        <w:t>%。</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图3：支出决算结构</w:t>
      </w:r>
    </w:p>
    <w:p>
      <w:pPr>
        <w:spacing w:before="223" w:line="4723" w:lineRule="exact"/>
        <w:ind w:firstLine="819"/>
        <w:rPr>
          <w:rFonts w:hint="default" w:ascii="Times New Roman" w:hAnsi="Times New Roman" w:cs="Times New Roman"/>
          <w:sz w:val="21"/>
          <w:u w:val="none" w:color="auto"/>
        </w:rPr>
      </w:pPr>
      <w:r>
        <w:rPr>
          <w:rFonts w:hint="eastAsia" w:eastAsia="仿宋_GB2312"/>
          <w:highlight w:val="none"/>
          <w:u w:val="none" w:color="auto"/>
        </w:rPr>
        <w:object>
          <v:shape id="_x0000_i1038" o:spt="75" alt="" type="#_x0000_t75" style="height:195.7pt;width:178.45pt;" o:ole="t" filled="f" o:preferrelative="t" stroked="f" coordsize="21600,21600">
            <v:path/>
            <v:fill on="f" focussize="0,0"/>
            <v:stroke on="f"/>
            <v:imagedata r:id="rId20" o:title=""/>
            <o:lock v:ext="edit" aspectratio="t"/>
            <w10:wrap type="none"/>
            <w10:anchorlock/>
          </v:shape>
          <o:OLEObject Type="Embed" ProgID="Excel.Chart.8" ShapeID="_x0000_i1038" DrawAspect="Content" ObjectID="_1468075727" r:id="rId19">
            <o:LockedField>false</o:LockedField>
          </o:OLEObject>
        </w:object>
      </w:r>
    </w:p>
    <w:p>
      <w:pPr>
        <w:rPr>
          <w:rFonts w:hint="default" w:ascii="Times New Roman" w:hAnsi="Times New Roman" w:cs="Times New Roman"/>
          <w:u w:val="none" w:color="auto"/>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年度财政拨款收、支总计272754.01万元。与20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相比，财政拨款收、支总计各增加</w:t>
      </w:r>
      <w:r>
        <w:rPr>
          <w:rFonts w:hint="eastAsia" w:ascii="仿宋_GB2312" w:hAnsi="仿宋_GB2312" w:eastAsia="仿宋_GB2312" w:cs="仿宋_GB2312"/>
          <w:bCs/>
          <w:kern w:val="44"/>
          <w:sz w:val="32"/>
          <w:szCs w:val="32"/>
          <w:highlight w:val="none"/>
          <w:u w:val="none" w:color="auto"/>
          <w:lang w:val="en-US" w:eastAsia="zh-CN"/>
        </w:rPr>
        <w:t>26951.39</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11</w:t>
      </w:r>
      <w:r>
        <w:rPr>
          <w:rFonts w:hint="eastAsia" w:ascii="仿宋_GB2312" w:hAnsi="仿宋_GB2312" w:eastAsia="仿宋_GB2312" w:cs="仿宋_GB2312"/>
          <w:bCs/>
          <w:kern w:val="44"/>
          <w:sz w:val="32"/>
          <w:szCs w:val="32"/>
          <w:highlight w:val="none"/>
          <w:u w:val="none" w:color="auto"/>
        </w:rPr>
        <w:t>%。主要原因是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eastAsia" w:ascii="仿宋_GB2312" w:hAnsi="仿宋_GB2312" w:eastAsia="仿宋_GB2312" w:cs="仿宋_GB2312"/>
          <w:bCs/>
          <w:kern w:val="44"/>
          <w:sz w:val="32"/>
          <w:szCs w:val="32"/>
          <w:highlight w:val="none"/>
          <w:u w:val="none" w:color="auto"/>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2024年度财政拨款收入中，一般公共预算财政拨款收入</w:t>
      </w:r>
      <w:r>
        <w:rPr>
          <w:rFonts w:hint="eastAsia" w:ascii="仿宋_GB2312" w:hAnsi="仿宋_GB2312" w:eastAsia="仿宋_GB2312" w:cs="仿宋_GB2312"/>
          <w:bCs/>
          <w:kern w:val="44"/>
          <w:sz w:val="32"/>
          <w:szCs w:val="32"/>
          <w:highlight w:val="none"/>
          <w:u w:val="none" w:color="auto"/>
        </w:rPr>
        <w:t>269930.26</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w:t>
      </w:r>
      <w:r>
        <w:rPr>
          <w:rFonts w:hint="eastAsia" w:ascii="仿宋_GB2312" w:hAnsi="仿宋_GB2312" w:eastAsia="仿宋_GB2312" w:cs="仿宋_GB2312"/>
          <w:bCs/>
          <w:kern w:val="44"/>
          <w:sz w:val="32"/>
          <w:szCs w:val="32"/>
          <w:highlight w:val="none"/>
          <w:u w:val="none" w:color="auto"/>
          <w:lang w:val="en-US" w:eastAsia="zh-CN"/>
        </w:rPr>
        <w:t>24162.94</w:t>
      </w:r>
      <w:r>
        <w:rPr>
          <w:rFonts w:hint="eastAsia" w:ascii="仿宋_GB2312" w:hAnsi="仿宋_GB2312" w:eastAsia="仿宋_GB2312" w:cs="仿宋_GB2312"/>
          <w:sz w:val="32"/>
          <w:szCs w:val="32"/>
          <w:u w:val="none" w:color="auto"/>
          <w:lang w:val="en-US" w:eastAsia="zh-CN"/>
        </w:rPr>
        <w:t>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rPr>
        <w:t>主要原因是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政府性基金预算财政拨款收入</w:t>
      </w:r>
      <w:r>
        <w:rPr>
          <w:rFonts w:hint="eastAsia" w:ascii="仿宋_GB2312" w:hAnsi="仿宋_GB2312" w:eastAsia="仿宋_GB2312" w:cs="仿宋_GB2312"/>
          <w:sz w:val="32"/>
          <w:szCs w:val="32"/>
          <w:u w:val="none" w:color="auto"/>
          <w:lang w:val="en-US" w:eastAsia="zh-CN"/>
        </w:rPr>
        <w:t>2823.75万元，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2023年度决算数增加2788.45万元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增加超长期国债</w:t>
      </w:r>
      <w:r>
        <w:rPr>
          <w:rFonts w:hint="eastAsia" w:ascii="仿宋_GB2312" w:hAnsi="仿宋_GB2312" w:eastAsia="仿宋_GB2312" w:cs="仿宋_GB2312"/>
          <w:sz w:val="32"/>
          <w:szCs w:val="32"/>
          <w:u w:val="none" w:color="auto"/>
        </w:rPr>
        <w:t>。</w:t>
      </w:r>
    </w:p>
    <w:p>
      <w:pPr>
        <w:rPr>
          <w:rFonts w:hint="default" w:ascii="Times New Roman" w:hAnsi="Times New Roman" w:eastAsia="仿宋_GB2312" w:cs="Times New Roman"/>
          <w:spacing w:val="0"/>
          <w:sz w:val="32"/>
          <w:u w:val="none" w:color="auto"/>
          <w:lang w:eastAsia="zh-CN"/>
        </w:rPr>
      </w:pPr>
      <w:r>
        <w:rPr>
          <w:rFonts w:hint="default" w:ascii="Times New Roman" w:hAnsi="Times New Roman" w:eastAsia="仿宋_GB2312" w:cs="Times New Roman"/>
          <w:spacing w:val="0"/>
          <w:sz w:val="32"/>
          <w:u w:val="none" w:color="auto"/>
          <w:lang w:eastAsia="zh-CN"/>
        </w:rPr>
        <w:br w:type="page"/>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u w:val="none" w:color="auto"/>
          <w:lang w:val="en-US" w:eastAsia="zh-CN"/>
        </w:rPr>
      </w:pPr>
      <w:r>
        <w:rPr>
          <w:rFonts w:hint="default" w:ascii="Times New Roman" w:hAnsi="Times New Roman" w:eastAsia="楷体_GB2312" w:cs="Times New Roman"/>
          <w:spacing w:val="3"/>
          <w:sz w:val="32"/>
          <w:szCs w:val="32"/>
          <w:u w:val="none" w:color="auto"/>
        </w:rPr>
        <w:t>图4：财政拨款收、支决算总计变动情况</w:t>
      </w:r>
    </w:p>
    <w:p>
      <w:pPr>
        <w:jc w:val="center"/>
        <w:rPr>
          <w:rFonts w:hint="default" w:ascii="Times New Roman" w:hAnsi="Times New Roman" w:cs="Times New Roman"/>
          <w:u w:val="none" w:color="auto"/>
          <w:lang w:val="en-US" w:eastAsia="zh-CN"/>
        </w:rPr>
      </w:pPr>
      <w:r>
        <w:rPr>
          <w:rFonts w:hint="default" w:ascii="Times New Roman" w:hAnsi="Times New Roman" w:eastAsia="仿宋_GB2312" w:cs="Times New Roman"/>
          <w:bCs/>
          <w:sz w:val="32"/>
          <w:szCs w:val="32"/>
          <w:highlight w:val="none"/>
          <w:u w:val="none" w:color="auto"/>
        </w:rPr>
        <w:object>
          <v:shape id="_x0000_i1039" o:spt="75" alt="" type="#_x0000_t75" style="height:236.05pt;width:377.3pt;" o:ole="t" filled="f" o:preferrelative="t" stroked="f" coordsize="21600,21600">
            <v:path/>
            <v:fill on="f" focussize="0,0"/>
            <v:stroke on="f"/>
            <v:imagedata r:id="rId22" o:title=""/>
            <o:lock v:ext="edit" aspectratio="t"/>
            <w10:wrap type="none"/>
            <w10:anchorlock/>
          </v:shape>
          <o:OLEObject Type="Embed" ProgID="Excel.Chart.8" ShapeID="_x0000_i1039" DrawAspect="Content" ObjectID="_1468075728" r:id="rId21">
            <o:LockedField>false</o:LockedField>
          </o:OLEObject>
        </w:objec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u w:val="none" w:color="auto"/>
        </w:rPr>
      </w:pPr>
      <w:r>
        <w:rPr>
          <w:rFonts w:hint="default" w:ascii="Times New Roman" w:hAnsi="Times New Roman" w:eastAsia="黑体" w:cs="Times New Roman"/>
          <w:spacing w:val="0"/>
          <w:sz w:val="32"/>
          <w:szCs w:val="32"/>
          <w:u w:val="none" w:color="auto"/>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color="auto"/>
        </w:rPr>
      </w:pP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lang w:val="en-US" w:eastAsia="zh-CN"/>
        </w:rPr>
        <w:t>一</w:t>
      </w: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rPr>
        <w:t>一般公共预算财政拨款支出决算总体情况</w:t>
      </w:r>
    </w:p>
    <w:p>
      <w:pPr>
        <w:pStyle w:val="5"/>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财政拨款支出269930.26万元，占本年支出合计的</w:t>
      </w:r>
      <w:r>
        <w:rPr>
          <w:rFonts w:hint="eastAsia" w:ascii="仿宋_GB2312" w:hAnsi="仿宋_GB2312" w:eastAsia="仿宋_GB2312" w:cs="仿宋_GB2312"/>
          <w:bCs/>
          <w:kern w:val="44"/>
          <w:sz w:val="32"/>
          <w:szCs w:val="32"/>
          <w:highlight w:val="none"/>
          <w:u w:val="none" w:color="auto"/>
          <w:lang w:val="en-US" w:eastAsia="zh-CN"/>
        </w:rPr>
        <w:t>95.2</w:t>
      </w:r>
      <w:r>
        <w:rPr>
          <w:rFonts w:hint="eastAsia" w:ascii="仿宋_GB2312" w:hAnsi="仿宋_GB2312" w:eastAsia="仿宋_GB2312" w:cs="仿宋_GB2312"/>
          <w:bCs/>
          <w:kern w:val="44"/>
          <w:sz w:val="32"/>
          <w:szCs w:val="32"/>
          <w:highlight w:val="none"/>
          <w:u w:val="none" w:color="auto"/>
        </w:rPr>
        <w:t>%。与20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财政拨款支出增加</w:t>
      </w:r>
      <w:r>
        <w:rPr>
          <w:rFonts w:hint="eastAsia" w:ascii="仿宋_GB2312" w:hAnsi="仿宋_GB2312" w:eastAsia="仿宋_GB2312" w:cs="仿宋_GB2312"/>
          <w:bCs/>
          <w:kern w:val="44"/>
          <w:sz w:val="32"/>
          <w:szCs w:val="32"/>
          <w:highlight w:val="none"/>
          <w:u w:val="none" w:color="auto"/>
          <w:lang w:val="en-US" w:eastAsia="zh-CN"/>
        </w:rPr>
        <w:t>24162.94</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9.8</w:t>
      </w:r>
      <w:r>
        <w:rPr>
          <w:rFonts w:hint="eastAsia" w:ascii="仿宋_GB2312" w:hAnsi="仿宋_GB2312" w:eastAsia="仿宋_GB2312" w:cs="仿宋_GB2312"/>
          <w:bCs/>
          <w:kern w:val="44"/>
          <w:sz w:val="32"/>
          <w:szCs w:val="32"/>
          <w:highlight w:val="none"/>
          <w:u w:val="none" w:color="auto"/>
        </w:rPr>
        <w:t>%。主要原因是</w:t>
      </w:r>
      <w:r>
        <w:rPr>
          <w:rFonts w:hint="eastAsia" w:ascii="Times New Roman" w:hAnsi="Times New Roman" w:eastAsia="仿宋_GB2312" w:cs="Times New Roman"/>
          <w:bCs/>
          <w:kern w:val="44"/>
          <w:sz w:val="32"/>
          <w:szCs w:val="32"/>
          <w:u w:val="none" w:color="auto"/>
          <w:lang w:val="en-US" w:eastAsia="zh-CN"/>
        </w:rPr>
        <w:t>新建学校及设备购置增长</w:t>
      </w:r>
      <w:r>
        <w:rPr>
          <w:rFonts w:hint="eastAsia" w:ascii="仿宋_GB2312" w:hAnsi="仿宋_GB2312" w:eastAsia="仿宋_GB2312" w:cs="仿宋_GB2312"/>
          <w:bCs/>
          <w:kern w:val="44"/>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w:t>
      </w:r>
      <w:r>
        <w:rPr>
          <w:rFonts w:hint="eastAsia" w:ascii="仿宋_GB2312" w:hAnsi="仿宋_GB2312" w:eastAsia="仿宋_GB2312" w:cs="仿宋_GB2312"/>
          <w:bCs/>
          <w:kern w:val="44"/>
          <w:sz w:val="32"/>
          <w:szCs w:val="32"/>
          <w:highlight w:val="none"/>
          <w:u w:val="none" w:color="auto"/>
        </w:rPr>
        <w:t>269930.26</w:t>
      </w:r>
      <w:r>
        <w:rPr>
          <w:rFonts w:hint="eastAsia" w:ascii="仿宋_GB2312" w:hAnsi="仿宋_GB2312" w:eastAsia="仿宋_GB2312" w:cs="仿宋_GB2312"/>
          <w:bCs/>
          <w:kern w:val="44"/>
          <w:sz w:val="32"/>
          <w:szCs w:val="32"/>
          <w:highlight w:val="none"/>
          <w:u w:val="none" w:color="auto"/>
        </w:rPr>
        <w:t>万元，主要用于以下方面：</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u w:val="none" w:color="auto"/>
          <w:lang w:val="en-US"/>
        </w:rPr>
      </w:pPr>
      <w:r>
        <w:rPr>
          <w:rFonts w:hint="eastAsia" w:ascii="Times New Roman" w:hAnsi="Times New Roman" w:eastAsia="仿宋_GB2312" w:cs="Times New Roman"/>
          <w:bCs/>
          <w:snapToGrid w:val="0"/>
          <w:color w:val="000000"/>
          <w:kern w:val="44"/>
          <w:sz w:val="32"/>
          <w:szCs w:val="32"/>
          <w:u w:val="none" w:color="auto"/>
          <w:lang w:val="en-US" w:eastAsia="zh-CN" w:bidi="ar-SA"/>
        </w:rPr>
        <w:t>1.</w:t>
      </w:r>
      <w:r>
        <w:rPr>
          <w:rFonts w:hint="default" w:ascii="Times New Roman" w:hAnsi="Times New Roman" w:eastAsia="仿宋_GB2312" w:cs="Times New Roman"/>
          <w:bCs/>
          <w:snapToGrid w:val="0"/>
          <w:color w:val="000000"/>
          <w:kern w:val="44"/>
          <w:sz w:val="32"/>
          <w:szCs w:val="32"/>
          <w:u w:val="none" w:color="auto"/>
          <w:lang w:val="en-US" w:eastAsia="zh-CN" w:bidi="ar-SA"/>
        </w:rPr>
        <w:t>教育支出(类)教育管理事务</w:t>
      </w:r>
      <w:r>
        <w:rPr>
          <w:rFonts w:hint="eastAsia" w:ascii="Times New Roman" w:hAnsi="Times New Roman" w:eastAsia="仿宋_GB2312" w:cs="Times New Roman"/>
          <w:bCs/>
          <w:snapToGrid w:val="0"/>
          <w:color w:val="000000"/>
          <w:kern w:val="44"/>
          <w:sz w:val="32"/>
          <w:szCs w:val="32"/>
          <w:u w:val="none" w:color="auto"/>
          <w:lang w:val="en-US" w:eastAsia="zh-CN" w:bidi="ar-SA"/>
        </w:rPr>
        <w:t>（款）一般行政管理事务（项）801.74万元。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eastAsia" w:ascii="Times New Roman" w:hAnsi="Times New Roman" w:eastAsia="仿宋_GB2312" w:cs="Times New Roman"/>
          <w:bCs/>
          <w:kern w:val="44"/>
          <w:sz w:val="32"/>
          <w:szCs w:val="32"/>
          <w:u w:val="none" w:color="auto"/>
          <w:lang w:val="en-US" w:eastAsia="zh-CN"/>
        </w:rPr>
        <w:t>2</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）学前教育（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18109.81万元。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3</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）小学教育（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115137.75万元。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4</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）初中教育（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54391.1万元。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5</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）高中教育（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9658.65万元。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6</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）其他普通教育支出（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19999.06万元。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7</w:t>
      </w:r>
      <w:r>
        <w:rPr>
          <w:rFonts w:hint="default" w:ascii="Times New Roman" w:hAnsi="Times New Roman" w:eastAsia="仿宋_GB2312" w:cs="Times New Roman"/>
          <w:bCs/>
          <w:kern w:val="44"/>
          <w:sz w:val="32"/>
          <w:szCs w:val="32"/>
          <w:u w:val="none" w:color="auto"/>
        </w:rPr>
        <w:t>.教育支出(类)进修及培训</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）教师进修（</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198.68万元。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u w:val="none" w:color="auto"/>
          <w:lang w:eastAsia="zh-CN"/>
        </w:rPr>
      </w:pPr>
      <w:r>
        <w:rPr>
          <w:rFonts w:hint="eastAsia" w:ascii="Times New Roman" w:hAnsi="Times New Roman" w:eastAsia="仿宋_GB2312" w:cs="Times New Roman"/>
          <w:bCs/>
          <w:color w:val="auto"/>
          <w:kern w:val="44"/>
          <w:sz w:val="32"/>
          <w:szCs w:val="32"/>
          <w:u w:val="none" w:color="auto"/>
          <w:lang w:val="en-US" w:eastAsia="zh-CN"/>
        </w:rPr>
        <w:t>8</w:t>
      </w:r>
      <w:r>
        <w:rPr>
          <w:rFonts w:hint="default" w:ascii="Times New Roman" w:hAnsi="Times New Roman" w:eastAsia="仿宋_GB2312" w:cs="Times New Roman"/>
          <w:bCs/>
          <w:color w:val="auto"/>
          <w:kern w:val="44"/>
          <w:sz w:val="32"/>
          <w:szCs w:val="32"/>
          <w:u w:val="none" w:color="auto"/>
        </w:rPr>
        <w:t>.</w:t>
      </w:r>
      <w:r>
        <w:rPr>
          <w:rFonts w:hint="default" w:ascii="Times New Roman" w:hAnsi="Times New Roman" w:eastAsia="仿宋_GB2312" w:cs="Times New Roman"/>
          <w:snapToGrid w:val="0"/>
          <w:color w:val="auto"/>
          <w:spacing w:val="-5"/>
          <w:kern w:val="0"/>
          <w:sz w:val="32"/>
          <w:szCs w:val="32"/>
          <w:u w:val="none" w:color="auto"/>
          <w:lang w:val="en-US" w:eastAsia="zh-CN" w:bidi="ar-SA"/>
        </w:rPr>
        <w:t>文化旅游体育与传媒支出(类)</w:t>
      </w:r>
      <w:r>
        <w:rPr>
          <w:rFonts w:hint="eastAsia" w:ascii="Times New Roman" w:hAnsi="Times New Roman" w:eastAsia="仿宋_GB2312" w:cs="Times New Roman"/>
          <w:snapToGrid w:val="0"/>
          <w:color w:val="auto"/>
          <w:spacing w:val="-5"/>
          <w:kern w:val="0"/>
          <w:sz w:val="32"/>
          <w:szCs w:val="32"/>
          <w:u w:val="none" w:color="auto"/>
          <w:lang w:val="en-US" w:eastAsia="zh-CN" w:bidi="ar-SA"/>
        </w:rPr>
        <w:t>体育</w:t>
      </w:r>
      <w:r>
        <w:rPr>
          <w:rFonts w:hint="default" w:ascii="Times New Roman" w:hAnsi="Times New Roman" w:eastAsia="仿宋_GB2312" w:cs="Times New Roman"/>
          <w:snapToGrid w:val="0"/>
          <w:color w:val="auto"/>
          <w:spacing w:val="-5"/>
          <w:kern w:val="0"/>
          <w:sz w:val="32"/>
          <w:szCs w:val="32"/>
          <w:u w:val="none" w:color="auto"/>
          <w:lang w:val="en-US" w:eastAsia="zh-CN" w:bidi="ar-SA"/>
        </w:rPr>
        <w:t>(款)体育竞赛(项)</w:t>
      </w:r>
      <w:r>
        <w:rPr>
          <w:rFonts w:hint="default" w:ascii="Times New Roman" w:hAnsi="Times New Roman" w:eastAsia="仿宋_GB2312" w:cs="Times New Roman"/>
          <w:bCs/>
          <w:color w:val="auto"/>
          <w:kern w:val="44"/>
          <w:sz w:val="32"/>
          <w:szCs w:val="32"/>
          <w:u w:val="none" w:color="auto"/>
        </w:rPr>
        <w:t>10.4万元。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eastAsia" w:ascii="Times New Roman" w:hAnsi="Times New Roman" w:eastAsia="仿宋_GB2312" w:cs="Times New Roman"/>
          <w:bCs/>
          <w:kern w:val="44"/>
          <w:sz w:val="32"/>
          <w:szCs w:val="32"/>
          <w:u w:val="none" w:color="auto"/>
          <w:lang w:val="en-US" w:eastAsia="zh-CN"/>
        </w:rPr>
        <w:t>9</w:t>
      </w:r>
      <w:r>
        <w:rPr>
          <w:rFonts w:hint="default" w:ascii="Times New Roman" w:hAnsi="Times New Roman" w:eastAsia="仿宋_GB2312" w:cs="Times New Roman"/>
          <w:bCs/>
          <w:kern w:val="44"/>
          <w:sz w:val="32"/>
          <w:szCs w:val="32"/>
          <w:u w:val="none" w:color="auto"/>
        </w:rPr>
        <w:t>.社会保障和就业支出(类)行政事业单位养老支出</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）机关事业单位基本养老保险缴费支出（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10976.8万元。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u w:val="none" w:color="auto"/>
        </w:rPr>
      </w:pPr>
      <w:r>
        <w:rPr>
          <w:rFonts w:hint="eastAsia" w:ascii="Times New Roman" w:hAnsi="Times New Roman" w:eastAsia="仿宋_GB2312" w:cs="Times New Roman"/>
          <w:bCs/>
          <w:kern w:val="44"/>
          <w:sz w:val="32"/>
          <w:szCs w:val="32"/>
          <w:u w:val="none" w:color="auto"/>
          <w:lang w:val="en-US" w:eastAsia="zh-CN"/>
        </w:rPr>
        <w:t>10</w:t>
      </w:r>
      <w:r>
        <w:rPr>
          <w:rFonts w:hint="default" w:ascii="Times New Roman" w:hAnsi="Times New Roman" w:eastAsia="仿宋_GB2312" w:cs="Times New Roman"/>
          <w:bCs/>
          <w:kern w:val="44"/>
          <w:sz w:val="32"/>
          <w:szCs w:val="32"/>
          <w:u w:val="none" w:color="auto"/>
        </w:rPr>
        <w:t>.社会保障和就业支出(类)行政事业单位养老支出</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）机关事业单位职业年金缴费支出（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665.48</w:t>
      </w:r>
      <w:r>
        <w:rPr>
          <w:rFonts w:hint="default" w:ascii="Times New Roman" w:hAnsi="Times New Roman" w:eastAsia="仿宋_GB2312" w:cs="Times New Roman"/>
          <w:bCs/>
          <w:kern w:val="44"/>
          <w:sz w:val="32"/>
          <w:szCs w:val="32"/>
          <w:u w:val="none" w:color="auto"/>
        </w:rPr>
        <w:t>万元。</w:t>
      </w:r>
    </w:p>
    <w:p>
      <w:pPr>
        <w:rPr>
          <w:rFonts w:hint="default" w:ascii="Times New Roman" w:hAnsi="Times New Roman" w:cs="Times New Roman"/>
          <w:spacing w:val="0"/>
          <w:sz w:val="32"/>
          <w:u w:val="none" w:color="auto"/>
        </w:rPr>
      </w:pPr>
      <w:r>
        <w:rPr>
          <w:rFonts w:hint="default" w:ascii="Times New Roman" w:hAnsi="Times New Roman" w:cs="Times New Roman"/>
          <w:spacing w:val="0"/>
          <w:sz w:val="32"/>
          <w:u w:val="none" w:color="auto"/>
        </w:rPr>
        <w:br w:type="page"/>
      </w:r>
    </w:p>
    <w:p>
      <w:pPr>
        <w:pStyle w:val="5"/>
        <w:keepNext w:val="0"/>
        <w:keepLines w:val="0"/>
        <w:pageBreakBefore w:val="0"/>
        <w:wordWrap/>
        <w:overflowPunct/>
        <w:topLinePunct w:val="0"/>
        <w:autoSpaceDE w:val="0"/>
        <w:autoSpaceDN w:val="0"/>
        <w:bidi w:val="0"/>
        <w:adjustRightInd w:val="0"/>
        <w:snapToGrid w:val="0"/>
        <w:spacing w:line="560" w:lineRule="exact"/>
        <w:ind w:right="0" w:firstLine="311" w:firstLineChars="1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b/>
          <w:bCs/>
          <w:spacing w:val="-5"/>
          <w:u w:val="none" w:color="auto"/>
          <w:lang w:eastAsia="zh-CN"/>
        </w:rPr>
        <w:t>（</w:t>
      </w:r>
      <w:r>
        <w:rPr>
          <w:rFonts w:hint="default" w:ascii="Times New Roman" w:hAnsi="Times New Roman" w:eastAsia="仿宋_GB2312" w:cs="Times New Roman"/>
          <w:b/>
          <w:bCs/>
          <w:spacing w:val="-5"/>
          <w:u w:val="none" w:color="auto"/>
        </w:rPr>
        <w:t>按一般公共预算财政拨款支出功能分类类级科目列举，只需说明本部门核算使用的支出功能分类科目</w:t>
      </w:r>
      <w:r>
        <w:rPr>
          <w:rFonts w:hint="eastAsia" w:ascii="Times New Roman" w:hAnsi="Times New Roman" w:eastAsia="仿宋_GB2312" w:cs="Times New Roman"/>
          <w:b/>
          <w:bCs/>
          <w:spacing w:val="-5"/>
          <w:u w:val="none" w:color="auto"/>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16"/>
          <w:u w:val="none" w:color="auto"/>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eastAsia" w:ascii="Times New Roman" w:hAnsi="Times New Roman" w:eastAsia="仿宋_GB2312" w:cs="Times New Roman"/>
          <w:spacing w:val="54"/>
          <w:u w:val="none" w:color="auto"/>
          <w:lang w:val="en-US" w:eastAsia="zh-CN"/>
        </w:rPr>
        <w:t>246000</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1"/>
          <w:u w:val="none" w:color="auto"/>
        </w:rPr>
        <w:t>支出决算为269930.26万元，完成年初预算的</w:t>
      </w:r>
      <w:r>
        <w:rPr>
          <w:rFonts w:hint="eastAsia" w:ascii="Times New Roman" w:hAnsi="Times New Roman" w:eastAsia="仿宋_GB2312" w:cs="Times New Roman"/>
          <w:spacing w:val="-1"/>
          <w:u w:val="none" w:color="auto"/>
          <w:lang w:val="en-US" w:eastAsia="zh-CN"/>
        </w:rPr>
        <w:t>109.7</w:t>
      </w:r>
      <w:r>
        <w:rPr>
          <w:rFonts w:hint="default" w:ascii="Times New Roman" w:hAnsi="Times New Roman" w:eastAsia="仿宋_GB2312" w:cs="Times New Roman"/>
          <w:spacing w:val="-1"/>
          <w:u w:val="none" w:color="auto"/>
        </w:rPr>
        <w:t>%。其中：基本支出161231.5</w:t>
      </w:r>
      <w:r>
        <w:rPr>
          <w:rFonts w:hint="default" w:ascii="Times New Roman" w:hAnsi="Times New Roman" w:eastAsia="仿宋_GB2312" w:cs="Times New Roman"/>
          <w:spacing w:val="-6"/>
          <w:u w:val="none" w:color="auto"/>
        </w:rPr>
        <w:t>万元，项目支出108698.76万元。项目支出主要用于</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教育培训经费198.68</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教育发展建设专项9609.7</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教育事业发展专项35672</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教育业务管理经费801</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教育费附加专项39980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w:t>
      </w:r>
      <w:r>
        <w:rPr>
          <w:rFonts w:hint="eastAsia" w:ascii="Times New Roman" w:hAnsi="Times New Roman" w:eastAsia="仿宋_GB2312" w:cs="Times New Roman"/>
          <w:snapToGrid w:val="0"/>
          <w:color w:val="000000"/>
          <w:spacing w:val="-5"/>
          <w:kern w:val="0"/>
          <w:sz w:val="32"/>
          <w:szCs w:val="32"/>
          <w:u w:val="none" w:color="auto"/>
          <w:lang w:val="en-US" w:eastAsia="zh-CN" w:bidi="ar-SA"/>
        </w:rPr>
        <w:t>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义务教育免费提供教科书2074</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12万元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改善普通高中学校办学条件省级专项资金159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76万元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城乡义务教育补助经费(免费教科书)1239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1</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城乡义务教育经费保障机制省级资金-免费教科书138万元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城乡义务教育经费省级资金(民办义务段学生学杂费补助)9</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79万元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城乡义务教育补助经费(公用经费)864</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21万元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城乡义务教育经费保障机制省级资金(公用经费)182</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2</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学前教育发展补助省级资金(第二批)913</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6万元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武汉新城教育基础设施项目（一般债券）10000万元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全国性大型体育赛事10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4万元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中小学体卫艺专项7</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75万元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基础教育经费保障机制55万元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教育保障机制及重点项目补助40万元</w:t>
      </w:r>
    </w:p>
    <w:p>
      <w:pPr>
        <w:pStyle w:val="5"/>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学校专项经费6741.16万元</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76" w:firstLineChars="200"/>
        <w:rPr>
          <w:rFonts w:hint="default" w:ascii="Times New Roman" w:hAnsi="Times New Roman" w:eastAsia="仿宋_GB2312" w:cs="Times New Roman"/>
          <w:spacing w:val="-16"/>
          <w:u w:val="none" w:color="auto"/>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7"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b/>
          <w:bCs/>
          <w:spacing w:val="-4"/>
          <w:u w:val="none" w:color="auto"/>
          <w:lang w:eastAsia="zh-CN"/>
        </w:rPr>
        <w:t>（</w:t>
      </w:r>
      <w:r>
        <w:rPr>
          <w:rFonts w:hint="default" w:ascii="Times New Roman" w:hAnsi="Times New Roman" w:eastAsia="仿宋_GB2312" w:cs="Times New Roman"/>
          <w:b/>
          <w:bCs/>
          <w:spacing w:val="-4"/>
          <w:u w:val="none" w:color="auto"/>
        </w:rPr>
        <w:t>一般公共预算财政拨款支出决算具体情况，按支出功能分类项级科目逐类分析，只需说明本部门核算使用的科目</w:t>
      </w:r>
      <w:r>
        <w:rPr>
          <w:rFonts w:hint="eastAsia" w:ascii="Times New Roman" w:hAnsi="Times New Roman" w:eastAsia="仿宋_GB2312" w:cs="Times New Roman"/>
          <w:b/>
          <w:bCs/>
          <w:spacing w:val="-4"/>
          <w:u w:val="none" w:color="auto"/>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u w:val="none" w:color="auto"/>
          <w:lang w:val="en-US"/>
        </w:rPr>
      </w:pPr>
      <w:r>
        <w:rPr>
          <w:rFonts w:hint="eastAsia" w:ascii="Times New Roman" w:hAnsi="Times New Roman" w:eastAsia="仿宋_GB2312" w:cs="Times New Roman"/>
          <w:bCs/>
          <w:snapToGrid w:val="0"/>
          <w:color w:val="000000"/>
          <w:kern w:val="44"/>
          <w:sz w:val="32"/>
          <w:szCs w:val="32"/>
          <w:u w:val="none" w:color="auto"/>
          <w:lang w:val="en-US" w:eastAsia="zh-CN" w:bidi="ar-SA"/>
        </w:rPr>
        <w:t>1.</w:t>
      </w:r>
      <w:r>
        <w:rPr>
          <w:rFonts w:hint="default" w:ascii="Times New Roman" w:hAnsi="Times New Roman" w:eastAsia="仿宋_GB2312" w:cs="Times New Roman"/>
          <w:bCs/>
          <w:snapToGrid w:val="0"/>
          <w:color w:val="000000"/>
          <w:kern w:val="44"/>
          <w:sz w:val="32"/>
          <w:szCs w:val="32"/>
          <w:u w:val="none" w:color="auto"/>
          <w:lang w:val="en-US" w:eastAsia="zh-CN" w:bidi="ar-SA"/>
        </w:rPr>
        <w:t>教育支出(类)教育管理事务</w:t>
      </w:r>
      <w:r>
        <w:rPr>
          <w:rFonts w:hint="eastAsia" w:ascii="Times New Roman" w:hAnsi="Times New Roman" w:eastAsia="仿宋_GB2312" w:cs="Times New Roman"/>
          <w:bCs/>
          <w:snapToGrid w:val="0"/>
          <w:color w:val="000000"/>
          <w:kern w:val="44"/>
          <w:sz w:val="32"/>
          <w:szCs w:val="32"/>
          <w:u w:val="none" w:color="auto"/>
          <w:lang w:val="en-US" w:eastAsia="zh-CN" w:bidi="ar-SA"/>
        </w:rPr>
        <w:t>（款）一般行政管理事务（项）</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预算932.33万元，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801.74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86</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%，支出决算数小于年初预算数的主要原因：</w:t>
      </w:r>
      <w:r>
        <w:rPr>
          <w:rFonts w:hint="eastAsia" w:ascii="Times New Roman" w:hAnsi="Times New Roman" w:eastAsia="仿宋_GB2312" w:cs="Times New Roman"/>
          <w:snapToGrid w:val="0"/>
          <w:color w:val="000000"/>
          <w:spacing w:val="-5"/>
          <w:kern w:val="0"/>
          <w:sz w:val="32"/>
          <w:szCs w:val="32"/>
          <w:u w:val="none" w:color="auto"/>
          <w:lang w:val="en-US" w:eastAsia="zh-CN" w:bidi="ar-SA"/>
        </w:rPr>
        <w:t>过紧日子，压减开支</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2</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）学前教育（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预算12564.79万元，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18109.81万元</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144.1</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3</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）小学教育（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预算101757.73万元，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115137.75万元。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113.1</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r>
        <w:rPr>
          <w:rFonts w:hint="eastAsia" w:ascii="Times New Roman" w:hAnsi="Times New Roman" w:eastAsia="仿宋_GB2312" w:cs="Times New Roman"/>
          <w:bCs/>
          <w:kern w:val="44"/>
          <w:sz w:val="32"/>
          <w:szCs w:val="32"/>
          <w:u w:val="none" w:color="auto"/>
          <w:lang w:val="en-US" w:eastAsia="zh-CN"/>
        </w:rPr>
        <w:t>4</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）初中教育（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预算49492.44万元，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54391.1万元。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109.9</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u w:val="none" w:color="auto"/>
          <w:lang w:eastAsia="zh-CN"/>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lang w:val="en-US" w:eastAsia="zh-CN"/>
        </w:rPr>
      </w:pPr>
      <w:r>
        <w:rPr>
          <w:rFonts w:hint="eastAsia" w:ascii="Times New Roman" w:hAnsi="Times New Roman" w:eastAsia="仿宋_GB2312" w:cs="Times New Roman"/>
          <w:bCs/>
          <w:kern w:val="44"/>
          <w:sz w:val="32"/>
          <w:szCs w:val="32"/>
          <w:u w:val="none" w:color="auto"/>
          <w:lang w:val="en-US" w:eastAsia="zh-CN"/>
        </w:rPr>
        <w:t>5</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）高中教育（</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预算7933.3，</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9658.65万元。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121.7%</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lang w:val="en-US" w:eastAsia="zh-CN"/>
        </w:rPr>
      </w:pPr>
      <w:r>
        <w:rPr>
          <w:rFonts w:hint="eastAsia" w:ascii="Times New Roman" w:hAnsi="Times New Roman" w:eastAsia="仿宋_GB2312" w:cs="Times New Roman"/>
          <w:bCs/>
          <w:kern w:val="44"/>
          <w:sz w:val="32"/>
          <w:szCs w:val="32"/>
          <w:u w:val="none" w:color="auto"/>
          <w:lang w:val="en-US" w:eastAsia="zh-CN"/>
        </w:rPr>
        <w:t>6</w:t>
      </w:r>
      <w:r>
        <w:rPr>
          <w:rFonts w:hint="default" w:ascii="Times New Roman" w:hAnsi="Times New Roman" w:eastAsia="仿宋_GB2312" w:cs="Times New Roman"/>
          <w:bCs/>
          <w:kern w:val="44"/>
          <w:sz w:val="32"/>
          <w:szCs w:val="32"/>
          <w:u w:val="none" w:color="auto"/>
        </w:rPr>
        <w:t>.教育支出(类)普通教育</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）其他普通教育支出（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w:t>
      </w:r>
      <w:r>
        <w:rPr>
          <w:rFonts w:hint="eastAsia" w:ascii="Times New Roman" w:hAnsi="Times New Roman" w:eastAsia="仿宋_GB2312" w:cs="Times New Roman"/>
          <w:snapToGrid w:val="0"/>
          <w:color w:val="000000"/>
          <w:spacing w:val="-5"/>
          <w:kern w:val="0"/>
          <w:sz w:val="32"/>
          <w:szCs w:val="32"/>
          <w:u w:val="none" w:color="auto"/>
          <w:lang w:val="en-US" w:eastAsia="zh-CN" w:bidi="ar-SA"/>
        </w:rPr>
        <w:t>预算20087.93万元。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19999.06万元。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99.6%。</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7</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.教育支出(类)进修及培训(款)教师进修(项)。年初预算为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200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198.69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99.3</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%，支出决算数小于年初预算数的主要原因：</w:t>
      </w:r>
      <w:r>
        <w:rPr>
          <w:rFonts w:hint="eastAsia" w:ascii="Times New Roman" w:hAnsi="Times New Roman" w:eastAsia="仿宋_GB2312" w:cs="Times New Roman"/>
          <w:snapToGrid w:val="0"/>
          <w:color w:val="000000"/>
          <w:spacing w:val="-5"/>
          <w:kern w:val="0"/>
          <w:sz w:val="32"/>
          <w:szCs w:val="32"/>
          <w:u w:val="none" w:color="auto"/>
          <w:lang w:val="en-US" w:eastAsia="zh-CN" w:bidi="ar-SA"/>
        </w:rPr>
        <w:t>过紧日子，压减开支</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u w:val="none" w:color="auto"/>
          <w:lang w:eastAsia="zh-CN"/>
        </w:rPr>
      </w:pPr>
      <w:r>
        <w:rPr>
          <w:rFonts w:hint="eastAsia" w:ascii="Times New Roman" w:hAnsi="Times New Roman" w:eastAsia="仿宋_GB2312" w:cs="Times New Roman"/>
          <w:bCs/>
          <w:color w:val="auto"/>
          <w:kern w:val="44"/>
          <w:sz w:val="32"/>
          <w:szCs w:val="32"/>
          <w:u w:val="none" w:color="auto"/>
          <w:lang w:val="en-US" w:eastAsia="zh-CN"/>
        </w:rPr>
        <w:t>8</w:t>
      </w:r>
      <w:r>
        <w:rPr>
          <w:rFonts w:hint="default" w:ascii="Times New Roman" w:hAnsi="Times New Roman" w:eastAsia="仿宋_GB2312" w:cs="Times New Roman"/>
          <w:bCs/>
          <w:color w:val="auto"/>
          <w:kern w:val="44"/>
          <w:sz w:val="32"/>
          <w:szCs w:val="32"/>
          <w:u w:val="none" w:color="auto"/>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文化旅游体育与传媒支出(类)</w:t>
      </w:r>
      <w:r>
        <w:rPr>
          <w:rFonts w:hint="eastAsia" w:ascii="Times New Roman" w:hAnsi="Times New Roman" w:eastAsia="仿宋_GB2312" w:cs="Times New Roman"/>
          <w:snapToGrid w:val="0"/>
          <w:color w:val="000000"/>
          <w:spacing w:val="-5"/>
          <w:kern w:val="0"/>
          <w:sz w:val="32"/>
          <w:szCs w:val="32"/>
          <w:u w:val="none" w:color="auto"/>
          <w:lang w:val="en-US" w:eastAsia="zh-CN" w:bidi="ar-SA"/>
        </w:rPr>
        <w:t>体育</w:t>
      </w:r>
      <w:r>
        <w:rPr>
          <w:rFonts w:hint="default" w:ascii="Times New Roman" w:hAnsi="Times New Roman" w:eastAsia="仿宋_GB2312" w:cs="Times New Roman"/>
          <w:snapToGrid w:val="0"/>
          <w:color w:val="000000"/>
          <w:spacing w:val="-5"/>
          <w:kern w:val="0"/>
          <w:sz w:val="32"/>
          <w:szCs w:val="32"/>
          <w:u w:val="none" w:color="auto"/>
          <w:lang w:val="en-US" w:eastAsia="zh-CN" w:bidi="ar-SA"/>
        </w:rPr>
        <w:t>(款)体育竞赛(项)。年初预算为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10.4</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100</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%，支出决算数大于年初预算数。</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eastAsia" w:ascii="Times New Roman" w:hAnsi="Times New Roman" w:eastAsia="仿宋_GB2312" w:cs="Times New Roman"/>
          <w:bCs/>
          <w:kern w:val="44"/>
          <w:sz w:val="32"/>
          <w:szCs w:val="32"/>
          <w:u w:val="none" w:color="auto"/>
          <w:lang w:val="en-US" w:eastAsia="zh-CN"/>
        </w:rPr>
        <w:t>9</w:t>
      </w:r>
      <w:r>
        <w:rPr>
          <w:rFonts w:hint="default" w:ascii="Times New Roman" w:hAnsi="Times New Roman" w:eastAsia="仿宋_GB2312" w:cs="Times New Roman"/>
          <w:bCs/>
          <w:kern w:val="44"/>
          <w:sz w:val="32"/>
          <w:szCs w:val="32"/>
          <w:u w:val="none" w:color="auto"/>
        </w:rPr>
        <w:t>.社会保障和就业支出(类)行政事业单位养老支出</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）机关事业单位基本养老保险缴费支出（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12331.22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default" w:ascii="Times New Roman" w:hAnsi="Times New Roman" w:eastAsia="仿宋_GB2312" w:cs="Times New Roman"/>
          <w:bCs/>
          <w:kern w:val="44"/>
          <w:sz w:val="32"/>
          <w:szCs w:val="32"/>
          <w:u w:val="none" w:color="auto"/>
        </w:rPr>
        <w:t>10976.8万元。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89</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eastAsia" w:ascii="Times New Roman" w:hAnsi="Times New Roman" w:eastAsia="仿宋_GB2312" w:cs="Times New Roman"/>
          <w:bCs/>
          <w:kern w:val="44"/>
          <w:sz w:val="32"/>
          <w:szCs w:val="32"/>
          <w:u w:val="none" w:color="auto"/>
          <w:lang w:val="en-US" w:eastAsia="zh-CN"/>
        </w:rPr>
        <w:t>10</w:t>
      </w:r>
      <w:r>
        <w:rPr>
          <w:rFonts w:hint="default" w:ascii="Times New Roman" w:hAnsi="Times New Roman" w:eastAsia="仿宋_GB2312" w:cs="Times New Roman"/>
          <w:bCs/>
          <w:kern w:val="44"/>
          <w:sz w:val="32"/>
          <w:szCs w:val="32"/>
          <w:u w:val="none" w:color="auto"/>
        </w:rPr>
        <w:t>.社会保障和就业支出(类)行政事业单位养老支出</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款</w:t>
      </w:r>
      <w:r>
        <w:rPr>
          <w:rFonts w:hint="eastAsia" w:ascii="Times New Roman" w:hAnsi="Times New Roman" w:eastAsia="仿宋_GB2312" w:cs="Times New Roman"/>
          <w:bCs/>
          <w:kern w:val="44"/>
          <w:sz w:val="32"/>
          <w:szCs w:val="32"/>
          <w:u w:val="none" w:color="auto"/>
          <w:lang w:eastAsia="zh-CN"/>
        </w:rPr>
        <w:t>）机关事业单位职业年金缴费支出（</w:t>
      </w:r>
      <w:r>
        <w:rPr>
          <w:rFonts w:hint="eastAsia" w:ascii="Times New Roman" w:hAnsi="Times New Roman" w:eastAsia="仿宋_GB2312" w:cs="Times New Roman"/>
          <w:bCs/>
          <w:kern w:val="44"/>
          <w:sz w:val="32"/>
          <w:szCs w:val="32"/>
          <w:u w:val="none" w:color="auto"/>
          <w:lang w:val="en-US" w:eastAsia="zh-CN"/>
        </w:rPr>
        <w:t>项</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年初预算921万元。</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11</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.教育支出(类)教育费附加安排的支出(款)城市中小学校舍建设(项)。年初预算为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40000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39980.79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99.9</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20" w:firstLineChars="200"/>
        <w:textAlignment w:val="auto"/>
        <w:outlineLvl w:val="9"/>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12</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.教育支出(类)职业教育(款)中等职业教育(项)年初预算为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100万元，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支出决算为</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万元，完成年初预算的</w:t>
      </w:r>
      <w:r>
        <w:rPr>
          <w:rFonts w:hint="eastAsia" w:ascii="Times New Roman" w:hAnsi="Times New Roman" w:eastAsia="仿宋_GB2312" w:cs="Times New Roman"/>
          <w:snapToGrid w:val="0"/>
          <w:color w:val="000000"/>
          <w:spacing w:val="-5"/>
          <w:kern w:val="0"/>
          <w:sz w:val="32"/>
          <w:szCs w:val="32"/>
          <w:u w:val="none" w:color="auto"/>
          <w:lang w:val="en-US" w:eastAsia="zh-CN" w:bidi="ar-SA"/>
        </w:rPr>
        <w:t>0</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支出决算数小于年初预算数的主要原因：</w:t>
      </w:r>
      <w:r>
        <w:rPr>
          <w:rFonts w:hint="eastAsia" w:ascii="Times New Roman" w:hAnsi="Times New Roman" w:eastAsia="仿宋_GB2312" w:cs="Times New Roman"/>
          <w:snapToGrid w:val="0"/>
          <w:color w:val="000000"/>
          <w:spacing w:val="-5"/>
          <w:kern w:val="0"/>
          <w:sz w:val="32"/>
          <w:szCs w:val="32"/>
          <w:u w:val="none" w:color="auto"/>
          <w:lang w:val="en-US" w:eastAsia="zh-CN" w:bidi="ar-SA"/>
        </w:rPr>
        <w:t>中职学校未划拨到我区</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outlineLvl w:val="9"/>
        <w:rPr>
          <w:rFonts w:hint="default" w:eastAsia="宋体"/>
          <w:u w:val="none" w:color="auto"/>
          <w:lang w:val="en-US" w:eastAsia="zh-CN"/>
        </w:rPr>
      </w:pPr>
    </w:p>
    <w:p>
      <w:pPr>
        <w:rPr>
          <w:rFonts w:hint="default" w:ascii="Times New Roman" w:hAnsi="Times New Roman" w:cs="Times New Roman"/>
          <w:spacing w:val="0"/>
          <w:sz w:val="32"/>
          <w:u w:val="none" w:color="auto"/>
        </w:rPr>
      </w:pPr>
      <w:r>
        <w:rPr>
          <w:rFonts w:hint="default" w:ascii="Times New Roman" w:hAnsi="Times New Roman" w:cs="Times New Roman"/>
          <w:spacing w:val="0"/>
          <w:sz w:val="32"/>
          <w:u w:val="none" w:color="auto"/>
        </w:rPr>
        <w:br w:type="page"/>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六、一般公共预算财政拨款基本支出决算情况说明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161231.5</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147476.21</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14"/>
          <w:u w:val="none" w:color="auto"/>
        </w:rPr>
        <w:t>奖金、</w:t>
      </w:r>
      <w:r>
        <w:rPr>
          <w:rFonts w:hint="default" w:ascii="Times New Roman" w:hAnsi="Times New Roman" w:eastAsia="仿宋_GB2312" w:cs="Times New Roman"/>
          <w:spacing w:val="-5"/>
          <w:u w:val="none" w:color="auto"/>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役</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费、抚恤金、生活补助</w:t>
      </w:r>
      <w:r>
        <w:rPr>
          <w:rFonts w:hint="default" w:ascii="Times New Roman" w:hAnsi="Times New Roman" w:eastAsia="仿宋_GB2312" w:cs="Times New Roman"/>
          <w:spacing w:val="-6"/>
          <w:u w:val="none" w:color="auto"/>
        </w:rPr>
        <w:t>、救济费、医疗费</w:t>
      </w:r>
      <w:r>
        <w:rPr>
          <w:rFonts w:hint="default" w:ascii="Times New Roman" w:hAnsi="Times New Roman" w:eastAsia="仿宋_GB2312" w:cs="Times New Roman"/>
          <w:spacing w:val="-3"/>
          <w:u w:val="none" w:color="auto"/>
        </w:rPr>
        <w:t>补助、助学金、奖励金、个人农业生产补贴、代缴社会保险费、</w:t>
      </w:r>
      <w:r>
        <w:rPr>
          <w:rFonts w:hint="default" w:ascii="Times New Roman" w:hAnsi="Times New Roman" w:eastAsia="仿宋_GB2312" w:cs="Times New Roman"/>
          <w:spacing w:val="-1"/>
          <w:u w:val="none" w:color="auto"/>
        </w:rPr>
        <w:t>其他对个人和家庭的补助。</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公用经费13755.29万元，主要包括：办公费、印刷费、咨询费、</w:t>
      </w:r>
      <w:r>
        <w:rPr>
          <w:rFonts w:hint="default" w:ascii="Times New Roman" w:hAnsi="Times New Roman" w:eastAsia="仿宋_GB2312" w:cs="Times New Roman"/>
          <w:spacing w:val="-3"/>
          <w:u w:val="none" w:color="auto"/>
        </w:rPr>
        <w:t>手续费、水费、电费、邮电费、取暖费、物业管理费、差旅费、</w:t>
      </w:r>
      <w:r>
        <w:rPr>
          <w:rFonts w:hint="default" w:ascii="Times New Roman" w:hAnsi="Times New Roman" w:eastAsia="仿宋_GB2312" w:cs="Times New Roman"/>
          <w:spacing w:val="-7"/>
          <w:u w:val="none" w:color="auto"/>
        </w:rPr>
        <w:t>因公出国</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境</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费用、维修</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护</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费、租赁费、会议费、培训费、公</w:t>
      </w:r>
      <w:r>
        <w:rPr>
          <w:rFonts w:hint="default" w:ascii="Times New Roman" w:hAnsi="Times New Roman" w:eastAsia="仿宋_GB2312" w:cs="Times New Roman"/>
          <w:spacing w:val="-5"/>
          <w:u w:val="none" w:color="auto"/>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u w:val="none" w:color="auto"/>
        </w:rPr>
        <w:t>费用、税金及附加费用、其他商品和服务支出、办公设备购置、</w:t>
      </w:r>
      <w:r>
        <w:rPr>
          <w:rFonts w:hint="default" w:ascii="Times New Roman" w:hAnsi="Times New Roman" w:eastAsia="仿宋_GB2312" w:cs="Times New Roman"/>
          <w:spacing w:val="-5"/>
          <w:u w:val="none" w:color="auto"/>
        </w:rPr>
        <w:t>专用设备购置、信息网络及软件购置更新、公务用车购置、文物</w:t>
      </w:r>
      <w:r>
        <w:rPr>
          <w:rFonts w:hint="default" w:ascii="Times New Roman" w:hAnsi="Times New Roman" w:eastAsia="仿宋_GB2312" w:cs="Times New Roman"/>
          <w:spacing w:val="-1"/>
          <w:u w:val="none" w:color="auto"/>
        </w:rPr>
        <w:t>和陈列品购置、无形资产购置、其他资本性支出。</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9"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b/>
          <w:bCs/>
          <w:spacing w:val="-6"/>
          <w:u w:val="none" w:color="auto"/>
          <w:lang w:eastAsia="zh-CN"/>
        </w:rPr>
        <w:t>（</w:t>
      </w:r>
      <w:r>
        <w:rPr>
          <w:rFonts w:hint="default" w:ascii="Times New Roman" w:hAnsi="Times New Roman" w:eastAsia="仿宋_GB2312" w:cs="Times New Roman"/>
          <w:b/>
          <w:bCs/>
          <w:spacing w:val="-6"/>
          <w:u w:val="none" w:color="auto"/>
        </w:rPr>
        <w:t>只需说明本部门核算使用的支出经济分类款级科目名称</w:t>
      </w:r>
      <w:r>
        <w:rPr>
          <w:rFonts w:hint="eastAsia" w:ascii="Times New Roman" w:hAnsi="Times New Roman" w:eastAsia="仿宋_GB2312" w:cs="Times New Roman"/>
          <w:b/>
          <w:bCs/>
          <w:spacing w:val="-6"/>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u w:val="none" w:color="auto"/>
          <w:lang w:val="en-US" w:eastAsia="zh-CN"/>
        </w:rPr>
      </w:pPr>
      <w:r>
        <w:rPr>
          <w:rFonts w:hint="default" w:ascii="Times New Roman" w:hAnsi="Times New Roman" w:eastAsia="仿宋_GB2312" w:cs="Times New Roman"/>
          <w:u w:val="none" w:color="auto"/>
        </w:rPr>
        <w:t>202</w:t>
      </w:r>
      <w:r>
        <w:rPr>
          <w:rFonts w:hint="eastAsia" w:ascii="Times New Roman" w:hAnsi="Times New Roman" w:eastAsia="仿宋_GB2312" w:cs="Times New Roman"/>
          <w:u w:val="none" w:color="auto"/>
          <w:lang w:val="en-US" w:eastAsia="zh-CN"/>
        </w:rPr>
        <w:t>4</w:t>
      </w:r>
      <w:r>
        <w:rPr>
          <w:rFonts w:hint="default" w:ascii="Times New Roman" w:hAnsi="Times New Roman" w:eastAsia="仿宋_GB2312" w:cs="Times New Roman"/>
          <w:u w:val="none" w:color="auto"/>
        </w:rPr>
        <w:t>年度政府性基金预算财政拨款年初结转和结余</w:t>
      </w:r>
      <w:r>
        <w:rPr>
          <w:rFonts w:hint="eastAsia" w:ascii="Times New Roman" w:hAnsi="Times New Roman" w:eastAsia="仿宋_GB2312" w:cs="Times New Roman"/>
          <w:spacing w:val="-149"/>
          <w:u w:val="none" w:color="auto"/>
          <w:lang w:val="en-US" w:eastAsia="zh-CN"/>
        </w:rPr>
        <w:t>0</w:t>
      </w:r>
      <w:r>
        <w:rPr>
          <w:rFonts w:hint="default" w:ascii="Times New Roman" w:hAnsi="Times New Roman" w:eastAsia="仿宋_GB2312" w:cs="Times New Roman"/>
          <w:u w:val="none" w:color="auto"/>
        </w:rPr>
        <w:t>万</w:t>
      </w:r>
      <w:r>
        <w:rPr>
          <w:rFonts w:hint="default" w:ascii="Times New Roman" w:hAnsi="Times New Roman" w:eastAsia="仿宋_GB2312" w:cs="Times New Roman"/>
          <w:spacing w:val="1"/>
          <w:u w:val="none" w:color="auto"/>
        </w:rPr>
        <w:t>元，本年收入</w:t>
      </w:r>
      <w:r>
        <w:rPr>
          <w:rFonts w:hint="default" w:ascii="Times New Roman" w:hAnsi="Times New Roman" w:eastAsia="仿宋_GB2312" w:cs="Times New Roman"/>
          <w:spacing w:val="7"/>
          <w:u w:val="none" w:color="auto"/>
        </w:rPr>
        <w:t>2823.75</w:t>
      </w:r>
      <w:r>
        <w:rPr>
          <w:rFonts w:hint="default" w:ascii="Times New Roman" w:hAnsi="Times New Roman" w:eastAsia="仿宋_GB2312" w:cs="Times New Roman"/>
          <w:spacing w:val="1"/>
          <w:u w:val="none" w:color="auto"/>
        </w:rPr>
        <w:t>万元，本年支出</w:t>
      </w:r>
      <w:r>
        <w:rPr>
          <w:rFonts w:hint="default" w:ascii="Times New Roman" w:hAnsi="Times New Roman" w:eastAsia="仿宋_GB2312" w:cs="Times New Roman"/>
          <w:spacing w:val="6"/>
          <w:u w:val="none" w:color="auto"/>
        </w:rPr>
        <w:t>2823.75</w:t>
      </w:r>
      <w:r>
        <w:rPr>
          <w:rFonts w:hint="default" w:ascii="Times New Roman" w:hAnsi="Times New Roman" w:eastAsia="仿宋_GB2312" w:cs="Times New Roman"/>
          <w:spacing w:val="1"/>
          <w:u w:val="none" w:color="auto"/>
        </w:rPr>
        <w:t>万元，年末结转和结余</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2"/>
          <w:u w:val="none" w:color="auto"/>
        </w:rPr>
        <w:t>万元。具体支出情况为：</w:t>
      </w:r>
      <w:r>
        <w:rPr>
          <w:rFonts w:hint="eastAsia" w:ascii="Times New Roman" w:hAnsi="Times New Roman" w:eastAsia="仿宋_GB2312" w:cs="Times New Roman"/>
          <w:spacing w:val="-2"/>
          <w:u w:val="none" w:color="auto"/>
          <w:lang w:val="en-US" w:eastAsia="zh-CN"/>
        </w:rPr>
        <w:t>超长期国债。</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spacing w:val="-6"/>
          <w:u w:val="none" w:color="auto"/>
          <w:lang w:eastAsia="zh-CN"/>
        </w:rPr>
      </w:pP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一</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类</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超长期特别国债安排的其他支出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款</w:t>
      </w:r>
      <w:r>
        <w:rPr>
          <w:rFonts w:hint="eastAsia" w:ascii="Times New Roman" w:hAnsi="Times New Roman" w:eastAsia="仿宋_GB2312" w:cs="Times New Roman"/>
          <w:spacing w:val="-6"/>
          <w:u w:val="none" w:color="auto"/>
          <w:lang w:eastAsia="zh-CN"/>
        </w:rPr>
        <w:t>）</w:t>
      </w:r>
      <w:r>
        <w:rPr>
          <w:rFonts w:hint="eastAsia" w:ascii="Times New Roman" w:hAnsi="Times New Roman" w:eastAsia="仿宋_GB2312" w:cs="Times New Roman"/>
          <w:spacing w:val="-6"/>
          <w:u w:val="none" w:color="auto"/>
          <w:lang w:val="en-US" w:eastAsia="zh-CN"/>
        </w:rPr>
        <w:t>其他支出</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项</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。支出决算为</w:t>
      </w:r>
      <w:r>
        <w:rPr>
          <w:rFonts w:hint="default" w:ascii="Times New Roman" w:hAnsi="Times New Roman" w:eastAsia="仿宋_GB2312" w:cs="Times New Roman"/>
          <w:spacing w:val="7"/>
          <w:u w:val="none" w:color="auto"/>
        </w:rPr>
        <w:t>2758</w:t>
      </w:r>
      <w:r>
        <w:rPr>
          <w:rFonts w:hint="eastAsia" w:ascii="Times New Roman" w:hAnsi="Times New Roman" w:eastAsia="仿宋_GB2312" w:cs="Times New Roman"/>
          <w:spacing w:val="7"/>
          <w:u w:val="none" w:color="auto"/>
          <w:lang w:val="en-US" w:eastAsia="zh-CN"/>
        </w:rPr>
        <w:t>.</w:t>
      </w:r>
      <w:r>
        <w:rPr>
          <w:rFonts w:hint="default" w:ascii="Times New Roman" w:hAnsi="Times New Roman" w:eastAsia="仿宋_GB2312" w:cs="Times New Roman"/>
          <w:spacing w:val="7"/>
          <w:u w:val="none" w:color="auto"/>
        </w:rPr>
        <w:t>42</w:t>
      </w:r>
      <w:r>
        <w:rPr>
          <w:rFonts w:hint="default" w:ascii="Times New Roman" w:hAnsi="Times New Roman" w:eastAsia="仿宋_GB2312" w:cs="Times New Roman"/>
          <w:spacing w:val="-6"/>
          <w:u w:val="none" w:color="auto"/>
        </w:rPr>
        <w:t>万元，主要用于</w:t>
      </w:r>
      <w:r>
        <w:rPr>
          <w:rFonts w:hint="default" w:ascii="Times New Roman" w:hAnsi="Times New Roman" w:eastAsia="仿宋_GB2312" w:cs="Times New Roman"/>
          <w:spacing w:val="-2"/>
          <w:u w:val="none" w:color="auto"/>
        </w:rPr>
        <w:t>超长期特别国债</w:t>
      </w:r>
      <w:r>
        <w:rPr>
          <w:rFonts w:hint="default" w:ascii="Times New Roman" w:hAnsi="Times New Roman" w:eastAsia="仿宋_GB2312" w:cs="Times New Roman"/>
          <w:spacing w:val="-6"/>
          <w:u w:val="none" w:color="auto"/>
        </w:rPr>
        <w:t>支出</w:t>
      </w:r>
      <w:r>
        <w:rPr>
          <w:rFonts w:hint="default" w:ascii="Times New Roman" w:hAnsi="Times New Roman" w:eastAsia="仿宋_GB2312" w:cs="Times New Roman"/>
          <w:spacing w:val="-6"/>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年度国有资本经营预算财政拨款本年支出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w:t>
      </w:r>
    </w:p>
    <w:p>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u w:val="none" w:color="auto"/>
          <w:lang w:eastAsia="zh-CN"/>
        </w:rPr>
      </w:pPr>
      <w:r>
        <w:rPr>
          <w:rFonts w:hint="eastAsia" w:ascii="Times New Roman" w:hAnsi="Times New Roman" w:eastAsia="仿宋_GB2312" w:cs="Times New Roman"/>
          <w:spacing w:val="1"/>
          <w:u w:val="none" w:color="auto"/>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11.52</w:t>
      </w:r>
      <w:r>
        <w:rPr>
          <w:rFonts w:hint="eastAsia" w:ascii="Times New Roman" w:hAnsi="Times New Roman" w:eastAsia="仿宋_GB2312" w:cs="Times New Roman"/>
          <w:spacing w:val="1"/>
          <w:u w:val="none" w:color="auto"/>
          <w:lang w:val="en-US" w:eastAsia="zh-CN"/>
        </w:rPr>
        <w:t>万元，支出决算为</w:t>
      </w:r>
      <w:r>
        <w:rPr>
          <w:rFonts w:hint="eastAsia" w:ascii="Times New Roman" w:hAnsi="Times New Roman" w:eastAsia="仿宋_GB2312" w:cs="Times New Roman"/>
          <w:spacing w:val="-5"/>
          <w:u w:val="none" w:color="auto"/>
          <w:lang w:val="en-US" w:eastAsia="zh-CN"/>
        </w:rPr>
        <w:t>11.52</w:t>
      </w:r>
      <w:r>
        <w:rPr>
          <w:rFonts w:hint="eastAsia" w:ascii="Times New Roman" w:hAnsi="Times New Roman" w:eastAsia="仿宋_GB2312" w:cs="Times New Roman"/>
          <w:spacing w:val="1"/>
          <w:u w:val="none" w:color="auto"/>
          <w:lang w:val="en-US" w:eastAsia="zh-CN"/>
        </w:rPr>
        <w:t>万元，完成全年预算的</w:t>
      </w:r>
      <w:r>
        <w:rPr>
          <w:rFonts w:hint="eastAsia" w:ascii="Times New Roman" w:hAnsi="Times New Roman" w:eastAsia="仿宋_GB2312" w:cs="Times New Roman"/>
          <w:spacing w:val="-5"/>
          <w:u w:val="none" w:color="auto"/>
          <w:lang w:val="en-US" w:eastAsia="zh-CN"/>
        </w:rPr>
        <w:t>100</w:t>
      </w:r>
      <w:r>
        <w:rPr>
          <w:rFonts w:hint="eastAsia" w:ascii="Times New Roman" w:hAnsi="Times New Roman" w:eastAsia="仿宋_GB2312" w:cs="Times New Roman"/>
          <w:spacing w:val="1"/>
          <w:u w:val="none" w:color="auto"/>
          <w:lang w:val="en-US" w:eastAsia="zh-CN"/>
        </w:rPr>
        <w:t>%。较上年增2.39万元，增长26%。决算数较上年增加的主要因：增加因公出国支出。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6.55</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6.54</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1"/>
          <w:u w:val="none" w:color="auto"/>
        </w:rPr>
        <w:t>完成</w:t>
      </w:r>
      <w:r>
        <w:rPr>
          <w:rFonts w:hint="eastAsia" w:ascii="Times New Roman" w:hAnsi="Times New Roman" w:eastAsia="仿宋_GB2312" w:cs="Times New Roman"/>
          <w:spacing w:val="11"/>
          <w:u w:val="none" w:color="auto"/>
          <w:lang w:eastAsia="zh-CN"/>
        </w:rPr>
        <w:t>全年</w:t>
      </w:r>
      <w:r>
        <w:rPr>
          <w:rFonts w:hint="default" w:ascii="Times New Roman" w:hAnsi="Times New Roman" w:eastAsia="仿宋_GB2312" w:cs="Times New Roman"/>
          <w:spacing w:val="11"/>
          <w:u w:val="none" w:color="auto"/>
        </w:rPr>
        <w:t>预算的</w:t>
      </w:r>
      <w:r>
        <w:rPr>
          <w:rFonts w:hint="eastAsia" w:ascii="Times New Roman" w:hAnsi="Times New Roman" w:eastAsia="仿宋_GB2312" w:cs="Times New Roman"/>
          <w:spacing w:val="11"/>
          <w:u w:val="none" w:color="auto"/>
          <w:lang w:val="en-US" w:eastAsia="zh-CN"/>
        </w:rPr>
        <w:t>99.9</w:t>
      </w:r>
      <w:r>
        <w:rPr>
          <w:rFonts w:hint="default" w:ascii="Times New Roman" w:hAnsi="Times New Roman" w:eastAsia="仿宋_GB2312" w:cs="Times New Roman"/>
          <w:spacing w:val="11"/>
          <w:u w:val="none" w:color="auto"/>
        </w:rPr>
        <w:t>%，比</w:t>
      </w:r>
      <w:r>
        <w:rPr>
          <w:rFonts w:hint="eastAsia" w:ascii="Times New Roman" w:hAnsi="Times New Roman" w:eastAsia="仿宋_GB2312" w:cs="Times New Roman"/>
          <w:spacing w:val="11"/>
          <w:u w:val="none" w:color="auto"/>
          <w:lang w:eastAsia="zh-CN"/>
        </w:rPr>
        <w:t>上年</w:t>
      </w:r>
      <w:r>
        <w:rPr>
          <w:rFonts w:hint="default" w:ascii="Times New Roman" w:hAnsi="Times New Roman" w:eastAsia="仿宋_GB2312" w:cs="Times New Roman"/>
          <w:spacing w:val="11"/>
          <w:u w:val="none" w:color="auto"/>
        </w:rPr>
        <w:t>增加</w:t>
      </w:r>
      <w:r>
        <w:rPr>
          <w:rFonts w:hint="eastAsia" w:ascii="Times New Roman" w:hAnsi="Times New Roman" w:eastAsia="仿宋_GB2312" w:cs="Times New Roman"/>
          <w:spacing w:val="11"/>
          <w:u w:val="none" w:color="auto"/>
          <w:lang w:val="en-US" w:eastAsia="zh-CN"/>
        </w:rPr>
        <w:t>6.54</w:t>
      </w:r>
      <w:r>
        <w:rPr>
          <w:rFonts w:hint="default" w:ascii="Times New Roman" w:hAnsi="Times New Roman" w:eastAsia="仿宋_GB2312" w:cs="Times New Roman"/>
          <w:spacing w:val="11"/>
          <w:u w:val="none" w:color="auto"/>
        </w:rPr>
        <w:t>万</w:t>
      </w:r>
      <w:r>
        <w:rPr>
          <w:rFonts w:hint="default" w:ascii="Times New Roman" w:hAnsi="Times New Roman" w:eastAsia="仿宋_GB2312" w:cs="Times New Roman"/>
          <w:spacing w:val="10"/>
          <w:u w:val="none" w:color="auto"/>
        </w:rPr>
        <w:t>元，</w:t>
      </w:r>
      <w:r>
        <w:rPr>
          <w:rFonts w:hint="eastAsia" w:ascii="仿宋_GB2312" w:hAnsi="仿宋_GB2312" w:eastAsia="仿宋_GB2312" w:cs="仿宋_GB2312"/>
          <w:sz w:val="32"/>
          <w:szCs w:val="32"/>
          <w:u w:val="none" w:color="auto"/>
          <w:lang w:val="en-US" w:eastAsia="zh-CN"/>
        </w:rPr>
        <w:t>增</w:t>
      </w:r>
      <w:r>
        <w:rPr>
          <w:rFonts w:hint="eastAsia" w:ascii="仿宋_GB2312" w:hAnsi="仿宋_GB2312" w:eastAsia="仿宋_GB2312" w:cs="仿宋_GB2312"/>
          <w:sz w:val="32"/>
          <w:szCs w:val="32"/>
          <w:u w:val="none" w:color="auto"/>
          <w:lang w:val="en-US" w:eastAsia="zh-CN"/>
        </w:rPr>
        <w:t>长100%。决算数较上年增加的主要原因</w:t>
      </w:r>
      <w:r>
        <w:rPr>
          <w:rFonts w:hint="eastAsia" w:ascii="Times New Roman" w:hAnsi="Times New Roman" w:eastAsia="仿宋_GB2312" w:cs="Times New Roman"/>
          <w:spacing w:val="1"/>
          <w:u w:val="none" w:color="auto"/>
          <w:lang w:val="en-US" w:eastAsia="zh-CN"/>
        </w:rPr>
        <w:t>增加因公出国支出</w:t>
      </w:r>
      <w:r>
        <w:rPr>
          <w:rFonts w:hint="eastAsia" w:ascii="仿宋_GB2312" w:hAnsi="仿宋_GB2312" w:eastAsia="仿宋_GB2312" w:cs="仿宋_GB2312"/>
          <w:sz w:val="32"/>
          <w:szCs w:val="32"/>
          <w:u w:val="none" w:color="auto"/>
          <w:lang w:val="en-US"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5"/>
          <w:u w:val="none" w:color="auto"/>
        </w:rPr>
        <w:t>全年支出涉及出国（境）团组</w:t>
      </w:r>
      <w:r>
        <w:rPr>
          <w:rFonts w:hint="eastAsia" w:ascii="Times New Roman" w:hAnsi="Times New Roman" w:eastAsia="仿宋_GB2312" w:cs="Times New Roman"/>
          <w:spacing w:val="-5"/>
          <w:u w:val="none" w:color="auto"/>
          <w:lang w:val="en-US" w:eastAsia="zh-CN"/>
        </w:rPr>
        <w:t>1</w:t>
      </w:r>
      <w:r>
        <w:rPr>
          <w:rFonts w:hint="default" w:ascii="Times New Roman" w:hAnsi="Times New Roman" w:eastAsia="仿宋_GB2312" w:cs="Times New Roman"/>
          <w:spacing w:val="-5"/>
          <w:u w:val="none" w:color="auto"/>
        </w:rPr>
        <w:t>个，累计</w:t>
      </w:r>
      <w:r>
        <w:rPr>
          <w:rFonts w:hint="eastAsia" w:ascii="Times New Roman" w:hAnsi="Times New Roman" w:eastAsia="仿宋_GB2312" w:cs="Times New Roman"/>
          <w:spacing w:val="-5"/>
          <w:u w:val="none" w:color="auto"/>
          <w:lang w:val="en-US" w:eastAsia="zh-CN"/>
        </w:rPr>
        <w:t>1</w:t>
      </w:r>
      <w:r>
        <w:rPr>
          <w:rFonts w:hint="default" w:ascii="Times New Roman" w:hAnsi="Times New Roman" w:eastAsia="仿宋_GB2312" w:cs="Times New Roman"/>
          <w:spacing w:val="-6"/>
          <w:u w:val="none" w:color="auto"/>
        </w:rPr>
        <w:t>人次，主要</w:t>
      </w:r>
      <w:r>
        <w:rPr>
          <w:rFonts w:hint="default" w:ascii="Times New Roman" w:hAnsi="Times New Roman" w:eastAsia="仿宋_GB2312" w:cs="Times New Roman"/>
          <w:spacing w:val="-7"/>
          <w:u w:val="none" w:color="auto"/>
        </w:rPr>
        <w:t>用于开展以下工作：</w:t>
      </w:r>
      <w:r>
        <w:rPr>
          <w:rFonts w:hint="eastAsia" w:ascii="Times New Roman" w:hAnsi="Times New Roman" w:eastAsia="仿宋_GB2312" w:cs="Times New Roman"/>
          <w:spacing w:val="-7"/>
          <w:u w:val="none" w:color="auto"/>
          <w:lang w:val="en-US" w:eastAsia="zh-CN"/>
        </w:rPr>
        <w:t>考察芬兰学校</w:t>
      </w:r>
      <w:r>
        <w:rPr>
          <w:rFonts w:hint="default" w:ascii="Times New Roman" w:hAnsi="Times New Roman" w:eastAsia="仿宋_GB2312" w:cs="Times New Roman"/>
          <w:spacing w:val="-7"/>
          <w:u w:val="none" w:color="auto"/>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w:t>
      </w:r>
      <w:r>
        <w:rPr>
          <w:rFonts w:hint="eastAsia" w:ascii="仿宋_GB2312" w:hAnsi="仿宋_GB2312" w:eastAsia="仿宋_GB2312" w:cs="仿宋_GB2312"/>
          <w:color w:val="000000"/>
          <w:sz w:val="32"/>
          <w:szCs w:val="32"/>
          <w:highlight w:val="none"/>
          <w:u w:val="none" w:color="auto"/>
        </w:rPr>
        <w:t>公务用车购置及运行费</w:t>
      </w:r>
      <w:r>
        <w:rPr>
          <w:rFonts w:hint="eastAsia" w:ascii="仿宋_GB2312" w:hAnsi="仿宋_GB2312" w:eastAsia="仿宋_GB2312" w:cs="仿宋_GB2312"/>
          <w:sz w:val="32"/>
          <w:szCs w:val="32"/>
          <w:u w:val="none" w:color="auto"/>
          <w:lang w:val="en-US" w:eastAsia="zh-CN"/>
        </w:rPr>
        <w:t>全年</w:t>
      </w:r>
      <w:r>
        <w:rPr>
          <w:rFonts w:hint="eastAsia" w:ascii="仿宋_GB2312" w:hAnsi="仿宋_GB2312" w:eastAsia="仿宋_GB2312" w:cs="仿宋_GB2312"/>
          <w:color w:val="000000"/>
          <w:sz w:val="32"/>
          <w:szCs w:val="32"/>
          <w:highlight w:val="none"/>
          <w:u w:val="none" w:color="auto"/>
          <w:lang w:eastAsia="zh-CN"/>
        </w:rPr>
        <w:t>预算为</w:t>
      </w:r>
      <w:r>
        <w:rPr>
          <w:rFonts w:hint="eastAsia" w:ascii="仿宋_GB2312" w:hAnsi="仿宋_GB2312" w:eastAsia="仿宋_GB2312" w:cs="仿宋_GB2312"/>
          <w:color w:val="000000"/>
          <w:sz w:val="32"/>
          <w:szCs w:val="32"/>
          <w:highlight w:val="none"/>
          <w:u w:val="none" w:color="auto"/>
          <w:lang w:val="en-US" w:eastAsia="zh-CN"/>
        </w:rPr>
        <w:t>4.98万元，</w:t>
      </w:r>
      <w:r>
        <w:rPr>
          <w:rFonts w:hint="eastAsia" w:ascii="仿宋_GB2312" w:hAnsi="仿宋_GB2312" w:eastAsia="仿宋_GB2312" w:cs="仿宋_GB2312"/>
          <w:color w:val="000000"/>
          <w:sz w:val="32"/>
          <w:szCs w:val="32"/>
          <w:highlight w:val="none"/>
          <w:u w:val="none" w:color="auto"/>
        </w:rPr>
        <w:t>支出决算为</w:t>
      </w:r>
      <w:r>
        <w:rPr>
          <w:rFonts w:hint="eastAsia" w:ascii="仿宋_GB2312" w:hAnsi="仿宋_GB2312" w:eastAsia="仿宋_GB2312" w:cs="仿宋_GB2312"/>
          <w:color w:val="000000"/>
          <w:sz w:val="32"/>
          <w:szCs w:val="32"/>
          <w:highlight w:val="none"/>
          <w:u w:val="none" w:color="auto"/>
          <w:lang w:val="en-US" w:eastAsia="zh-CN"/>
        </w:rPr>
        <w:t>4.98</w:t>
      </w:r>
      <w:r>
        <w:rPr>
          <w:rFonts w:hint="eastAsia" w:ascii="仿宋_GB2312" w:hAnsi="仿宋_GB2312" w:eastAsia="仿宋_GB2312" w:cs="仿宋_GB2312"/>
          <w:color w:val="000000"/>
          <w:sz w:val="32"/>
          <w:szCs w:val="32"/>
          <w:highlight w:val="none"/>
          <w:u w:val="none" w:color="auto"/>
        </w:rPr>
        <w:t>万元，完成</w:t>
      </w:r>
      <w:r>
        <w:rPr>
          <w:rFonts w:hint="eastAsia" w:ascii="仿宋_GB2312" w:hAnsi="仿宋_GB2312" w:eastAsia="仿宋_GB2312" w:cs="仿宋_GB2312"/>
          <w:sz w:val="32"/>
          <w:szCs w:val="32"/>
          <w:u w:val="none" w:color="auto"/>
          <w:lang w:val="en-US" w:eastAsia="zh-CN"/>
        </w:rPr>
        <w:t>全年</w:t>
      </w:r>
      <w:r>
        <w:rPr>
          <w:rFonts w:hint="eastAsia" w:ascii="仿宋_GB2312" w:hAnsi="仿宋_GB2312" w:eastAsia="仿宋_GB2312" w:cs="仿宋_GB2312"/>
          <w:color w:val="000000"/>
          <w:sz w:val="32"/>
          <w:szCs w:val="32"/>
          <w:highlight w:val="none"/>
          <w:u w:val="none" w:color="auto"/>
        </w:rPr>
        <w:t>预算</w:t>
      </w:r>
      <w:r>
        <w:rPr>
          <w:rFonts w:hint="eastAsia" w:ascii="仿宋_GB2312" w:hAnsi="仿宋_GB2312" w:eastAsia="仿宋_GB2312" w:cs="仿宋_GB2312"/>
          <w:color w:val="000000"/>
          <w:sz w:val="32"/>
          <w:szCs w:val="32"/>
          <w:highlight w:val="none"/>
          <w:u w:val="none" w:color="auto"/>
          <w:lang w:val="en-US" w:eastAsia="zh-CN"/>
        </w:rPr>
        <w:t>100</w:t>
      </w:r>
      <w:r>
        <w:rPr>
          <w:rFonts w:hint="eastAsia" w:ascii="仿宋_GB2312" w:hAnsi="仿宋_GB2312" w:eastAsia="仿宋_GB2312" w:cs="仿宋_GB2312"/>
          <w:color w:val="000000"/>
          <w:sz w:val="32"/>
          <w:szCs w:val="32"/>
          <w:highlight w:val="none"/>
          <w:u w:val="none" w:color="auto"/>
        </w:rPr>
        <w:t>%；</w:t>
      </w:r>
      <w:r>
        <w:rPr>
          <w:rFonts w:hint="eastAsia" w:ascii="仿宋_GB2312" w:hAnsi="仿宋_GB2312" w:eastAsia="仿宋_GB2312" w:cs="仿宋_GB2312"/>
          <w:sz w:val="32"/>
          <w:szCs w:val="32"/>
          <w:u w:val="none" w:color="auto"/>
          <w:lang w:val="en-US" w:eastAsia="zh-CN"/>
        </w:rPr>
        <w:t>较上年减少1.82万元，下降26.8%。</w:t>
      </w:r>
      <w:r>
        <w:rPr>
          <w:rFonts w:hint="eastAsia" w:ascii="仿宋_GB2312" w:hAnsi="仿宋_GB2312" w:eastAsia="仿宋_GB2312" w:cs="仿宋_GB2312"/>
          <w:sz w:val="32"/>
          <w:szCs w:val="32"/>
          <w:u w:val="none" w:color="auto"/>
          <w:lang w:val="en-US" w:eastAsia="zh-CN"/>
        </w:rPr>
        <w:t>决算数小于全年预算数的主要原因：学校公务车使用较少。决算数较上年减少的主要原因：</w:t>
      </w:r>
      <w:r>
        <w:rPr>
          <w:rFonts w:hint="eastAsia" w:ascii="仿宋_GB2312" w:hAnsi="仿宋_GB2312" w:eastAsia="仿宋_GB2312" w:cs="仿宋_GB2312"/>
          <w:sz w:val="32"/>
          <w:szCs w:val="32"/>
          <w:u w:val="none" w:color="auto"/>
          <w:lang w:val="en-US" w:eastAsia="zh-CN"/>
        </w:rPr>
        <w:t>学校公务车使用较少</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color w:val="000000"/>
          <w:sz w:val="32"/>
          <w:szCs w:val="32"/>
          <w:highlight w:val="none"/>
          <w:u w:val="none" w:color="auto"/>
        </w:rPr>
        <w:t>其中：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(1)公务用车购置费支出</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万元。本年度购置(更新)公务用车</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(2)公务用车运行维护费支出</w:t>
      </w:r>
      <w:r>
        <w:rPr>
          <w:rFonts w:hint="eastAsia" w:ascii="Times New Roman" w:hAnsi="Times New Roman" w:eastAsia="仿宋_GB2312" w:cs="Times New Roman"/>
          <w:color w:val="000000"/>
          <w:sz w:val="32"/>
          <w:szCs w:val="32"/>
          <w:u w:val="none" w:color="auto"/>
          <w:lang w:val="en-US" w:eastAsia="zh-CN"/>
        </w:rPr>
        <w:t>4.98</w:t>
      </w:r>
      <w:r>
        <w:rPr>
          <w:rFonts w:hint="default" w:ascii="Times New Roman" w:hAnsi="Times New Roman" w:eastAsia="仿宋_GB2312" w:cs="Times New Roman"/>
          <w:color w:val="000000"/>
          <w:sz w:val="32"/>
          <w:szCs w:val="32"/>
          <w:u w:val="none" w:color="auto"/>
        </w:rPr>
        <w:t>万元，</w:t>
      </w:r>
      <w:r>
        <w:rPr>
          <w:rFonts w:hint="default" w:ascii="Times New Roman" w:hAnsi="Times New Roman" w:eastAsia="仿宋_GB2312" w:cs="Times New Roman"/>
          <w:color w:val="000000"/>
          <w:kern w:val="0"/>
          <w:sz w:val="32"/>
          <w:szCs w:val="32"/>
          <w:u w:val="none" w:color="auto"/>
        </w:rPr>
        <w:t>其中：燃料费</w:t>
      </w:r>
      <w:r>
        <w:rPr>
          <w:rFonts w:hint="eastAsia" w:ascii="Times New Roman" w:hAnsi="Times New Roman" w:eastAsia="仿宋_GB2312" w:cs="Times New Roman"/>
          <w:color w:val="000000"/>
          <w:kern w:val="0"/>
          <w:sz w:val="32"/>
          <w:szCs w:val="32"/>
          <w:u w:val="none" w:color="auto"/>
          <w:lang w:val="en-US" w:eastAsia="zh-CN"/>
        </w:rPr>
        <w:t>3</w:t>
      </w:r>
      <w:r>
        <w:rPr>
          <w:rFonts w:hint="default" w:ascii="Times New Roman" w:hAnsi="Times New Roman" w:eastAsia="仿宋_GB2312" w:cs="Times New Roman"/>
          <w:color w:val="000000"/>
          <w:kern w:val="0"/>
          <w:sz w:val="32"/>
          <w:szCs w:val="32"/>
          <w:u w:val="none" w:color="auto"/>
        </w:rPr>
        <w:t>万元；</w:t>
      </w:r>
      <w:r>
        <w:rPr>
          <w:rFonts w:hint="eastAsia" w:ascii="Times New Roman" w:hAnsi="Times New Roman" w:eastAsia="仿宋_GB2312" w:cs="Times New Roman"/>
          <w:color w:val="000000"/>
          <w:kern w:val="0"/>
          <w:sz w:val="32"/>
          <w:szCs w:val="32"/>
          <w:u w:val="none" w:color="auto"/>
          <w:lang w:val="en-US" w:eastAsia="zh-CN"/>
        </w:rPr>
        <w:t>维修费1万元；</w:t>
      </w:r>
      <w:r>
        <w:rPr>
          <w:rFonts w:hint="default" w:ascii="Times New Roman" w:hAnsi="Times New Roman" w:eastAsia="仿宋_GB2312" w:cs="Times New Roman"/>
          <w:color w:val="000000"/>
          <w:kern w:val="0"/>
          <w:sz w:val="32"/>
          <w:szCs w:val="32"/>
          <w:u w:val="none" w:color="auto"/>
        </w:rPr>
        <w:t>保险费</w:t>
      </w:r>
      <w:r>
        <w:rPr>
          <w:rFonts w:hint="eastAsia" w:ascii="Times New Roman" w:hAnsi="Times New Roman" w:eastAsia="仿宋_GB2312" w:cs="Times New Roman"/>
          <w:color w:val="000000"/>
          <w:kern w:val="0"/>
          <w:sz w:val="32"/>
          <w:szCs w:val="32"/>
          <w:u w:val="none" w:color="auto"/>
          <w:lang w:val="en-US" w:eastAsia="zh-CN"/>
        </w:rPr>
        <w:t>1.98</w:t>
      </w:r>
      <w:r>
        <w:rPr>
          <w:rFonts w:hint="default" w:ascii="Times New Roman" w:hAnsi="Times New Roman" w:eastAsia="仿宋_GB2312" w:cs="Times New Roman"/>
          <w:color w:val="000000"/>
          <w:kern w:val="0"/>
          <w:sz w:val="32"/>
          <w:szCs w:val="32"/>
          <w:u w:val="none" w:color="auto"/>
        </w:rPr>
        <w:t>万元。</w:t>
      </w:r>
      <w:r>
        <w:rPr>
          <w:rFonts w:hint="default" w:ascii="Times New Roman" w:hAnsi="Times New Roman" w:eastAsia="仿宋_GB2312" w:cs="Times New Roman"/>
          <w:color w:val="000000"/>
          <w:sz w:val="32"/>
          <w:szCs w:val="32"/>
          <w:u w:val="none" w:color="auto"/>
        </w:rPr>
        <w:t>截止202</w:t>
      </w:r>
      <w:r>
        <w:rPr>
          <w:rFonts w:hint="eastAsia" w:ascii="Times New Roman" w:hAnsi="Times New Roman" w:eastAsia="仿宋_GB2312" w:cs="Times New Roman"/>
          <w:color w:val="000000"/>
          <w:sz w:val="32"/>
          <w:szCs w:val="32"/>
          <w:u w:val="none" w:color="auto"/>
          <w:lang w:val="en-US" w:eastAsia="zh-CN"/>
        </w:rPr>
        <w:t>4</w:t>
      </w:r>
      <w:r>
        <w:rPr>
          <w:rFonts w:hint="default" w:ascii="Times New Roman" w:hAnsi="Times New Roman" w:eastAsia="仿宋_GB2312" w:cs="Times New Roman"/>
          <w:color w:val="000000"/>
          <w:sz w:val="32"/>
          <w:szCs w:val="32"/>
          <w:u w:val="none" w:color="auto"/>
        </w:rPr>
        <w:t>年12月31日，开支财政拨款的公务用车保有量</w:t>
      </w:r>
      <w:r>
        <w:rPr>
          <w:rFonts w:hint="eastAsia" w:ascii="Times New Roman" w:hAnsi="Times New Roman" w:eastAsia="仿宋_GB2312" w:cs="Times New Roman"/>
          <w:color w:val="000000"/>
          <w:sz w:val="32"/>
          <w:szCs w:val="32"/>
          <w:u w:val="none" w:color="auto"/>
          <w:lang w:val="en-US" w:eastAsia="zh-CN"/>
        </w:rPr>
        <w:t>20</w:t>
      </w:r>
      <w:r>
        <w:rPr>
          <w:rFonts w:hint="default" w:ascii="Times New Roman" w:hAnsi="Times New Roman" w:eastAsia="仿宋_GB2312" w:cs="Times New Roman"/>
          <w:color w:val="000000"/>
          <w:sz w:val="32"/>
          <w:szCs w:val="32"/>
          <w:u w:val="none" w:color="auto"/>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3.公务接待费预算为</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万元，支出决算为</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万元，完成预算的</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%；较上年增加(减少)</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万元，增长(下降)</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202</w:t>
      </w:r>
      <w:r>
        <w:rPr>
          <w:rFonts w:hint="eastAsia" w:ascii="Times New Roman" w:hAnsi="Times New Roman" w:eastAsia="仿宋_GB2312" w:cs="Times New Roman"/>
          <w:color w:val="000000"/>
          <w:sz w:val="32"/>
          <w:szCs w:val="32"/>
          <w:u w:val="none" w:color="auto"/>
          <w:lang w:val="en-US" w:eastAsia="zh-CN"/>
        </w:rPr>
        <w:t>3</w:t>
      </w:r>
      <w:r>
        <w:rPr>
          <w:rFonts w:hint="default" w:ascii="Times New Roman" w:hAnsi="Times New Roman" w:eastAsia="仿宋_GB2312" w:cs="Times New Roman"/>
          <w:color w:val="000000"/>
          <w:sz w:val="32"/>
          <w:szCs w:val="32"/>
          <w:u w:val="none" w:color="auto"/>
        </w:rPr>
        <w:t>年度</w:t>
      </w:r>
      <w:r>
        <w:rPr>
          <w:rFonts w:hint="eastAsia" w:ascii="Times New Roman" w:hAnsi="Times New Roman" w:eastAsia="仿宋_GB2312" w:cs="Times New Roman"/>
          <w:color w:val="000000"/>
          <w:kern w:val="0"/>
          <w:sz w:val="32"/>
          <w:szCs w:val="32"/>
          <w:u w:val="none" w:color="auto"/>
          <w:lang w:eastAsia="zh-CN"/>
        </w:rPr>
        <w:t>武汉东湖新技术开发区教育局（</w:t>
      </w:r>
      <w:r>
        <w:rPr>
          <w:rFonts w:hint="eastAsia" w:ascii="Times New Roman" w:hAnsi="Times New Roman" w:eastAsia="仿宋_GB2312" w:cs="Times New Roman"/>
          <w:color w:val="000000"/>
          <w:kern w:val="0"/>
          <w:sz w:val="32"/>
          <w:szCs w:val="32"/>
          <w:u w:val="none" w:color="auto"/>
          <w:lang w:val="en-US" w:eastAsia="zh-CN"/>
        </w:rPr>
        <w:t>汇总</w:t>
      </w:r>
      <w:r>
        <w:rPr>
          <w:rFonts w:hint="eastAsia" w:ascii="Times New Roman" w:hAnsi="Times New Roman" w:eastAsia="仿宋_GB2312" w:cs="Times New Roman"/>
          <w:color w:val="000000"/>
          <w:kern w:val="0"/>
          <w:sz w:val="32"/>
          <w:szCs w:val="32"/>
          <w:u w:val="none" w:color="auto"/>
          <w:lang w:eastAsia="zh-CN"/>
        </w:rPr>
        <w:t>）</w:t>
      </w:r>
      <w:r>
        <w:rPr>
          <w:rFonts w:hint="default" w:ascii="Times New Roman" w:hAnsi="Times New Roman" w:eastAsia="仿宋_GB2312" w:cs="Times New Roman"/>
          <w:color w:val="000000"/>
          <w:kern w:val="0"/>
          <w:sz w:val="32"/>
          <w:szCs w:val="32"/>
          <w:u w:val="none" w:color="auto"/>
        </w:rPr>
        <w:t>执行公务和开展业务活动开支公务接待费</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万元。其中：国际访问</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万元，主要用于</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的接待工作</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批次</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人次(其中：陪同</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人次)；大型活动</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万元，主要用于</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的接待工作</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批次</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人次(其中：陪同</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人次)；外省市交流接待</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万元，主要用于</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的接待工作</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批次</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人次(其中：陪同</w:t>
      </w:r>
      <w:r>
        <w:rPr>
          <w:rFonts w:hint="eastAsia" w:ascii="Times New Roman" w:hAnsi="Times New Roman" w:eastAsia="仿宋_GB2312" w:cs="Times New Roman"/>
          <w:color w:val="000000"/>
          <w:sz w:val="32"/>
          <w:szCs w:val="32"/>
          <w:u w:val="none" w:color="auto"/>
          <w:lang w:val="en-US" w:eastAsia="zh-CN"/>
        </w:rPr>
        <w:t>0</w:t>
      </w:r>
      <w:r>
        <w:rPr>
          <w:rFonts w:hint="default" w:ascii="Times New Roman" w:hAnsi="Times New Roman" w:eastAsia="仿宋_GB2312" w:cs="Times New Roman"/>
          <w:color w:val="000000"/>
          <w:sz w:val="32"/>
          <w:szCs w:val="32"/>
          <w:u w:val="none" w:color="auto"/>
        </w:rPr>
        <w:t>人次)。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pPr>
        <w:pStyle w:val="16"/>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u w:val="none" w:color="auto"/>
          <w:lang w:eastAsia="zh-CN"/>
        </w:rPr>
      </w:pPr>
      <w:r>
        <w:rPr>
          <w:rFonts w:hint="default" w:ascii="Times New Roman" w:hAnsi="Times New Roman" w:cs="Times New Roman"/>
          <w:bCs/>
          <w:kern w:val="44"/>
          <w:sz w:val="32"/>
          <w:szCs w:val="32"/>
          <w:u w:val="none" w:color="auto"/>
        </w:rPr>
        <w:t>202</w:t>
      </w:r>
      <w:r>
        <w:rPr>
          <w:rFonts w:hint="eastAsia" w:ascii="Times New Roman" w:cs="Times New Roman"/>
          <w:bCs/>
          <w:kern w:val="44"/>
          <w:sz w:val="32"/>
          <w:szCs w:val="32"/>
          <w:u w:val="none" w:color="auto"/>
          <w:lang w:val="en-US" w:eastAsia="zh-CN"/>
        </w:rPr>
        <w:t>4</w:t>
      </w:r>
      <w:r>
        <w:rPr>
          <w:rFonts w:hint="default" w:ascii="Times New Roman" w:hAnsi="Times New Roman" w:cs="Times New Roman"/>
          <w:bCs/>
          <w:kern w:val="44"/>
          <w:sz w:val="32"/>
          <w:szCs w:val="32"/>
          <w:u w:val="none" w:color="auto"/>
        </w:rPr>
        <w:t>年度</w:t>
      </w:r>
      <w:r>
        <w:rPr>
          <w:rFonts w:hint="eastAsia" w:ascii="Times New Roman" w:hAnsi="Times New Roman" w:cs="Times New Roman"/>
          <w:bCs/>
          <w:sz w:val="32"/>
          <w:szCs w:val="32"/>
          <w:u w:val="none" w:color="auto"/>
          <w:lang w:eastAsia="zh-CN"/>
        </w:rPr>
        <w:t>武汉东湖新技术开发区教育局</w:t>
      </w:r>
      <w:r>
        <w:rPr>
          <w:rFonts w:hint="eastAsia" w:ascii="Times New Roman" w:cs="Times New Roman"/>
          <w:bCs/>
          <w:sz w:val="32"/>
          <w:szCs w:val="32"/>
          <w:u w:val="none" w:color="auto"/>
          <w:lang w:eastAsia="zh-CN"/>
        </w:rPr>
        <w:t>（</w:t>
      </w:r>
      <w:r>
        <w:rPr>
          <w:rFonts w:hint="eastAsia" w:ascii="Times New Roman" w:cs="Times New Roman"/>
          <w:bCs/>
          <w:sz w:val="32"/>
          <w:szCs w:val="32"/>
          <w:u w:val="none" w:color="auto"/>
          <w:lang w:val="en-US" w:eastAsia="zh-CN"/>
        </w:rPr>
        <w:t>汇总</w:t>
      </w:r>
      <w:r>
        <w:rPr>
          <w:rFonts w:hint="eastAsia" w:ascii="Times New Roman" w:cs="Times New Roman"/>
          <w:bCs/>
          <w:sz w:val="32"/>
          <w:szCs w:val="32"/>
          <w:u w:val="none" w:color="auto"/>
          <w:lang w:eastAsia="zh-CN"/>
        </w:rPr>
        <w:t>）</w:t>
      </w:r>
      <w:r>
        <w:rPr>
          <w:rFonts w:hint="default" w:ascii="Times New Roman" w:hAnsi="Times New Roman" w:cs="Times New Roman"/>
          <w:bCs/>
          <w:kern w:val="44"/>
          <w:sz w:val="32"/>
          <w:szCs w:val="32"/>
          <w:u w:val="none" w:color="auto"/>
        </w:rPr>
        <w:t>运行经费支出</w:t>
      </w:r>
      <w:r>
        <w:rPr>
          <w:rFonts w:hint="eastAsia" w:ascii="Times New Roman" w:hAnsi="Times New Roman" w:cs="Times New Roman"/>
          <w:bCs/>
          <w:kern w:val="44"/>
          <w:sz w:val="32"/>
          <w:szCs w:val="32"/>
          <w:u w:val="none" w:color="auto"/>
          <w:lang w:val="en-US" w:eastAsia="zh-CN"/>
        </w:rPr>
        <w:t>0</w:t>
      </w:r>
      <w:r>
        <w:rPr>
          <w:rFonts w:hint="default" w:ascii="Times New Roman" w:hAnsi="Times New Roman" w:cs="Times New Roman"/>
          <w:bCs/>
          <w:kern w:val="44"/>
          <w:sz w:val="32"/>
          <w:szCs w:val="32"/>
          <w:u w:val="none" w:color="auto"/>
        </w:rPr>
        <w:t>万元，比202</w:t>
      </w:r>
      <w:r>
        <w:rPr>
          <w:rFonts w:hint="eastAsia" w:ascii="Times New Roman" w:cs="Times New Roman"/>
          <w:bCs/>
          <w:kern w:val="44"/>
          <w:sz w:val="32"/>
          <w:szCs w:val="32"/>
          <w:u w:val="none" w:color="auto"/>
          <w:lang w:val="en-US" w:eastAsia="zh-CN"/>
        </w:rPr>
        <w:t>3</w:t>
      </w:r>
      <w:r>
        <w:rPr>
          <w:rFonts w:hint="default" w:ascii="Times New Roman" w:hAnsi="Times New Roman" w:cs="Times New Roman"/>
          <w:bCs/>
          <w:kern w:val="44"/>
          <w:sz w:val="32"/>
          <w:szCs w:val="32"/>
          <w:u w:val="none" w:color="auto"/>
        </w:rPr>
        <w:t>年度增加(减少)</w:t>
      </w:r>
      <w:r>
        <w:rPr>
          <w:rFonts w:hint="eastAsia" w:ascii="Times New Roman" w:hAnsi="Times New Roman" w:cs="Times New Roman"/>
          <w:bCs/>
          <w:kern w:val="44"/>
          <w:sz w:val="32"/>
          <w:szCs w:val="32"/>
          <w:u w:val="none" w:color="auto"/>
          <w:lang w:val="en-US" w:eastAsia="zh-CN"/>
        </w:rPr>
        <w:t>0</w:t>
      </w:r>
      <w:r>
        <w:rPr>
          <w:rFonts w:hint="default" w:ascii="Times New Roman" w:hAnsi="Times New Roman" w:cs="Times New Roman"/>
          <w:bCs/>
          <w:kern w:val="44"/>
          <w:sz w:val="32"/>
          <w:szCs w:val="32"/>
          <w:u w:val="none" w:color="auto"/>
        </w:rPr>
        <w:t>万元，增长(下降)</w:t>
      </w:r>
      <w:r>
        <w:rPr>
          <w:rFonts w:hint="eastAsia" w:ascii="Times New Roman" w:hAnsi="Times New Roman" w:cs="Times New Roman"/>
          <w:bCs/>
          <w:kern w:val="44"/>
          <w:sz w:val="32"/>
          <w:szCs w:val="32"/>
          <w:u w:val="none" w:color="auto"/>
          <w:lang w:val="en-US" w:eastAsia="zh-CN"/>
        </w:rPr>
        <w:t>0</w:t>
      </w:r>
      <w:r>
        <w:rPr>
          <w:rFonts w:hint="default" w:ascii="Times New Roman" w:hAnsi="Times New Roman" w:cs="Times New Roman"/>
          <w:bCs/>
          <w:kern w:val="44"/>
          <w:sz w:val="32"/>
          <w:szCs w:val="32"/>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6"/>
          <w:u w:val="none" w:color="auto"/>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eastAsia" w:ascii="Times New Roman" w:hAnsi="Times New Roman" w:eastAsia="仿宋_GB2312" w:cs="Times New Roman"/>
          <w:spacing w:val="-6"/>
          <w:u w:val="none" w:color="auto"/>
          <w:lang w:eastAsia="zh-CN"/>
        </w:rPr>
        <w:t>武汉东湖新技术开发区教育局（汇总）</w:t>
      </w:r>
      <w:r>
        <w:rPr>
          <w:rFonts w:hint="default" w:ascii="Times New Roman" w:hAnsi="Times New Roman" w:eastAsia="仿宋_GB2312" w:cs="Times New Roman"/>
          <w:spacing w:val="-6"/>
          <w:u w:val="none" w:color="auto"/>
        </w:rPr>
        <w:t>政府采购支出总额</w:t>
      </w:r>
      <w:r>
        <w:rPr>
          <w:rFonts w:hint="eastAsia" w:ascii="Times New Roman" w:hAnsi="Times New Roman" w:eastAsia="仿宋_GB2312" w:cs="Times New Roman"/>
          <w:spacing w:val="-6"/>
          <w:u w:val="none" w:color="auto"/>
          <w:lang w:val="en-US" w:eastAsia="zh-CN"/>
        </w:rPr>
        <w:t>23409.4</w:t>
      </w:r>
      <w:r>
        <w:rPr>
          <w:rFonts w:hint="default" w:ascii="Times New Roman" w:hAnsi="Times New Roman" w:eastAsia="仿宋_GB2312" w:cs="Times New Roman"/>
          <w:spacing w:val="-6"/>
          <w:u w:val="none" w:color="auto"/>
        </w:rPr>
        <w:t>万元，其中：政府采购货物支出</w:t>
      </w:r>
      <w:r>
        <w:rPr>
          <w:rFonts w:hint="eastAsia" w:ascii="Times New Roman" w:hAnsi="Times New Roman" w:eastAsia="仿宋_GB2312" w:cs="Times New Roman"/>
          <w:spacing w:val="-6"/>
          <w:u w:val="none" w:color="auto"/>
          <w:lang w:val="en-US" w:eastAsia="zh-CN"/>
        </w:rPr>
        <w:t>9706.7</w:t>
      </w:r>
      <w:r>
        <w:rPr>
          <w:rFonts w:hint="default" w:ascii="Times New Roman" w:hAnsi="Times New Roman" w:eastAsia="仿宋_GB2312" w:cs="Times New Roman"/>
          <w:spacing w:val="-6"/>
          <w:u w:val="none" w:color="auto"/>
        </w:rPr>
        <w:t>万元、政府采购工程支出</w:t>
      </w:r>
      <w:r>
        <w:rPr>
          <w:rFonts w:hint="eastAsia" w:ascii="Times New Roman" w:hAnsi="Times New Roman" w:eastAsia="仿宋_GB2312" w:cs="Times New Roman"/>
          <w:spacing w:val="-6"/>
          <w:u w:val="none" w:color="auto"/>
          <w:lang w:val="en-US" w:eastAsia="zh-CN"/>
        </w:rPr>
        <w:t>5802.1</w:t>
      </w:r>
      <w:r>
        <w:rPr>
          <w:rFonts w:hint="default" w:ascii="Times New Roman" w:hAnsi="Times New Roman" w:eastAsia="仿宋_GB2312" w:cs="Times New Roman"/>
          <w:spacing w:val="-6"/>
          <w:u w:val="none" w:color="auto"/>
        </w:rPr>
        <w:t>万元、政府采购服务支出</w:t>
      </w:r>
      <w:r>
        <w:rPr>
          <w:rFonts w:hint="eastAsia" w:ascii="Times New Roman" w:hAnsi="Times New Roman" w:eastAsia="仿宋_GB2312" w:cs="Times New Roman"/>
          <w:spacing w:val="-6"/>
          <w:u w:val="none" w:color="auto"/>
          <w:lang w:val="en-US" w:eastAsia="zh-CN"/>
        </w:rPr>
        <w:t>7900.6</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bCs/>
          <w:kern w:val="44"/>
          <w:sz w:val="32"/>
          <w:szCs w:val="32"/>
          <w:u w:val="none" w:color="auto"/>
        </w:rPr>
        <w:t>授予中小企业合同金额</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万元，占政府采购支出总额的</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%，其中：授予小微企业合同金额</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万元，占授予中小企业合同金额的</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%；货物采购授予中小企业合同金额占货物支出金额的</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%，工程采购授予中小企业合同金额占工程支出金额的</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%，服务采购授予中小企业合同金额占服务支出金额的</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十二、国有资产占用情况说明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bCs/>
          <w:sz w:val="32"/>
          <w:szCs w:val="32"/>
          <w:u w:val="none" w:color="auto"/>
          <w:lang w:eastAsia="zh-CN"/>
        </w:rPr>
        <w:t>截至202</w:t>
      </w:r>
      <w:r>
        <w:rPr>
          <w:rFonts w:hint="eastAsia" w:ascii="Times New Roman" w:hAnsi="Times New Roman" w:eastAsia="仿宋_GB2312" w:cs="Times New Roman"/>
          <w:bCs/>
          <w:sz w:val="32"/>
          <w:szCs w:val="32"/>
          <w:u w:val="none" w:color="auto"/>
          <w:lang w:val="en-US" w:eastAsia="zh-CN"/>
        </w:rPr>
        <w:t>4</w:t>
      </w:r>
      <w:r>
        <w:rPr>
          <w:rFonts w:hint="default" w:ascii="Times New Roman" w:hAnsi="Times New Roman" w:eastAsia="仿宋_GB2312" w:cs="Times New Roman"/>
          <w:bCs/>
          <w:sz w:val="32"/>
          <w:szCs w:val="32"/>
          <w:u w:val="none" w:color="auto"/>
          <w:lang w:eastAsia="zh-CN"/>
        </w:rPr>
        <w:t>年12月31日，</w:t>
      </w:r>
      <w:r>
        <w:rPr>
          <w:rFonts w:hint="eastAsia" w:ascii="Times New Roman" w:hAnsi="Times New Roman" w:eastAsia="仿宋_GB2312" w:cs="Times New Roman"/>
          <w:bCs/>
          <w:sz w:val="32"/>
          <w:szCs w:val="32"/>
          <w:u w:val="none" w:color="auto"/>
          <w:lang w:eastAsia="zh-CN"/>
        </w:rPr>
        <w:t>武汉东湖新技术开发区教育局（</w:t>
      </w:r>
      <w:r>
        <w:rPr>
          <w:rFonts w:hint="eastAsia" w:ascii="Times New Roman" w:hAnsi="Times New Roman" w:eastAsia="仿宋_GB2312" w:cs="Times New Roman"/>
          <w:bCs/>
          <w:sz w:val="32"/>
          <w:szCs w:val="32"/>
          <w:u w:val="none" w:color="auto"/>
          <w:lang w:val="en-US" w:eastAsia="zh-CN"/>
        </w:rPr>
        <w:t>汇总</w:t>
      </w:r>
      <w:r>
        <w:rPr>
          <w:rFonts w:hint="eastAsia" w:ascii="Times New Roman" w:hAnsi="Times New Roman" w:eastAsia="仿宋_GB2312" w:cs="Times New Roman"/>
          <w:bCs/>
          <w:sz w:val="32"/>
          <w:szCs w:val="32"/>
          <w:u w:val="none" w:color="auto"/>
          <w:lang w:eastAsia="zh-CN"/>
        </w:rPr>
        <w:t>）</w:t>
      </w:r>
      <w:r>
        <w:rPr>
          <w:rFonts w:hint="default" w:ascii="Times New Roman" w:hAnsi="Times New Roman" w:eastAsia="仿宋_GB2312" w:cs="Times New Roman"/>
          <w:bCs/>
          <w:kern w:val="44"/>
          <w:sz w:val="32"/>
          <w:szCs w:val="32"/>
          <w:u w:val="none" w:color="auto"/>
        </w:rPr>
        <w:t>共有车辆</w:t>
      </w:r>
      <w:r>
        <w:rPr>
          <w:rFonts w:hint="eastAsia" w:ascii="Times New Roman" w:hAnsi="Times New Roman" w:eastAsia="仿宋_GB2312" w:cs="Times New Roman"/>
          <w:bCs/>
          <w:kern w:val="44"/>
          <w:sz w:val="32"/>
          <w:szCs w:val="32"/>
          <w:u w:val="none" w:color="auto"/>
          <w:lang w:val="en-US" w:eastAsia="zh-CN"/>
        </w:rPr>
        <w:t>0</w:t>
      </w:r>
      <w:r>
        <w:rPr>
          <w:rFonts w:hint="default" w:ascii="Times New Roman" w:hAnsi="Times New Roman" w:eastAsia="仿宋_GB2312" w:cs="Times New Roman"/>
          <w:bCs/>
          <w:kern w:val="44"/>
          <w:sz w:val="32"/>
          <w:szCs w:val="32"/>
          <w:u w:val="none" w:color="auto"/>
        </w:rPr>
        <w:t>辆，其中，其他用车</w:t>
      </w:r>
      <w:r>
        <w:rPr>
          <w:rFonts w:hint="eastAsia" w:ascii="Times New Roman" w:hAnsi="Times New Roman" w:eastAsia="仿宋_GB2312" w:cs="Times New Roman"/>
          <w:bCs/>
          <w:kern w:val="44"/>
          <w:sz w:val="32"/>
          <w:szCs w:val="32"/>
          <w:u w:val="none" w:color="auto"/>
          <w:lang w:val="en-US" w:eastAsia="zh-CN"/>
        </w:rPr>
        <w:t>12</w:t>
      </w:r>
      <w:r>
        <w:rPr>
          <w:rFonts w:hint="default" w:ascii="Times New Roman" w:hAnsi="Times New Roman" w:eastAsia="仿宋_GB2312" w:cs="Times New Roman"/>
          <w:bCs/>
          <w:kern w:val="44"/>
          <w:sz w:val="32"/>
          <w:szCs w:val="32"/>
          <w:u w:val="none" w:color="auto"/>
        </w:rPr>
        <w:t>辆。单价100万元(含)以上设备</w:t>
      </w:r>
      <w:r>
        <w:rPr>
          <w:rFonts w:hint="eastAsia" w:ascii="Times New Roman" w:hAnsi="Times New Roman" w:eastAsia="仿宋_GB2312" w:cs="Times New Roman"/>
          <w:bCs/>
          <w:kern w:val="44"/>
          <w:sz w:val="32"/>
          <w:szCs w:val="32"/>
          <w:u w:val="none" w:color="auto"/>
          <w:lang w:val="en-US" w:eastAsia="zh-CN"/>
        </w:rPr>
        <w:t>1</w:t>
      </w:r>
      <w:r>
        <w:rPr>
          <w:rFonts w:hint="default" w:ascii="Times New Roman" w:hAnsi="Times New Roman" w:eastAsia="仿宋_GB2312" w:cs="Times New Roman"/>
          <w:bCs/>
          <w:kern w:val="44"/>
          <w:sz w:val="32"/>
          <w:szCs w:val="32"/>
          <w:u w:val="none" w:color="auto"/>
        </w:rPr>
        <w:t>台(套)。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一</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预算绩效管理工作开展情况</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rPr>
        <w:t>根据预算绩效管理要求，我部门</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组织对202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年度一</w:t>
      </w:r>
      <w:r>
        <w:rPr>
          <w:rFonts w:hint="default" w:ascii="Times New Roman" w:hAnsi="Times New Roman" w:eastAsia="仿宋_GB2312" w:cs="Times New Roman"/>
          <w:spacing w:val="-3"/>
          <w:u w:val="none" w:color="auto"/>
        </w:rPr>
        <w:t>般公共预算项目支出全面开展绩效自评，共</w:t>
      </w:r>
      <w:r>
        <w:rPr>
          <w:rFonts w:hint="default" w:ascii="Times New Roman" w:hAnsi="Times New Roman" w:eastAsia="仿宋_GB2312" w:cs="Times New Roman"/>
          <w:spacing w:val="-4"/>
          <w:u w:val="none" w:color="auto"/>
        </w:rPr>
        <w:t>涉及项目</w:t>
      </w:r>
      <w:r>
        <w:rPr>
          <w:rFonts w:hint="eastAsia" w:ascii="Times New Roman" w:hAnsi="Times New Roman" w:eastAsia="仿宋_GB2312" w:cs="Times New Roman"/>
          <w:spacing w:val="-4"/>
          <w:u w:val="none" w:color="auto"/>
          <w:lang w:val="en-US" w:eastAsia="zh-CN"/>
        </w:rPr>
        <w:t>29</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u w:val="none" w:color="auto"/>
        </w:rPr>
        <w:t>资金</w:t>
      </w:r>
      <w:r>
        <w:rPr>
          <w:rFonts w:hint="eastAsia" w:eastAsia="仿宋"/>
          <w:sz w:val="32"/>
          <w:szCs w:val="32"/>
          <w:lang w:val="en-US" w:eastAsia="zh-CN"/>
        </w:rPr>
        <w:t>283167.81</w:t>
      </w:r>
      <w:r>
        <w:rPr>
          <w:rFonts w:hint="default" w:ascii="Times New Roman" w:hAnsi="Times New Roman" w:eastAsia="仿宋_GB2312" w:cs="Times New Roman"/>
          <w:spacing w:val="-3"/>
          <w:u w:val="none" w:color="auto"/>
        </w:rPr>
        <w:t>万元，占一般公共预算项目支出总额的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3"/>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二</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部门</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单位</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整体支出自评结果</w:t>
      </w:r>
    </w:p>
    <w:p>
      <w:pPr>
        <w:shd w:val="clear" w:color="auto" w:fill="FFFFFF" w:themeFill="background1"/>
        <w:spacing w:line="560" w:lineRule="exact"/>
        <w:ind w:firstLine="668" w:firstLineChars="200"/>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我部门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组织对</w:t>
      </w:r>
      <w:r>
        <w:rPr>
          <w:rFonts w:hint="eastAsia" w:ascii="Times New Roman" w:hAnsi="Times New Roman" w:eastAsia="仿宋_GB2312" w:cs="Times New Roman"/>
          <w:snapToGrid w:val="0"/>
          <w:color w:val="000000"/>
          <w:spacing w:val="7"/>
          <w:kern w:val="0"/>
          <w:sz w:val="32"/>
          <w:szCs w:val="32"/>
          <w:u w:val="none" w:color="auto"/>
          <w:lang w:val="en-US" w:eastAsia="zh-CN" w:bidi="ar-SA"/>
        </w:rPr>
        <w:t>1</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en-US" w:bidi="ar-SA"/>
        </w:rPr>
        <w:t>开展整体支出绩效自评，资金</w:t>
      </w:r>
      <w:r>
        <w:rPr>
          <w:rFonts w:hint="eastAsia" w:ascii="Times New Roman" w:hAnsi="Times New Roman" w:eastAsia="仿宋_GB2312" w:cs="Times New Roman"/>
          <w:snapToGrid w:val="0"/>
          <w:color w:val="000000"/>
          <w:spacing w:val="7"/>
          <w:kern w:val="0"/>
          <w:sz w:val="32"/>
          <w:szCs w:val="32"/>
          <w:u w:val="none" w:color="auto"/>
          <w:lang w:val="en-US" w:eastAsia="zh-CN" w:bidi="ar-SA"/>
        </w:rPr>
        <w:t>283167.81</w:t>
      </w:r>
      <w:r>
        <w:rPr>
          <w:rFonts w:hint="default" w:ascii="Times New Roman" w:hAnsi="Times New Roman" w:eastAsia="仿宋_GB2312" w:cs="Times New Roman"/>
          <w:snapToGrid w:val="0"/>
          <w:color w:val="000000"/>
          <w:spacing w:val="7"/>
          <w:kern w:val="0"/>
          <w:sz w:val="32"/>
          <w:szCs w:val="32"/>
          <w:u w:val="none" w:color="auto"/>
          <w:lang w:val="en-US" w:eastAsia="en-US" w:bidi="ar-SA"/>
        </w:rPr>
        <w:t>万元，从评价情况来看，</w:t>
      </w:r>
      <w:r>
        <w:rPr>
          <w:rFonts w:hint="eastAsia" w:ascii="Times New Roman" w:hAnsi="Times New Roman" w:eastAsia="仿宋_GB2312" w:cs="Times New Roman"/>
          <w:snapToGrid w:val="0"/>
          <w:color w:val="000000"/>
          <w:spacing w:val="7"/>
          <w:kern w:val="0"/>
          <w:sz w:val="32"/>
          <w:szCs w:val="32"/>
          <w:u w:val="none" w:color="auto"/>
          <w:lang w:val="en-US" w:eastAsia="en-US" w:bidi="ar-SA"/>
        </w:rPr>
        <w:t>2024年度部门整体支出</w:t>
      </w:r>
      <w:r>
        <w:rPr>
          <w:rFonts w:hint="default" w:ascii="Times New Roman" w:hAnsi="Times New Roman" w:eastAsia="仿宋_GB2312" w:cs="Times New Roman"/>
          <w:snapToGrid w:val="0"/>
          <w:color w:val="000000"/>
          <w:spacing w:val="7"/>
          <w:kern w:val="0"/>
          <w:sz w:val="32"/>
          <w:szCs w:val="32"/>
          <w:u w:val="none" w:color="auto"/>
          <w:lang w:val="en-US" w:eastAsia="en-US" w:bidi="ar-SA"/>
        </w:rPr>
        <w:t>共设置</w:t>
      </w:r>
      <w:r>
        <w:rPr>
          <w:rFonts w:hint="eastAsia" w:ascii="Times New Roman" w:hAnsi="Times New Roman" w:eastAsia="仿宋_GB2312" w:cs="Times New Roman"/>
          <w:snapToGrid w:val="0"/>
          <w:color w:val="000000"/>
          <w:spacing w:val="7"/>
          <w:kern w:val="0"/>
          <w:sz w:val="32"/>
          <w:szCs w:val="32"/>
          <w:u w:val="none" w:color="auto"/>
          <w:lang w:val="en-US" w:eastAsia="en-US" w:bidi="ar-SA"/>
        </w:rPr>
        <w:t>29</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个绩效指标，完成了</w:t>
      </w:r>
      <w:r>
        <w:rPr>
          <w:rFonts w:hint="eastAsia" w:ascii="Times New Roman" w:hAnsi="Times New Roman" w:eastAsia="仿宋_GB2312" w:cs="Times New Roman"/>
          <w:snapToGrid w:val="0"/>
          <w:color w:val="000000"/>
          <w:spacing w:val="7"/>
          <w:kern w:val="0"/>
          <w:sz w:val="32"/>
          <w:szCs w:val="32"/>
          <w:u w:val="none" w:color="auto"/>
          <w:lang w:val="en-US" w:eastAsia="en-US" w:bidi="ar-SA"/>
        </w:rPr>
        <w:t>27</w:t>
      </w:r>
      <w:r>
        <w:rPr>
          <w:rFonts w:hint="default" w:ascii="Times New Roman" w:hAnsi="Times New Roman" w:eastAsia="仿宋_GB2312" w:cs="Times New Roman"/>
          <w:snapToGrid w:val="0"/>
          <w:color w:val="000000"/>
          <w:spacing w:val="7"/>
          <w:kern w:val="0"/>
          <w:sz w:val="32"/>
          <w:szCs w:val="32"/>
          <w:u w:val="none" w:color="auto"/>
          <w:lang w:val="en-US" w:eastAsia="en-US" w:bidi="ar-SA"/>
        </w:rPr>
        <w:t>个。资金使用较为规范，部门产出较好，并取得了良好的社会效益。</w:t>
      </w:r>
      <w:r>
        <w:rPr>
          <w:rFonts w:hint="eastAsia" w:ascii="Times New Roman" w:hAnsi="Times New Roman" w:eastAsia="仿宋_GB2312" w:cs="Times New Roman"/>
          <w:snapToGrid w:val="0"/>
          <w:color w:val="000000"/>
          <w:spacing w:val="7"/>
          <w:kern w:val="0"/>
          <w:sz w:val="32"/>
          <w:szCs w:val="32"/>
          <w:u w:val="none" w:color="auto"/>
          <w:lang w:val="en-US" w:eastAsia="en-US" w:bidi="ar-SA"/>
        </w:rPr>
        <w:t>部门未完成的绩效指标有2个，具体指标完成情况如下表所示：</w:t>
      </w:r>
    </w:p>
    <w:p>
      <w:pPr>
        <w:shd w:val="clear" w:color="auto" w:fill="FFFFFF" w:themeFill="background1"/>
        <w:spacing w:line="560" w:lineRule="exact"/>
        <w:jc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表1.1未完成指标分析表</w:t>
      </w:r>
    </w:p>
    <w:tbl>
      <w:tblPr>
        <w:tblStyle w:val="11"/>
        <w:tblW w:w="5083" w:type="pct"/>
        <w:jc w:val="center"/>
        <w:tblLayout w:type="fixed"/>
        <w:tblCellMar>
          <w:top w:w="0" w:type="dxa"/>
          <w:left w:w="108" w:type="dxa"/>
          <w:bottom w:w="0" w:type="dxa"/>
          <w:right w:w="108" w:type="dxa"/>
        </w:tblCellMar>
      </w:tblPr>
      <w:tblGrid>
        <w:gridCol w:w="1448"/>
        <w:gridCol w:w="1697"/>
        <w:gridCol w:w="1045"/>
        <w:gridCol w:w="1216"/>
        <w:gridCol w:w="3257"/>
      </w:tblGrid>
      <w:tr>
        <w:tblPrEx>
          <w:tblCellMar>
            <w:top w:w="0" w:type="dxa"/>
            <w:left w:w="108" w:type="dxa"/>
            <w:bottom w:w="0" w:type="dxa"/>
            <w:right w:w="108" w:type="dxa"/>
          </w:tblCellMar>
        </w:tblPrEx>
        <w:trPr>
          <w:trHeight w:val="454" w:hRule="atLeast"/>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目标</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指标名称</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目标值</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完成值</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未完成原因</w:t>
            </w:r>
          </w:p>
        </w:tc>
      </w:tr>
      <w:tr>
        <w:tblPrEx>
          <w:tblCellMar>
            <w:top w:w="0" w:type="dxa"/>
            <w:left w:w="108" w:type="dxa"/>
            <w:bottom w:w="0" w:type="dxa"/>
            <w:right w:w="108" w:type="dxa"/>
          </w:tblCellMar>
        </w:tblPrEx>
        <w:trPr>
          <w:trHeight w:val="454" w:hRule="atLeast"/>
          <w:jc w:val="center"/>
        </w:trPr>
        <w:tc>
          <w:tcPr>
            <w:tcW w:w="83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年度目标</w:t>
            </w:r>
            <w:r>
              <w:rPr>
                <w:rFonts w:hint="eastAsia" w:ascii="Times New Roman" w:hAnsi="Times New Roman" w:eastAsia="仿宋_GB2312" w:cs="Times New Roman"/>
                <w:snapToGrid w:val="0"/>
                <w:color w:val="000000"/>
                <w:spacing w:val="7"/>
                <w:kern w:val="0"/>
                <w:sz w:val="32"/>
                <w:szCs w:val="32"/>
                <w:u w:val="none" w:color="auto"/>
                <w:lang w:val="en-US" w:eastAsia="en-US" w:bidi="ar-SA"/>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新建学校项目完工率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66.67%</w:t>
            </w:r>
          </w:p>
        </w:tc>
        <w:tc>
          <w:tcPr>
            <w:tcW w:w="1879" w:type="pct"/>
            <w:vMerge w:val="restart"/>
            <w:tcBorders>
              <w:top w:val="single" w:color="auto" w:sz="4" w:space="0"/>
              <w:left w:val="single" w:color="auto" w:sz="4" w:space="0"/>
              <w:right w:val="single" w:color="auto" w:sz="4" w:space="0"/>
            </w:tcBorders>
            <w:shd w:val="clear" w:color="auto" w:fill="auto"/>
            <w:vAlign w:val="center"/>
          </w:tcPr>
          <w:p>
            <w:pPr>
              <w:widowControl/>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在推进新建及扩建学校项目过程中，受工程建设资金不足、土地审批</w:t>
            </w:r>
            <w:r>
              <w:rPr>
                <w:rFonts w:hint="eastAsia" w:ascii="Times New Roman" w:hAnsi="Times New Roman" w:eastAsia="仿宋_GB2312" w:cs="Times New Roman"/>
                <w:snapToGrid w:val="0"/>
                <w:color w:val="000000"/>
                <w:spacing w:val="7"/>
                <w:kern w:val="0"/>
                <w:sz w:val="32"/>
                <w:szCs w:val="32"/>
                <w:u w:val="none" w:color="auto"/>
                <w:lang w:val="en-US" w:eastAsia="zh-CN" w:bidi="ar-SA"/>
              </w:rPr>
              <w:t>手续办理延迟</w:t>
            </w:r>
            <w:r>
              <w:rPr>
                <w:rFonts w:hint="default" w:ascii="Times New Roman" w:hAnsi="Times New Roman" w:eastAsia="仿宋_GB2312" w:cs="Times New Roman"/>
                <w:snapToGrid w:val="0"/>
                <w:color w:val="000000"/>
                <w:spacing w:val="7"/>
                <w:kern w:val="0"/>
                <w:sz w:val="32"/>
                <w:szCs w:val="32"/>
                <w:u w:val="none" w:color="auto"/>
                <w:lang w:val="en-US" w:eastAsia="en-US" w:bidi="ar-SA"/>
              </w:rPr>
              <w:t>等影响，部分项目未能按计划完工。</w:t>
            </w:r>
          </w:p>
        </w:tc>
      </w:tr>
      <w:tr>
        <w:tblPrEx>
          <w:tblCellMar>
            <w:top w:w="0" w:type="dxa"/>
            <w:left w:w="108" w:type="dxa"/>
            <w:bottom w:w="0" w:type="dxa"/>
            <w:right w:w="108" w:type="dxa"/>
          </w:tblCellMar>
        </w:tblPrEx>
        <w:trPr>
          <w:trHeight w:val="454" w:hRule="atLeast"/>
          <w:jc w:val="center"/>
        </w:trPr>
        <w:tc>
          <w:tcPr>
            <w:tcW w:w="83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大型维修改造学校项目完工率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default" w:ascii="Times New Roman" w:hAnsi="Times New Roman" w:eastAsia="仿宋_GB2312" w:cs="Times New Roman"/>
                <w:snapToGrid w:val="0"/>
                <w:color w:val="000000"/>
                <w:spacing w:val="7"/>
                <w:kern w:val="0"/>
                <w:sz w:val="32"/>
                <w:szCs w:val="32"/>
                <w:u w:val="none" w:color="auto"/>
                <w:lang w:val="en-US" w:eastAsia="en-US" w:bidi="ar-SA"/>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r>
              <w:rPr>
                <w:rFonts w:hint="eastAsia" w:ascii="Times New Roman" w:hAnsi="Times New Roman" w:eastAsia="仿宋_GB2312" w:cs="Times New Roman"/>
                <w:snapToGrid w:val="0"/>
                <w:color w:val="000000"/>
                <w:spacing w:val="7"/>
                <w:kern w:val="0"/>
                <w:sz w:val="32"/>
                <w:szCs w:val="32"/>
                <w:u w:val="none" w:color="auto"/>
                <w:lang w:val="en-US" w:eastAsia="en-US" w:bidi="ar-SA"/>
              </w:rPr>
              <w:t>50%</w:t>
            </w:r>
          </w:p>
        </w:tc>
        <w:tc>
          <w:tcPr>
            <w:tcW w:w="1879"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仿宋_GB2312" w:cs="Times New Roman"/>
                <w:snapToGrid w:val="0"/>
                <w:color w:val="000000"/>
                <w:spacing w:val="7"/>
                <w:kern w:val="0"/>
                <w:sz w:val="32"/>
                <w:szCs w:val="32"/>
                <w:u w:val="none" w:color="auto"/>
                <w:lang w:val="en-US" w:eastAsia="en-US" w:bidi="ar-SA"/>
              </w:rPr>
            </w:pPr>
          </w:p>
        </w:tc>
      </w:tr>
    </w:tbl>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default" w:ascii="Times New Roman" w:hAnsi="Times New Roman" w:eastAsia="仿宋_GB2312" w:cs="Times New Roman"/>
          <w:u w:val="none" w:color="auto"/>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三</w:t>
      </w: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项目支出自评结果</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rPr>
          <w:rFonts w:hint="default" w:ascii="Times New Roman" w:hAnsi="Times New Roman" w:eastAsia="仿宋_GB2312" w:cs="Times New Roman"/>
          <w:snapToGrid w:val="0"/>
          <w:color w:val="000000"/>
          <w:spacing w:val="7"/>
          <w:kern w:val="0"/>
          <w:sz w:val="32"/>
          <w:szCs w:val="32"/>
          <w:u w:val="none" w:color="auto"/>
          <w:lang w:val="en-US" w:eastAsia="zh-CN" w:bidi="ar-SA"/>
        </w:rPr>
      </w:pPr>
      <w:r>
        <w:rPr>
          <w:rFonts w:hint="default" w:ascii="Times New Roman" w:hAnsi="Times New Roman" w:eastAsia="仿宋_GB2312" w:cs="Times New Roman"/>
          <w:snapToGrid w:val="0"/>
          <w:color w:val="000000"/>
          <w:spacing w:val="7"/>
          <w:kern w:val="0"/>
          <w:sz w:val="32"/>
          <w:szCs w:val="32"/>
          <w:u w:val="none" w:color="auto"/>
          <w:lang w:val="en-US" w:eastAsia="zh-CN" w:bidi="ar-SA"/>
        </w:rPr>
        <w:t>我部门</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单位</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在202</w:t>
      </w:r>
      <w:r>
        <w:rPr>
          <w:rFonts w:hint="eastAsia" w:ascii="Times New Roman" w:hAnsi="Times New Roman" w:eastAsia="仿宋_GB2312" w:cs="Times New Roman"/>
          <w:snapToGrid w:val="0"/>
          <w:color w:val="000000"/>
          <w:spacing w:val="7"/>
          <w:kern w:val="0"/>
          <w:sz w:val="32"/>
          <w:szCs w:val="32"/>
          <w:u w:val="none" w:color="auto"/>
          <w:lang w:val="en-US" w:eastAsia="zh-CN" w:bidi="ar-SA"/>
        </w:rPr>
        <w:t>4</w:t>
      </w:r>
      <w:r>
        <w:rPr>
          <w:rFonts w:hint="default" w:ascii="Times New Roman" w:hAnsi="Times New Roman" w:eastAsia="仿宋_GB2312" w:cs="Times New Roman"/>
          <w:snapToGrid w:val="0"/>
          <w:color w:val="000000"/>
          <w:spacing w:val="7"/>
          <w:kern w:val="0"/>
          <w:sz w:val="32"/>
          <w:szCs w:val="32"/>
          <w:u w:val="none" w:color="auto"/>
          <w:lang w:val="en-US" w:eastAsia="zh-CN" w:bidi="ar-SA"/>
        </w:rPr>
        <w:t>年度部门决算中反映所有项目绩效自评结果</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不包括涉密项目</w:t>
      </w:r>
      <w:r>
        <w:rPr>
          <w:rFonts w:hint="eastAsia" w:ascii="Times New Roman" w:hAnsi="Times New Roman" w:eastAsia="仿宋_GB2312" w:cs="Times New Roman"/>
          <w:snapToGrid w:val="0"/>
          <w:color w:val="000000"/>
          <w:spacing w:val="7"/>
          <w:kern w:val="0"/>
          <w:sz w:val="32"/>
          <w:szCs w:val="32"/>
          <w:u w:val="none" w:color="auto"/>
          <w:lang w:val="en-US" w:eastAsia="zh-CN" w:bidi="ar-SA"/>
        </w:rPr>
        <w:t>）</w:t>
      </w:r>
      <w:r>
        <w:rPr>
          <w:rFonts w:hint="default" w:ascii="Times New Roman" w:hAnsi="Times New Roman" w:eastAsia="仿宋_GB2312" w:cs="Times New Roman"/>
          <w:snapToGrid w:val="0"/>
          <w:color w:val="000000"/>
          <w:spacing w:val="7"/>
          <w:kern w:val="0"/>
          <w:sz w:val="32"/>
          <w:szCs w:val="32"/>
          <w:u w:val="none" w:color="auto"/>
          <w:lang w:val="en-US" w:eastAsia="zh-CN" w:bidi="ar-SA"/>
        </w:rPr>
        <w:t>，共涉及</w:t>
      </w:r>
      <w:r>
        <w:rPr>
          <w:rFonts w:hint="eastAsia" w:ascii="Times New Roman" w:hAnsi="Times New Roman" w:eastAsia="仿宋_GB2312" w:cs="Times New Roman"/>
          <w:snapToGrid w:val="0"/>
          <w:color w:val="000000"/>
          <w:spacing w:val="7"/>
          <w:kern w:val="0"/>
          <w:sz w:val="32"/>
          <w:szCs w:val="32"/>
          <w:u w:val="none" w:color="auto"/>
          <w:lang w:val="en-US" w:eastAsia="zh-CN" w:bidi="ar-SA"/>
        </w:rPr>
        <w:t>29</w:t>
      </w:r>
      <w:r>
        <w:rPr>
          <w:rFonts w:hint="default" w:ascii="Times New Roman" w:hAnsi="Times New Roman" w:eastAsia="仿宋_GB2312" w:cs="Times New Roman"/>
          <w:snapToGrid w:val="0"/>
          <w:color w:val="000000"/>
          <w:spacing w:val="7"/>
          <w:kern w:val="0"/>
          <w:sz w:val="32"/>
          <w:szCs w:val="32"/>
          <w:u w:val="none" w:color="auto"/>
          <w:lang w:val="en-US" w:eastAsia="zh-CN" w:bidi="ar-SA"/>
        </w:rPr>
        <w:t>个一级项目。</w:t>
      </w:r>
    </w:p>
    <w:p>
      <w:pPr>
        <w:keepNext/>
        <w:spacing w:line="560" w:lineRule="exact"/>
        <w:ind w:firstLine="668" w:firstLineChars="200"/>
        <w:rPr>
          <w:rFonts w:hint="eastAsia" w:ascii="Times New Roman" w:hAnsi="Times New Roman" w:eastAsia="仿宋_GB2312" w:cs="Times New Roman"/>
          <w:snapToGrid w:val="0"/>
          <w:color w:val="000000"/>
          <w:spacing w:val="7"/>
          <w:kern w:val="0"/>
          <w:sz w:val="32"/>
          <w:szCs w:val="32"/>
          <w:u w:val="none" w:color="auto"/>
          <w:lang w:val="en-US" w:eastAsia="zh-CN" w:bidi="ar-SA"/>
        </w:rPr>
      </w:pPr>
      <w:r>
        <w:rPr>
          <w:rFonts w:hint="eastAsia" w:ascii="Times New Roman" w:hAnsi="Times New Roman" w:eastAsia="仿宋_GB2312" w:cs="Times New Roman"/>
          <w:snapToGrid w:val="0"/>
          <w:color w:val="000000"/>
          <w:spacing w:val="7"/>
          <w:kern w:val="0"/>
          <w:sz w:val="32"/>
          <w:szCs w:val="32"/>
          <w:u w:val="none" w:color="auto"/>
          <w:lang w:val="en-US" w:eastAsia="zh-CN" w:bidi="ar-SA"/>
        </w:rPr>
        <w:t>2024年度武汉东湖新技术开发区教育局年初部门预算数为261937.17万元，其中基本支出158317.95万元，项目支出预算103619.22万元；调整后部门预算数为283568.97万元，其中基本支出预算167978.68万元，项目支出预算115189.14万元，年末结转和结余401.16万元（金额转换成万元时，因四舍五入存在尾差，后同）。2024年度预算执行数283167.81万元，其中基本支出预算执行数167978.68万元，项目支出预算执行数115189.14万元，预算执行率为99.86%。</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四</w:t>
      </w: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绩效自评结果应用情况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1.上年度部门绩效评价结果应用情况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上年度实施了绩效自评并形成了部门整体绩效自评结果，相关应用情况如下：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区教育局开展了2024年度部门整体支出绩效自评工作，自评结果主要反馈的问题：一是教师招聘及名校长引进工作有待加强；二是部分绩效指标编制不合理。2025年指标编制在此基础上进行了完善，编制较科学，此外教师队伍建设工作有待加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2.部门绩效评价结果拟应用情况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pPr>
      <w:r>
        <w:rPr>
          <w:rFonts w:hint="eastAsia" w:ascii="Times New Roman" w:hAnsi="Times New Roman" w:eastAsia="仿宋_GB2312" w:cs="Times New Roman"/>
          <w:snapToGrid w:val="0"/>
          <w:color w:val="auto"/>
          <w:kern w:val="0"/>
          <w:sz w:val="32"/>
          <w:szCs w:val="32"/>
          <w:highlight w:val="none"/>
          <w:u w:val="none" w:color="auto"/>
          <w:shd w:val="clear" w:color="auto" w:fill="auto"/>
          <w:lang w:val="en-US" w:eastAsia="zh-CN" w:bidi="ar-SA"/>
        </w:rPr>
        <w:t>结合本年度绩效评价结果中本年度绩效存在的问题和原因，结合下一步措施进行绩效整改，预防下一年度再出现类似问题。此外，结合项目评价结果，在年底申报下一年度预算时，结合上一年度预算执行情况和本年度预算收支变化因素，科学、合理地编制预算草案，避免预算支出与实际执行出现较大偏差的情况；结合预算安排、上一年度绩效目标完成情况及科学预测疫情对相关活动开展的影响，合理设置指标值；加强预算绩效监控，及时进行纠偏，确需进行预算调整的，完善预算调整手续并相应调整绩效目标。</w:t>
      </w:r>
    </w:p>
    <w:p>
      <w:pPr>
        <w:rPr>
          <w:rFonts w:hint="default" w:ascii="Times New Roman" w:hAnsi="Times New Roman" w:eastAsia="仿宋_GB2312" w:cs="Times New Roman"/>
          <w:b/>
          <w:bCs/>
          <w:sz w:val="32"/>
          <w:szCs w:val="32"/>
          <w:u w:val="none" w:color="auto"/>
        </w:rPr>
      </w:pPr>
      <w:r>
        <w:rPr>
          <w:rFonts w:hint="default" w:ascii="Times New Roman" w:hAnsi="Times New Roman" w:eastAsia="仿宋_GB2312" w:cs="Times New Roman"/>
          <w:b/>
          <w:bCs/>
          <w:sz w:val="32"/>
          <w:szCs w:val="32"/>
          <w:u w:val="none" w:color="auto"/>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u w:val="none" w:color="auto"/>
        </w:rPr>
      </w:pPr>
      <w:r>
        <w:rPr>
          <w:rFonts w:hint="eastAsia" w:ascii="方正小标宋_GBK" w:hAnsi="方正小标宋_GBK" w:eastAsia="方正小标宋_GBK" w:cs="方正小标宋_GBK"/>
          <w:spacing w:val="-2"/>
          <w:sz w:val="44"/>
          <w:szCs w:val="44"/>
          <w:u w:val="none" w:color="auto"/>
        </w:rPr>
        <w:t xml:space="preserve">第四部分  </w:t>
      </w:r>
      <w:r>
        <w:rPr>
          <w:rFonts w:hint="eastAsia" w:ascii="Times New Roman" w:hAnsi="方正小标宋_GBK" w:eastAsia="方正小标宋_GBK" w:cs="方正小标宋_GBK"/>
          <w:spacing w:val="-2"/>
          <w:sz w:val="44"/>
          <w:szCs w:val="44"/>
          <w:u w:val="none" w:color="auto"/>
        </w:rPr>
        <w:t>202</w:t>
      </w:r>
      <w:r>
        <w:rPr>
          <w:rFonts w:hint="eastAsia" w:ascii="Times New Roman" w:hAnsi="方正小标宋_GBK" w:eastAsia="方正小标宋_GBK" w:cs="方正小标宋_GBK"/>
          <w:spacing w:val="-2"/>
          <w:sz w:val="44"/>
          <w:szCs w:val="44"/>
          <w:u w:val="none" w:color="auto"/>
          <w:lang w:val="en-US" w:eastAsia="zh-CN"/>
        </w:rPr>
        <w:t>4</w:t>
      </w:r>
      <w:r>
        <w:rPr>
          <w:rFonts w:hint="eastAsia" w:ascii="方正小标宋_GBK" w:hAnsi="方正小标宋_GBK" w:eastAsia="方正小标宋_GBK" w:cs="方正小标宋_GBK"/>
          <w:spacing w:val="-2"/>
          <w:sz w:val="44"/>
          <w:szCs w:val="44"/>
          <w:u w:val="none" w:color="auto"/>
        </w:rPr>
        <w:t>年重点工作完成情况</w:t>
      </w:r>
    </w:p>
    <w:p>
      <w:pPr>
        <w:spacing w:line="249" w:lineRule="auto"/>
        <w:rPr>
          <w:rFonts w:hint="default" w:ascii="Times New Roman" w:hAnsi="Times New Roman" w:cs="Times New Roman"/>
          <w:sz w:val="21"/>
          <w:u w:val="none" w:color="auto"/>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2024年，在区党工委、管委会的正确领导下，区教育局锚定建设现代化教育强区目标，</w:t>
      </w:r>
      <w:r>
        <w:rPr>
          <w:rFonts w:hint="default" w:ascii="Times New Roman" w:hAnsi="Times New Roman" w:eastAsia="仿宋_GB2312" w:cs="Times New Roman"/>
          <w:color w:val="auto"/>
          <w:kern w:val="2"/>
          <w:sz w:val="32"/>
          <w:szCs w:val="32"/>
          <w:lang w:val="en-US" w:eastAsia="zh-CN" w:bidi="ar-SA"/>
        </w:rPr>
        <w:t>坚定实施</w:t>
      </w:r>
      <w:r>
        <w:rPr>
          <w:rFonts w:hint="default" w:ascii="Times New Roman" w:hAnsi="Times New Roman" w:eastAsia="仿宋_GB2312" w:cs="Times New Roman"/>
          <w:sz w:val="32"/>
          <w:szCs w:val="32"/>
          <w:lang w:val="en-US" w:eastAsia="zh-CN"/>
        </w:rPr>
        <w:t>“新校即名校”“</w:t>
      </w:r>
      <w:r>
        <w:rPr>
          <w:rFonts w:hint="default" w:ascii="Times New Roman" w:hAnsi="Times New Roman" w:eastAsia="仿宋_GB2312" w:cs="Times New Roman"/>
          <w:color w:val="auto"/>
          <w:kern w:val="2"/>
          <w:sz w:val="32"/>
          <w:szCs w:val="32"/>
          <w:lang w:val="en-US" w:eastAsia="zh-CN" w:bidi="ar-SA"/>
        </w:rPr>
        <w:t>老校同频提升</w:t>
      </w:r>
      <w:r>
        <w:rPr>
          <w:rFonts w:hint="default" w:ascii="Times New Roman" w:hAnsi="Times New Roman" w:eastAsia="仿宋_GB2312" w:cs="Times New Roman"/>
          <w:sz w:val="32"/>
          <w:szCs w:val="32"/>
          <w:lang w:val="en-US" w:eastAsia="zh-CN"/>
        </w:rPr>
        <w:t>”战略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，深入推进教育改革，</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全面提高育人水平，</w:t>
      </w:r>
      <w:r>
        <w:rPr>
          <w:rFonts w:hint="default" w:ascii="Times New Roman" w:hAnsi="Times New Roman" w:eastAsia="仿宋_GB2312" w:cs="Times New Roman"/>
          <w:spacing w:val="11"/>
          <w:sz w:val="32"/>
          <w:szCs w:val="32"/>
          <w:lang w:eastAsia="zh-CN"/>
        </w:rPr>
        <w:t>以教育“软实力”为光谷经济社会发展提供“硬支撑”</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一、2024年工作总结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（一）聚焦政治引领，党的建设全面加强</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一是强化党风廉政主引擎。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全年</w:t>
      </w:r>
      <w:r>
        <w:rPr>
          <w:rFonts w:hint="default" w:ascii="Times New Roman" w:hAnsi="Times New Roman" w:eastAsia="仿宋_GB2312" w:cs="Times New Roman"/>
          <w:color w:val="000000" w:themeColor="text1"/>
          <w:sz w:val="32"/>
          <w:szCs w:val="32"/>
          <w14:textFill>
            <w14:solidFill>
              <w14:schemeClr w14:val="tx1"/>
            </w14:solidFill>
          </w14:textFill>
        </w:rPr>
        <w:t>召开局党委会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14:textFill>
            <w14:solidFill>
              <w14:schemeClr w14:val="tx1"/>
            </w14:solidFill>
          </w14:textFill>
        </w:rPr>
        <w:t>次，理论学习中心组带头学习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次，研究部署基层党建、党风廉政等工作。全面推进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中小学校党组织领导的校长负责制落地落细</w:t>
      </w:r>
      <w:r>
        <w:rPr>
          <w:rFonts w:hint="default" w:ascii="Times New Roman" w:hAnsi="Times New Roman" w:eastAsia="仿宋_GB2312" w:cs="Times New Roman"/>
          <w:color w:val="000000" w:themeColor="text1"/>
          <w:sz w:val="32"/>
          <w:szCs w:val="32"/>
          <w14:textFill>
            <w14:solidFill>
              <w14:schemeClr w14:val="tx1"/>
            </w14:solidFill>
          </w14:textFill>
        </w:rPr>
        <w:t>，开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展“星空下的红色回忆”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课本里的红色经典</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等创意党建活动</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次</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二是筑牢意识形态主阵地。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全面落实意识形态工作责任制，将意识形态工作贯穿于教育教学各环节，</w:t>
      </w:r>
      <w:r>
        <w:rPr>
          <w:rFonts w:hint="default" w:ascii="Times New Roman" w:hAnsi="Times New Roman" w:eastAsia="仿宋_GB2312" w:cs="Times New Roman"/>
          <w:b w:val="0"/>
          <w:bCs w:val="0"/>
          <w:sz w:val="32"/>
          <w:szCs w:val="32"/>
          <w:lang w:val="en-US" w:eastAsia="zh-CN"/>
        </w:rPr>
        <w:t>推进思政课程与课程思政同向同行，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组织开展“行走的德育”等系列品牌活动。</w:t>
      </w:r>
      <w:r>
        <w:rPr>
          <w:rFonts w:hint="default" w:ascii="Times New Roman" w:hAnsi="Times New Roman" w:eastAsia="仿宋_GB2312" w:cs="Times New Roman"/>
          <w:sz w:val="32"/>
          <w:szCs w:val="32"/>
          <w:lang w:val="en-US" w:eastAsia="zh-CN"/>
        </w:rPr>
        <w:t>唱响教育好声音，全年在“光谷教育”微信公众号发布推文133篇，影响力在全市教育新媒体联盟排名前三，树立了良好的教育形象。</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三是打好专项整治主动仗。</w:t>
      </w:r>
      <w:r>
        <w:rPr>
          <w:rFonts w:hint="default" w:ascii="Times New Roman" w:hAnsi="Times New Roman" w:eastAsia="仿宋_GB2312" w:cs="Times New Roman"/>
          <w:kern w:val="2"/>
          <w:sz w:val="32"/>
          <w:szCs w:val="32"/>
          <w:highlight w:val="none"/>
          <w:lang w:val="en-US" w:eastAsia="zh-CN" w:bidi="ar-SA"/>
        </w:rPr>
        <w:t>纵深</w:t>
      </w:r>
      <w:r>
        <w:rPr>
          <w:rFonts w:hint="default" w:ascii="Times New Roman" w:hAnsi="Times New Roman" w:eastAsia="仿宋_GB2312" w:cs="Times New Roman"/>
          <w:sz w:val="32"/>
          <w:szCs w:val="32"/>
          <w:highlight w:val="none"/>
          <w:lang w:val="en-US" w:eastAsia="zh-CN"/>
        </w:rPr>
        <w:t>推进</w:t>
      </w:r>
      <w:r>
        <w:rPr>
          <w:rFonts w:hint="default" w:ascii="Times New Roman" w:hAnsi="Times New Roman" w:eastAsia="仿宋_GB2312" w:cs="Times New Roman"/>
          <w:sz w:val="32"/>
          <w:szCs w:val="32"/>
          <w:lang w:val="en-US" w:eastAsia="zh-CN"/>
        </w:rPr>
        <w:t>中小学校园食品安全和膳食经费管理突出问题、中小学教学设备和固定资产采购管理不规范问题</w:t>
      </w:r>
      <w:r>
        <w:rPr>
          <w:rFonts w:hint="default" w:ascii="Times New Roman" w:hAnsi="Times New Roman" w:eastAsia="仿宋_GB2312" w:cs="Times New Roman"/>
          <w:sz w:val="32"/>
          <w:szCs w:val="32"/>
          <w:highlight w:val="none"/>
          <w:lang w:val="en-US" w:eastAsia="zh-CN"/>
        </w:rPr>
        <w:t>专项整治工作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问责处理23人次，完善相关规章制度8个，推动</w:t>
      </w:r>
      <w:r>
        <w:rPr>
          <w:rFonts w:hint="default" w:ascii="Times New Roman" w:hAnsi="Times New Roman" w:eastAsia="仿宋_GB2312" w:cs="Times New Roman"/>
          <w:b w:val="0"/>
          <w:bCs w:val="0"/>
          <w:kern w:val="2"/>
          <w:sz w:val="32"/>
          <w:szCs w:val="32"/>
          <w:lang w:val="en-US" w:eastAsia="zh-CN" w:bidi="ar-SA"/>
        </w:rPr>
        <w:t>解决群众急难愁盼问题5件。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（二）聚焦扩优提质，教育质量持续提升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一是学前教育普及普惠。</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2024年，</w:t>
      </w:r>
      <w:r>
        <w:rPr>
          <w:rFonts w:hint="default" w:ascii="Times New Roman" w:hAnsi="Times New Roman" w:eastAsia="仿宋_GB2312" w:cs="Times New Roman"/>
          <w:kern w:val="2"/>
          <w:sz w:val="32"/>
          <w:szCs w:val="32"/>
          <w:lang w:val="en-US" w:eastAsia="zh-CN" w:bidi="ar-SA"/>
        </w:rPr>
        <w:t>新增市级示范幼儿园5所；</w:t>
      </w:r>
      <w:r>
        <w:rPr>
          <w:rFonts w:hint="default" w:ascii="Times New Roman" w:hAnsi="Times New Roman" w:eastAsia="仿宋_GB2312" w:cs="Times New Roman"/>
          <w:b w:val="0"/>
          <w:bCs w:val="0"/>
          <w:kern w:val="2"/>
          <w:sz w:val="32"/>
          <w:szCs w:val="32"/>
          <w:lang w:val="en-US" w:eastAsia="zh-CN" w:bidi="ar-SA"/>
        </w:rPr>
        <w:t>委</w:t>
      </w:r>
      <w:r>
        <w:rPr>
          <w:rFonts w:hint="default" w:ascii="Times New Roman" w:hAnsi="Times New Roman" w:eastAsia="仿宋_GB2312" w:cs="Times New Roman"/>
          <w:kern w:val="2"/>
          <w:sz w:val="32"/>
          <w:szCs w:val="32"/>
          <w:lang w:val="en-US" w:eastAsia="zh-CN" w:bidi="ar-SA"/>
        </w:rPr>
        <w:t>托国企平台公司举办公办园7所，提供学位1620个；委托优质团队举办公办委托园5所，提供学位1260个。目前，全区公办在园幼儿占比约75%，所有公办委托管理园保教费收费标准降至600元/月/生，极大满足了居民对公办学前教育的需求。</w:t>
      </w:r>
    </w:p>
    <w:p>
      <w:pPr>
        <w:pStyle w:val="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二是中考高考稳步攀升。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公办普高上线率达64.5%，与全市最强区的距离由5%缩小至1.1%，</w:t>
      </w:r>
      <w:r>
        <w:rPr>
          <w:rFonts w:hint="default" w:ascii="Times New Roman" w:hAnsi="Times New Roman" w:eastAsia="仿宋_GB2312" w:cs="Times New Roman"/>
          <w:color w:val="000000" w:themeColor="text1"/>
          <w:sz w:val="32"/>
          <w:szCs w:val="32"/>
          <w14:textFill>
            <w14:solidFill>
              <w14:schemeClr w14:val="tx1"/>
            </w14:solidFill>
          </w14:textFill>
        </w:rPr>
        <w:t>排名跻身全市前列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群众认可的“好学校”越来越多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sz w:val="32"/>
          <w:szCs w:val="32"/>
          <w:lang w:val="en-US" w:eastAsia="zh-CN"/>
        </w:rPr>
        <w:t>新开办武汉市光谷汤逊湖高级中学、华中师范大学武汉新城实验高中2所高中，补齐高中学位不足短板。</w:t>
      </w:r>
      <w:r>
        <w:rPr>
          <w:rFonts w:hint="default" w:ascii="Times New Roman" w:hAnsi="Times New Roman" w:eastAsia="仿宋_GB2312" w:cs="Times New Roman"/>
          <w:color w:val="000000" w:themeColor="text1"/>
          <w:sz w:val="32"/>
          <w:szCs w:val="32"/>
          <w14:textFill>
            <w14:solidFill>
              <w14:schemeClr w14:val="tx1"/>
            </w14:solidFill>
          </w14:textFill>
        </w:rPr>
        <w:t>高考近四年大文大理及特色教育齐头并进，一本（裸分）实现由“400”进“500”到“600”的跨越式发展。</w:t>
      </w:r>
    </w:p>
    <w:p>
      <w:pPr>
        <w:pStyle w:val="4"/>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三是基础建设提速扩量。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2024年，中小学校建成交付5所、扩建4所，新增学位1.4万个，保障了1.7万余名适龄儿童顺利入学。投入约8000万元加大教育</w:t>
      </w:r>
      <w:r>
        <w:rPr>
          <w:rFonts w:hint="default" w:ascii="Times New Roman" w:hAnsi="Times New Roman" w:eastAsia="仿宋_GB2312" w:cs="Times New Roman"/>
          <w:color w:val="000000" w:themeColor="text1"/>
          <w:sz w:val="32"/>
          <w:szCs w:val="32"/>
          <w14:textFill>
            <w14:solidFill>
              <w14:schemeClr w14:val="tx1"/>
            </w14:solidFill>
          </w14:textFill>
        </w:rPr>
        <w:t>装备建设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，为新建及改扩建学校配齐各类教育教学设备设施。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（三）聚焦内涵品质，五育并举全面发展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一是学校办学品质不断提升。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选定光谷十小、光谷十二小、光谷十五小、光谷四初等4所学校，开展中小学校素质教育考核评价市级试点，以“小切口”实现五育并举“大带动”。</w:t>
      </w:r>
      <w:r>
        <w:rPr>
          <w:rFonts w:hint="default" w:ascii="Times New Roman" w:hAnsi="Times New Roman" w:eastAsia="仿宋_GB2312" w:cs="Times New Roman"/>
          <w:b w:val="0"/>
          <w:bCs w:val="0"/>
          <w:sz w:val="32"/>
          <w:szCs w:val="32"/>
          <w:lang w:val="en-US" w:eastAsia="zh-CN"/>
        </w:rPr>
        <w:t>强化优质学校引领作用，指导光谷28所中小学校结对帮扶新疆博乐、鄂州、恩施、江夏区、蔡甸区等相关学校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二是学生综合素质全面发展。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推进德育、共青团、少先队队伍梯队建设，</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提升铸魂育人实效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eastAsia="zh-CN"/>
        </w:rPr>
        <w:t>积极应对新体考变化，</w:t>
      </w:r>
      <w:r>
        <w:rPr>
          <w:rFonts w:hint="default" w:ascii="Times New Roman" w:hAnsi="Times New Roman" w:eastAsia="仿宋_GB2312" w:cs="Times New Roman"/>
          <w:sz w:val="32"/>
          <w:szCs w:val="32"/>
        </w:rPr>
        <w:t>体育中考满分率超过80%。</w:t>
      </w:r>
      <w:r>
        <w:rPr>
          <w:rFonts w:hint="default"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以美育人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“北京大学艺术学院美育实践基地”在武汉光谷外国语学校揭牌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kern w:val="2"/>
          <w:sz w:val="32"/>
          <w:szCs w:val="32"/>
          <w:lang w:val="en-US" w:eastAsia="zh-CN" w:bidi="ar-SA"/>
        </w:rPr>
        <w:t>构建具有光谷特色的劳动教育体制机制，培养学生实践创新能力。2024年，光谷学子荣获国家级奖项135人次、省级奖项581人次、市级奖项448人次。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三是“双减”成果持续巩固。</w:t>
      </w:r>
      <w:r>
        <w:rPr>
          <w:rFonts w:hint="default" w:ascii="Times New Roman" w:hAnsi="Times New Roman" w:eastAsia="仿宋_GB2312" w:cs="Times New Roman"/>
          <w:sz w:val="32"/>
          <w:szCs w:val="32"/>
          <w:lang w:val="en-US" w:eastAsia="zh-CN"/>
        </w:rPr>
        <w:t>持续推进“双减”改革，夯实好基于主时段的“第一课堂”，打造好基于课后服务多样化的“第二课堂”，利用好基于社会实践的“第三课堂”，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组织召开“双减”新课堂、新作业、新服务现场推进会，</w:t>
      </w:r>
      <w:r>
        <w:rPr>
          <w:rFonts w:hint="default" w:ascii="Times New Roman" w:hAnsi="Times New Roman" w:eastAsia="仿宋_GB2312" w:cs="Times New Roman"/>
          <w:sz w:val="32"/>
          <w:szCs w:val="32"/>
          <w:lang w:val="en-US" w:eastAsia="zh-CN"/>
        </w:rPr>
        <w:t>筑牢学校育人主阵地。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（四）聚焦人才支撑，师资队伍量质并进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建优建强</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学校班子。</w:t>
      </w:r>
      <w:r>
        <w:rPr>
          <w:rFonts w:hint="default" w:ascii="Times New Roman" w:hAnsi="Times New Roman" w:eastAsia="仿宋_GB2312" w:cs="Times New Roman"/>
          <w:sz w:val="32"/>
          <w:szCs w:val="32"/>
          <w:lang w:val="en-US" w:eastAsia="zh-CN"/>
        </w:rPr>
        <w:t>2024年，选拔50名优秀人才充实到校级干部队伍，为光谷教育事业发展奠定坚实的人才保障。深入实施名校长培养计划，推进专家型校长治校、教育家型校长办学，光谷十二小李伶校长入选“全国优秀教育工作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二是持续壮大教师队伍。</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强化教师队伍建设，2024年，共招聘教师878人，特别是引进名师9人。目前，全区教师平均年龄34周岁，本科及以上学历教师占比96%，硕士及以上学历教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师占比25.7%，师资队伍年龄结构、教师学历结构进一步优化。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三是提升教师专业能力。</w:t>
      </w:r>
      <w:r>
        <w:rPr>
          <w:rFonts w:hint="default" w:ascii="Times New Roman" w:hAnsi="Times New Roman" w:eastAsia="仿宋_GB2312" w:cs="Times New Roman"/>
          <w:color w:val="auto"/>
          <w:sz w:val="32"/>
          <w:szCs w:val="32"/>
          <w:lang w:eastAsia="zh-CN"/>
        </w:rPr>
        <w:t>积极推行</w:t>
      </w:r>
      <w:r>
        <w:rPr>
          <w:rFonts w:hint="default" w:ascii="Times New Roman" w:hAnsi="Times New Roman" w:eastAsia="仿宋_GB2312" w:cs="Times New Roman"/>
          <w:color w:val="auto"/>
          <w:sz w:val="32"/>
          <w:szCs w:val="32"/>
        </w:rPr>
        <w:t>“青蓝工程”，</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“135培养模式”</w:t>
      </w:r>
      <w:r>
        <w:rPr>
          <w:rFonts w:hint="default" w:ascii="Times New Roman" w:hAnsi="Times New Roman" w:eastAsia="仿宋_GB2312" w:cs="Times New Roman"/>
          <w:color w:val="auto"/>
          <w:sz w:val="32"/>
          <w:szCs w:val="32"/>
          <w:lang w:val="en-US" w:eastAsia="zh-CN"/>
        </w:rPr>
        <w:t>跟踪培养青年教师</w:t>
      </w:r>
      <w:r>
        <w:rPr>
          <w:rFonts w:hint="default" w:ascii="Times New Roman" w:hAnsi="Times New Roman" w:eastAsia="仿宋_GB2312" w:cs="Times New Roman"/>
          <w:color w:val="auto"/>
          <w:sz w:val="32"/>
          <w:szCs w:val="32"/>
        </w:rPr>
        <w:t>650</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三名工作室”“卓越后备班”</w:t>
      </w:r>
      <w:r>
        <w:rPr>
          <w:rFonts w:hint="default" w:ascii="Times New Roman" w:hAnsi="Times New Roman" w:eastAsia="仿宋_GB2312" w:cs="Times New Roman"/>
          <w:color w:val="auto"/>
          <w:sz w:val="32"/>
          <w:szCs w:val="32"/>
          <w:lang w:val="en-US" w:eastAsia="zh-CN"/>
        </w:rPr>
        <w:t>等覆盖骨干教师</w:t>
      </w:r>
      <w:r>
        <w:rPr>
          <w:rFonts w:hint="default" w:ascii="Times New Roman" w:hAnsi="Times New Roman" w:eastAsia="仿宋_GB2312" w:cs="Times New Roman"/>
          <w:color w:val="auto"/>
          <w:sz w:val="32"/>
          <w:szCs w:val="32"/>
        </w:rPr>
        <w:t>627</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b w:val="0"/>
          <w:bCs w:val="0"/>
          <w:color w:val="000000"/>
          <w:kern w:val="2"/>
          <w:sz w:val="32"/>
          <w:szCs w:val="32"/>
          <w:lang w:val="en-US" w:eastAsia="zh-CN" w:bidi="ar-SA"/>
        </w:rPr>
        <w:t>2024年，光谷老师荣获国家级奖项26人次、省级奖项234人次、市级奖项420人次。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（五）聚焦改革创新，治理体系不断完善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cs="Times New Roman"/>
          <w:i w:val="0"/>
          <w:iCs w:val="0"/>
          <w:color w:val="000000"/>
          <w:sz w:val="32"/>
          <w:szCs w:val="32"/>
          <w:lang w:val="en-US" w:eastAsia="zh-CN" w:bidi="ar"/>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一是名校组团激发新动能。</w:t>
      </w:r>
      <w:r>
        <w:rPr>
          <w:rFonts w:hint="default" w:ascii="Times New Roman" w:hAnsi="Times New Roman" w:eastAsia="仿宋_GB2312" w:cs="Times New Roman"/>
          <w:color w:val="000000"/>
          <w:sz w:val="32"/>
          <w:szCs w:val="32"/>
          <w:lang w:val="en-US" w:eastAsia="zh-CN"/>
        </w:rPr>
        <w:t>大力实施“新校即名校”战略，高位嫁接优质教育资源，</w:t>
      </w:r>
      <w:r>
        <w:rPr>
          <w:rFonts w:hint="default" w:ascii="Times New Roman" w:hAnsi="Times New Roman" w:eastAsia="仿宋_GB2312" w:cs="Times New Roman"/>
          <w:b w:val="0"/>
          <w:bCs w:val="0"/>
          <w:color w:val="000000"/>
          <w:sz w:val="32"/>
          <w:szCs w:val="32"/>
          <w:lang w:val="en-US" w:eastAsia="zh-CN"/>
        </w:rPr>
        <w:t>华科系（7所）、华师系（7所）、外校系（4所，在建及洽谈）、育才系（1所，未开学）等基础教育名校齐聚光谷、形成组团，</w:t>
      </w:r>
      <w:r>
        <w:rPr>
          <w:rStyle w:val="18"/>
          <w:rFonts w:hint="default" w:ascii="Times New Roman" w:hAnsi="Times New Roman" w:cs="Times New Roman"/>
          <w:i w:val="0"/>
          <w:iCs w:val="0"/>
          <w:color w:val="000000"/>
          <w:sz w:val="32"/>
          <w:szCs w:val="32"/>
          <w:lang w:val="en-US" w:eastAsia="zh-CN" w:bidi="ar"/>
        </w:rPr>
        <w:t>加快打造武汉新城教育新高地、“世界光谷”城市新名片</w:t>
      </w:r>
      <w:r>
        <w:rPr>
          <w:rFonts w:hint="default" w:ascii="Times New Roman" w:hAnsi="Times New Roman" w:eastAsia="仿宋_GB2312" w:cs="Times New Roman"/>
          <w:b w:val="0"/>
          <w:bCs w:val="0"/>
          <w:color w:val="000000"/>
          <w:sz w:val="32"/>
          <w:szCs w:val="32"/>
          <w:lang w:val="en-US" w:eastAsia="zh-CN"/>
        </w:rPr>
        <w:t>，吸引更多的人才到光谷安家乐业</w:t>
      </w:r>
      <w:r>
        <w:rPr>
          <w:rStyle w:val="18"/>
          <w:rFonts w:hint="default" w:ascii="Times New Roman" w:hAnsi="Times New Roman" w:cs="Times New Roman"/>
          <w:i w:val="0"/>
          <w:iCs w:val="0"/>
          <w:color w:val="00000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Style w:val="18"/>
          <w:rFonts w:hint="default" w:ascii="Times New Roman" w:hAnsi="Times New Roman" w:cs="Times New Roman"/>
          <w:b/>
          <w:bCs/>
          <w:i w:val="0"/>
          <w:iCs w:val="0"/>
          <w:color w:val="000000"/>
          <w:sz w:val="32"/>
          <w:szCs w:val="32"/>
          <w:lang w:val="en-US" w:eastAsia="zh-CN" w:bidi="ar"/>
        </w:rPr>
        <w:t>二是人才培养打造新生态。</w:t>
      </w:r>
      <w:r>
        <w:rPr>
          <w:rFonts w:hint="default" w:ascii="Times New Roman" w:hAnsi="Times New Roman" w:eastAsia="仿宋_GB2312" w:cs="Times New Roman"/>
          <w:color w:val="auto"/>
          <w:kern w:val="2"/>
          <w:sz w:val="32"/>
          <w:szCs w:val="32"/>
          <w:lang w:val="en-US" w:eastAsia="zh-CN" w:bidi="ar-SA"/>
        </w:rPr>
        <w:t>积极探索拔尖创新人才早期识别、选拔与培养一体化的有效机制，在华科附中、汤逊湖高中、华师一附中卓越书院、光谷未来等学校探索拔尖创新人才培养，以此为支点撬动光谷教育优质生态链。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三是智慧教育开辟新赛道。</w:t>
      </w: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val="en-US" w:eastAsia="zh-CN"/>
        </w:rPr>
        <w:t>活动展示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赛事推优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教师素养提升等</w:t>
      </w:r>
      <w:r>
        <w:rPr>
          <w:rFonts w:hint="default" w:ascii="Times New Roman" w:hAnsi="Times New Roman" w:eastAsia="仿宋_GB2312" w:cs="Times New Roman"/>
          <w:sz w:val="32"/>
          <w:szCs w:val="32"/>
        </w:rPr>
        <w:t>推进教育数字化转型</w:t>
      </w:r>
      <w:r>
        <w:rPr>
          <w:rFonts w:hint="default" w:ascii="Times New Roman" w:hAnsi="Times New Roman" w:eastAsia="仿宋_GB2312" w:cs="Times New Roman"/>
          <w:spacing w:val="11"/>
          <w:sz w:val="32"/>
          <w:szCs w:val="32"/>
          <w:lang w:val="en-US" w:eastAsia="zh-CN"/>
        </w:rPr>
        <w:t>，使优质资源得以广泛共享</w:t>
      </w:r>
      <w:r>
        <w:rPr>
          <w:rFonts w:hint="default" w:ascii="Times New Roman" w:hAnsi="Times New Roman" w:eastAsia="仿宋_GB2312" w:cs="Times New Roman"/>
          <w:sz w:val="32"/>
          <w:szCs w:val="32"/>
          <w:lang w:val="en-US" w:eastAsia="zh-CN"/>
        </w:rPr>
        <w:t>。2024年，举办5期</w:t>
      </w:r>
      <w:r>
        <w:rPr>
          <w:rFonts w:hint="default" w:ascii="Times New Roman" w:hAnsi="Times New Roman" w:eastAsia="仿宋_GB2312" w:cs="Times New Roman"/>
          <w:sz w:val="32"/>
          <w:szCs w:val="32"/>
        </w:rPr>
        <w:t>“数字转型校校行”</w:t>
      </w:r>
      <w:r>
        <w:rPr>
          <w:rFonts w:hint="default" w:ascii="Times New Roman" w:hAnsi="Times New Roman" w:eastAsia="仿宋_GB2312" w:cs="Times New Roman"/>
          <w:sz w:val="32"/>
          <w:szCs w:val="32"/>
          <w:lang w:eastAsia="zh-CN"/>
        </w:rPr>
        <w:t>展示</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信息化与教育教学深度融合</w:t>
      </w:r>
      <w:r>
        <w:rPr>
          <w:rFonts w:hint="default" w:ascii="Times New Roman" w:hAnsi="Times New Roman" w:eastAsia="仿宋_GB2312" w:cs="Times New Roman"/>
          <w:sz w:val="32"/>
          <w:szCs w:val="32"/>
          <w:lang w:eastAsia="zh-CN"/>
        </w:rPr>
        <w:t>，赋能教育新质生产力</w:t>
      </w:r>
      <w:r>
        <w:rPr>
          <w:rFonts w:hint="default" w:ascii="Times New Roman" w:hAnsi="Times New Roman" w:eastAsia="仿宋_GB2312" w:cs="Times New Roman"/>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（六）聚焦综合保障，发展基础更加坚实</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一是及时高效响应群众诉求。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14:textFill>
            <w14:solidFill>
              <w14:schemeClr w14:val="tx1"/>
            </w14:solidFill>
          </w14:textFill>
        </w:rPr>
        <w:t>，共计处理群众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线上诉求</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万余</w:t>
      </w:r>
      <w:r>
        <w:rPr>
          <w:rFonts w:hint="default" w:ascii="Times New Roman" w:hAnsi="Times New Roman" w:eastAsia="仿宋_GB2312" w:cs="Times New Roman"/>
          <w:color w:val="000000" w:themeColor="text1"/>
          <w:sz w:val="32"/>
          <w:szCs w:val="32"/>
          <w14:textFill>
            <w14:solidFill>
              <w14:schemeClr w14:val="tx1"/>
            </w14:solidFill>
          </w14:textFill>
        </w:rPr>
        <w:t>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、接待线下群访29次共396人，</w:t>
      </w:r>
      <w:r>
        <w:rPr>
          <w:rFonts w:hint="default" w:ascii="Times New Roman" w:hAnsi="Times New Roman" w:eastAsia="仿宋_GB2312" w:cs="Times New Roman"/>
          <w:color w:val="000000" w:themeColor="text1"/>
          <w:sz w:val="32"/>
          <w:szCs w:val="32"/>
          <w14:textFill>
            <w14:solidFill>
              <w14:schemeClr w14:val="tx1"/>
            </w14:solidFill>
          </w14:textFill>
        </w:rPr>
        <w:t>满意率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达</w:t>
      </w:r>
      <w:r>
        <w:rPr>
          <w:rFonts w:hint="default" w:ascii="Times New Roman" w:hAnsi="Times New Roman" w:eastAsia="仿宋_GB2312" w:cs="Times New Roman"/>
          <w:color w:val="000000" w:themeColor="text1"/>
          <w:sz w:val="32"/>
          <w:szCs w:val="32"/>
          <w14:textFill>
            <w14:solidFill>
              <w14:schemeClr w14:val="tx1"/>
            </w14:solidFill>
          </w14:textFill>
        </w:rPr>
        <w:t>96%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。采取集团化办学模式，光谷一小、光谷十小、光谷实验中学等优质学校增设新校区，更好满足人民群众“上好学”的期盼。</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二是持之以恒打造平安校园。</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常态化开展校内建筑设施、消防、食品、防溺水等重点领域，及校园周边交通、治安环境、经营秩序等安全隐患排查整治工作，全覆盖绘制学校安全区域50米至200米管控示意图，</w:t>
      </w:r>
      <w:r>
        <w:rPr>
          <w:rFonts w:hint="default" w:ascii="Times New Roman" w:hAnsi="Times New Roman" w:eastAsia="仿宋_GB2312" w:cs="Times New Roman"/>
          <w:kern w:val="2"/>
          <w:sz w:val="32"/>
          <w:szCs w:val="32"/>
          <w:lang w:val="en-US" w:eastAsia="zh-CN" w:bidi="ar-SA"/>
        </w:rPr>
        <w:t>切实守牢校园安全底线。</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三是常抓不懈后勤大保障。</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开展学生伙食质量大督查、大整改、大提升行动，组织食堂营养配餐大赛系列活动，守护学生舌尖安全。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正式启用“武汉视防光谷学生视力健康管理中心”，引导学生科学用眼。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全覆盖开展中小学校师生应急技能培训，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举办校园师生应急救护大赛，切实提升救护技能。</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（一）资源矛盾堵点亟待化解。</w:t>
      </w:r>
      <w:r>
        <w:rPr>
          <w:rFonts w:hint="default" w:ascii="Times New Roman" w:hAnsi="Times New Roman" w:eastAsia="仿宋_GB2312" w:cs="Times New Roman"/>
          <w:color w:val="000000" w:themeColor="text1"/>
          <w:sz w:val="32"/>
          <w:szCs w:val="32"/>
          <w14:textFill>
            <w14:solidFill>
              <w14:schemeClr w14:val="tx1"/>
            </w14:solidFill>
          </w14:textFill>
        </w:rPr>
        <w:t>近年来，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光谷</w:t>
      </w:r>
      <w:r>
        <w:rPr>
          <w:rFonts w:hint="default" w:ascii="Times New Roman" w:hAnsi="Times New Roman" w:eastAsia="仿宋_GB2312" w:cs="Times New Roman"/>
          <w:color w:val="000000" w:themeColor="text1"/>
          <w:sz w:val="32"/>
          <w:szCs w:val="32"/>
          <w14:textFill>
            <w14:solidFill>
              <w14:schemeClr w14:val="tx1"/>
            </w14:solidFill>
          </w14:textFill>
        </w:rPr>
        <w:t>年轻人口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集聚</w:t>
      </w:r>
      <w:r>
        <w:rPr>
          <w:rFonts w:hint="default" w:ascii="Times New Roman" w:hAnsi="Times New Roman" w:eastAsia="仿宋_GB2312" w:cs="Times New Roman"/>
          <w:color w:val="000000" w:themeColor="text1"/>
          <w:sz w:val="32"/>
          <w:szCs w:val="32"/>
          <w14:textFill>
            <w14:solidFill>
              <w14:schemeClr w14:val="tx1"/>
            </w14:solidFill>
          </w14:textFill>
        </w:rPr>
        <w:t>，学龄儿童大幅增加，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虽然每年都在加大学位供给</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但</w:t>
      </w:r>
      <w:r>
        <w:rPr>
          <w:rFonts w:hint="default" w:ascii="Times New Roman" w:hAnsi="Times New Roman" w:eastAsia="仿宋_GB2312" w:cs="Times New Roman"/>
          <w:color w:val="000000" w:themeColor="text1"/>
          <w:sz w:val="32"/>
          <w:szCs w:val="32"/>
          <w14:textFill>
            <w14:solidFill>
              <w14:schemeClr w14:val="tx1"/>
            </w14:solidFill>
          </w14:textFill>
        </w:rPr>
        <w:t>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教育资源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供需矛盾仍然存在，</w:t>
      </w:r>
      <w:r>
        <w:rPr>
          <w:rFonts w:hint="default" w:ascii="Times New Roman" w:hAnsi="Times New Roman" w:eastAsia="仿宋_GB2312" w:cs="Times New Roman"/>
          <w:sz w:val="32"/>
          <w:szCs w:val="32"/>
          <w:lang w:val="en-US" w:eastAsia="zh-CN"/>
        </w:rPr>
        <w:t>光谷三高、光谷四高、光谷五高等重点项目推进较慢，热点学校“大班额”“大校额”问题难以及时化解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。对照武汉市义务教育优质均衡发展示范区</w:t>
      </w:r>
      <w:r>
        <w:rPr>
          <w:rFonts w:hint="default" w:ascii="Times New Roman" w:hAnsi="Times New Roman" w:eastAsia="仿宋_GB2312" w:cs="Times New Roman"/>
          <w:kern w:val="2"/>
          <w:sz w:val="32"/>
          <w:szCs w:val="32"/>
          <w:lang w:val="en-US" w:eastAsia="zh-CN" w:bidi="ar-SA"/>
        </w:rPr>
        <w:t>创建要求，光谷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教育事业发展尚未跟上经济发展的速度，</w:t>
      </w:r>
      <w:r>
        <w:rPr>
          <w:rFonts w:hint="default" w:ascii="Times New Roman" w:hAnsi="Times New Roman" w:eastAsia="仿宋_GB2312" w:cs="Times New Roman"/>
          <w:kern w:val="2"/>
          <w:sz w:val="32"/>
          <w:szCs w:val="32"/>
          <w:lang w:val="en-US" w:eastAsia="zh-CN" w:bidi="ar-SA"/>
        </w:rPr>
        <w:t>在资源配置和政府保障方面客观存在的一些问题还需下大力气加以解决。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（二）教育经费保障仍有欠缺。</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近年来，高新区不断加大财政对教育的投入力度，但这些投入还不能满足光谷教育事业快速发展的资金需求，除了保教师工资和学校基本运转，一些刚性需求投入上仍显不足，如教育工程建设项目、优质教育资源合作办学经费、学前教育各类补助经费等资金缺口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（三）教师队伍结构有待优化。</w:t>
      </w:r>
      <w:r>
        <w:rPr>
          <w:rFonts w:hint="default" w:ascii="Times New Roman" w:hAnsi="Times New Roman" w:eastAsia="仿宋_GB2312" w:cs="Times New Roman"/>
          <w:color w:val="000000" w:themeColor="text1"/>
          <w:kern w:val="0"/>
          <w:sz w:val="32"/>
          <w:szCs w:val="32"/>
          <w14:textFill>
            <w14:solidFill>
              <w14:schemeClr w14:val="tx1"/>
            </w14:solidFill>
          </w14:textFill>
        </w:rPr>
        <w:t>伴随着光谷教育体量快速扩张，虽然在管委会的大力支持下，教师招聘力度不断加大，但因中小学生数持续保持高位增长，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目前，师资力量仍然存在缺口，</w:t>
      </w:r>
      <w:r>
        <w:rPr>
          <w:rFonts w:hint="default" w:ascii="Times New Roman" w:hAnsi="Times New Roman" w:eastAsia="仿宋_GB2312" w:cs="Times New Roman"/>
          <w:color w:val="000000" w:themeColor="text1"/>
          <w:kern w:val="0"/>
          <w:sz w:val="32"/>
          <w:szCs w:val="32"/>
          <w14:textFill>
            <w14:solidFill>
              <w14:schemeClr w14:val="tx1"/>
            </w14:solidFill>
          </w14:textFill>
        </w:rPr>
        <w:t>临聘教师占比接近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该队伍流动性较大、稳定性较差，影响教师队伍整体水平的提升。</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三、2025年工作打算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（一）深化“三项改革”，在创新发展上做文章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color w:val="000000"/>
          <w:kern w:val="2"/>
          <w:sz w:val="32"/>
          <w:szCs w:val="32"/>
          <w:lang w:val="en-US" w:eastAsia="zh-CN" w:bidi="ar-SA"/>
        </w:rPr>
        <w:t>一是深化育人方式改革。</w:t>
      </w:r>
      <w:r>
        <w:rPr>
          <w:rFonts w:hint="default" w:ascii="Times New Roman" w:hAnsi="Times New Roman" w:eastAsia="仿宋_GB2312" w:cs="Times New Roman"/>
          <w:b w:val="0"/>
          <w:bCs w:val="0"/>
          <w:color w:val="000000"/>
          <w:kern w:val="2"/>
          <w:sz w:val="32"/>
          <w:szCs w:val="32"/>
          <w:lang w:val="en-US" w:eastAsia="zh-CN" w:bidi="ar-SA"/>
        </w:rPr>
        <w:t>完善立德树人机制，着力发展素质教育，将学科知识融入实践探索，推进以学科育人、实践育人、综合育人为标志的育人方式变革。</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深化办学体制改革。</w:t>
      </w:r>
      <w:r>
        <w:rPr>
          <w:rFonts w:hint="default" w:ascii="Times New Roman" w:hAnsi="Times New Roman" w:eastAsia="仿宋_GB2312" w:cs="Times New Roman"/>
          <w:b w:val="0"/>
          <w:bCs w:val="0"/>
          <w:color w:val="000000"/>
          <w:kern w:val="2"/>
          <w:sz w:val="32"/>
          <w:szCs w:val="32"/>
          <w:lang w:val="en-US" w:eastAsia="zh-CN" w:bidi="ar-SA"/>
        </w:rPr>
        <w:t>优化区域教育资源配置，建立同人口变化相协调的基本公共服务供给机制，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积极探索集团化办学机制，不断壮大优质教育资源</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bCs/>
          <w:color w:val="000000"/>
          <w:kern w:val="2"/>
          <w:sz w:val="32"/>
          <w:szCs w:val="32"/>
          <w:lang w:val="en-US" w:eastAsia="zh-CN" w:bidi="ar-SA"/>
        </w:rPr>
        <w:t>三是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深化评价制度改革。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完善素质教育质量等考核方案，</w:t>
      </w:r>
      <w:r>
        <w:rPr>
          <w:rFonts w:hint="default" w:ascii="Times New Roman" w:hAnsi="Times New Roman" w:eastAsia="仿宋_GB2312" w:cs="Times New Roman"/>
          <w:b w:val="0"/>
          <w:bCs w:val="0"/>
          <w:color w:val="000000"/>
          <w:kern w:val="2"/>
          <w:sz w:val="32"/>
          <w:szCs w:val="32"/>
          <w:lang w:val="en-US" w:eastAsia="zh-CN" w:bidi="ar-SA"/>
        </w:rPr>
        <w:t>深化学校内部治理改革，遵循办学治校规律，完善学校治理机制。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（二）突出“四个促进”，在高质量发展上出实招</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一是促进学前教育</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普及</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普惠发展。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积极开展示范性幼儿园创建工作、公益性幼儿园认定工作，及民办幼儿园规范工作，全面</w:t>
      </w:r>
      <w:r>
        <w:rPr>
          <w:rFonts w:hint="default" w:ascii="Times New Roman" w:hAnsi="Times New Roman" w:eastAsia="仿宋_GB2312" w:cs="Times New Roman"/>
          <w:b w:val="0"/>
          <w:bCs w:val="0"/>
          <w:color w:val="000000"/>
          <w:kern w:val="2"/>
          <w:sz w:val="32"/>
          <w:szCs w:val="32"/>
          <w:lang w:val="en-US" w:eastAsia="zh-CN" w:bidi="ar-SA"/>
        </w:rPr>
        <w:t>推进学前教育普及普惠发展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二是促进义务教育优质均衡发展。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对照“武汉市义务教育优质均衡发展示范区”指标要求，逐项补齐短板，确保2025年顺利通过验收。</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三是促进普通高中优质特色发展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z w:val="32"/>
          <w:szCs w:val="32"/>
          <w:lang w:val="en-US" w:eastAsia="zh-CN"/>
        </w:rPr>
        <w:t>促进全区普通高中多样发展、特色发展、错位发展，</w:t>
      </w:r>
      <w:r>
        <w:rPr>
          <w:rFonts w:hint="default" w:ascii="Times New Roman" w:hAnsi="Times New Roman" w:eastAsia="仿宋_GB2312" w:cs="Times New Roman"/>
          <w:b w:val="0"/>
          <w:bCs w:val="0"/>
          <w:sz w:val="32"/>
          <w:szCs w:val="32"/>
          <w:lang w:val="en-US" w:eastAsia="zh-CN"/>
        </w:rPr>
        <w:t>创建涵盖科技、人文、体育、艺术等多个领域特色高中，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形成高中教育的集群优势。</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四是促进特殊教育</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学校加快建设</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auto"/>
          <w:sz w:val="32"/>
          <w:szCs w:val="32"/>
          <w:lang w:eastAsia="zh-CN"/>
        </w:rPr>
        <w:t>加快推进光谷</w:t>
      </w:r>
      <w:r>
        <w:rPr>
          <w:rFonts w:hint="eastAsia" w:ascii="Times New Roman" w:hAnsi="Times New Roman" w:eastAsia="仿宋_GB2312" w:cs="Times New Roman"/>
          <w:color w:val="auto"/>
          <w:sz w:val="32"/>
          <w:szCs w:val="32"/>
          <w:lang w:eastAsia="zh-CN"/>
        </w:rPr>
        <w:t>爱生</w:t>
      </w:r>
      <w:r>
        <w:rPr>
          <w:rFonts w:hint="default" w:ascii="Times New Roman" w:hAnsi="Times New Roman" w:eastAsia="仿宋_GB2312" w:cs="Times New Roman"/>
          <w:color w:val="auto"/>
          <w:sz w:val="32"/>
          <w:szCs w:val="32"/>
          <w:lang w:eastAsia="zh-CN"/>
        </w:rPr>
        <w:t>学校建成开学，补齐特殊教育发展短板。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（三）注重“五个坚持”，在优质发展上下工夫</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一是坚持质量立教。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牢固树立五育并举、全面发展的质量观，以减负增效促扩优提质，以补短强弱促优质均衡。</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二是坚持实力强教。</w:t>
      </w:r>
      <w:r>
        <w:rPr>
          <w:rFonts w:hint="default" w:ascii="Times New Roman" w:hAnsi="Times New Roman" w:eastAsia="仿宋_GB2312" w:cs="Times New Roman"/>
          <w:color w:val="000000" w:themeColor="text1"/>
          <w:sz w:val="32"/>
          <w:lang w:eastAsia="zh-CN"/>
          <w14:textFill>
            <w14:solidFill>
              <w14:schemeClr w14:val="tx1"/>
            </w14:solidFill>
          </w14:textFill>
        </w:rPr>
        <w:t>持续</w:t>
      </w:r>
      <w:r>
        <w:rPr>
          <w:rFonts w:hint="default" w:ascii="Times New Roman" w:hAnsi="Times New Roman" w:eastAsia="仿宋_GB2312" w:cs="Times New Roman"/>
          <w:color w:val="000000" w:themeColor="text1"/>
          <w:sz w:val="32"/>
          <w14:textFill>
            <w14:solidFill>
              <w14:schemeClr w14:val="tx1"/>
            </w14:solidFill>
          </w14:textFill>
        </w:rPr>
        <w:t>推行“四航计划”“研训教一体化”“名优特计划”等</w:t>
      </w:r>
      <w:r>
        <w:rPr>
          <w:rFonts w:hint="default" w:ascii="Times New Roman" w:hAnsi="Times New Roman" w:eastAsia="仿宋_GB2312" w:cs="Times New Roman"/>
          <w:color w:val="000000" w:themeColor="text1"/>
          <w:sz w:val="32"/>
          <w:lang w:eastAsia="zh-CN"/>
          <w14:textFill>
            <w14:solidFill>
              <w14:schemeClr w14:val="tx1"/>
            </w14:solidFill>
          </w14:textFill>
        </w:rPr>
        <w:t>计划，以教师之强支撑教育之强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三是坚持创新兴教。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围绕人工智能创新、场景应用载体等重点，深入推进教育数字化转型。</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四是坚持服务促教。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全面梳理测算当前及未来三年内学位供给与需求，</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科学制定学校规划建设蓝图，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提前谋划2025年秋季入学工作。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五是坚持规划治教。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开展教育强区打造路径探索研究，启动“十五五”教育事业发展规划研究工作，形成初步成果。</w:t>
      </w:r>
    </w:p>
    <w:p>
      <w:pP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第五部分  名词解释</w:t>
      </w:r>
    </w:p>
    <w:p>
      <w:pPr>
        <w:spacing w:line="398" w:lineRule="auto"/>
        <w:rPr>
          <w:rFonts w:hint="default" w:ascii="Times New Roman" w:hAnsi="Times New Roman" w:cs="Times New Roman"/>
          <w:sz w:val="21"/>
          <w:u w:val="none" w:color="auto"/>
        </w:rPr>
      </w:pP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一般公共预算财政拨款收入：指</w:t>
      </w:r>
      <w:r>
        <w:rPr>
          <w:rFonts w:hint="default" w:ascii="Times New Roman" w:hAnsi="Times New Roman" w:eastAsia="仿宋_GB2312" w:cs="Times New Roman"/>
          <w:spacing w:val="4"/>
          <w:u w:val="none" w:color="auto"/>
          <w:lang w:eastAsia="zh-CN"/>
        </w:rPr>
        <w:t>区</w:t>
      </w:r>
      <w:r>
        <w:rPr>
          <w:rFonts w:hint="default" w:ascii="Times New Roman" w:hAnsi="Times New Roman" w:eastAsia="仿宋_GB2312" w:cs="Times New Roman"/>
          <w:spacing w:val="4"/>
          <w:u w:val="none" w:color="auto"/>
        </w:rPr>
        <w:t>级财政一般公共预</w:t>
      </w:r>
      <w:r>
        <w:rPr>
          <w:rFonts w:hint="default" w:ascii="Times New Roman" w:hAnsi="Times New Roman" w:eastAsia="仿宋_GB2312" w:cs="Times New Roman"/>
          <w:spacing w:val="-1"/>
          <w:u w:val="none" w:color="auto"/>
        </w:rPr>
        <w:t>算当年拨付的资金。</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政府性基金预算财政拨款收入：指</w:t>
      </w:r>
      <w:r>
        <w:rPr>
          <w:rFonts w:hint="default" w:ascii="Times New Roman" w:hAnsi="Times New Roman" w:eastAsia="仿宋_GB2312" w:cs="Times New Roman"/>
          <w:spacing w:val="-7"/>
          <w:u w:val="none" w:color="auto"/>
          <w:lang w:eastAsia="zh-CN"/>
        </w:rPr>
        <w:t>区</w:t>
      </w:r>
      <w:r>
        <w:rPr>
          <w:rFonts w:hint="default" w:ascii="Times New Roman" w:hAnsi="Times New Roman" w:eastAsia="仿宋_GB2312" w:cs="Times New Roman"/>
          <w:spacing w:val="-7"/>
          <w:u w:val="none" w:color="auto"/>
        </w:rPr>
        <w:t>级财政政</w:t>
      </w:r>
      <w:r>
        <w:rPr>
          <w:rFonts w:hint="default" w:ascii="Times New Roman" w:hAnsi="Times New Roman" w:eastAsia="仿宋_GB2312" w:cs="Times New Roman"/>
          <w:spacing w:val="-8"/>
          <w:u w:val="none" w:color="auto"/>
        </w:rPr>
        <w:t>府性基金</w:t>
      </w:r>
      <w:r>
        <w:rPr>
          <w:rFonts w:hint="default" w:ascii="Times New Roman" w:hAnsi="Times New Roman" w:eastAsia="仿宋_GB2312" w:cs="Times New Roman"/>
          <w:spacing w:val="-1"/>
          <w:u w:val="none" w:color="auto"/>
        </w:rPr>
        <w:t>预算当年拨付的资金。</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三</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国有资本经营预算财政拨款收入：指</w:t>
      </w:r>
      <w:r>
        <w:rPr>
          <w:rFonts w:hint="default" w:ascii="Times New Roman" w:hAnsi="Times New Roman" w:eastAsia="仿宋_GB2312" w:cs="Times New Roman"/>
          <w:spacing w:val="-8"/>
          <w:u w:val="none" w:color="auto"/>
          <w:lang w:eastAsia="zh-CN"/>
        </w:rPr>
        <w:t>区</w:t>
      </w:r>
      <w:r>
        <w:rPr>
          <w:rFonts w:hint="default" w:ascii="Times New Roman" w:hAnsi="Times New Roman" w:eastAsia="仿宋_GB2312" w:cs="Times New Roman"/>
          <w:spacing w:val="-8"/>
          <w:u w:val="none" w:color="auto"/>
        </w:rPr>
        <w:t>级财政国有资本</w:t>
      </w:r>
      <w:r>
        <w:rPr>
          <w:rFonts w:hint="default" w:ascii="Times New Roman" w:hAnsi="Times New Roman" w:eastAsia="仿宋_GB2312" w:cs="Times New Roman"/>
          <w:spacing w:val="-2"/>
          <w:u w:val="none" w:color="auto"/>
        </w:rPr>
        <w:t>经营预算当年拨付的资金。</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上级补助收入：指从事业单位主管部门和上级</w:t>
      </w:r>
      <w:r>
        <w:rPr>
          <w:rFonts w:hint="default" w:ascii="Times New Roman" w:hAnsi="Times New Roman" w:eastAsia="仿宋_GB2312" w:cs="Times New Roman"/>
          <w:spacing w:val="-8"/>
          <w:u w:val="none" w:color="auto"/>
        </w:rPr>
        <w:t>单位取得</w:t>
      </w:r>
      <w:r>
        <w:rPr>
          <w:rFonts w:hint="default" w:ascii="Times New Roman" w:hAnsi="Times New Roman" w:eastAsia="仿宋_GB2312" w:cs="Times New Roman"/>
          <w:spacing w:val="-5"/>
          <w:u w:val="none" w:color="auto"/>
        </w:rPr>
        <w:t>的非财政补助收入。</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事业收入：指事业单位开展专业业务活动及其辅助活动</w:t>
      </w:r>
      <w:r>
        <w:rPr>
          <w:rFonts w:hint="default" w:ascii="Times New Roman" w:hAnsi="Times New Roman" w:eastAsia="仿宋_GB2312" w:cs="Times New Roman"/>
          <w:spacing w:val="-3"/>
          <w:u w:val="none" w:color="auto"/>
        </w:rPr>
        <w:t>取得的收入。</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六</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经营收入：指事业单位在专业业务活动及其辅助活动之</w:t>
      </w:r>
      <w:r>
        <w:rPr>
          <w:rFonts w:hint="default" w:ascii="Times New Roman" w:hAnsi="Times New Roman" w:eastAsia="仿宋_GB2312" w:cs="Times New Roman"/>
          <w:spacing w:val="-2"/>
          <w:u w:val="none" w:color="auto"/>
        </w:rPr>
        <w:t>外开展非独立核算经营活动取得的收入。</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其他收入：指单位取得的除上述“一般公共预算财政拨</w:t>
      </w:r>
      <w:r>
        <w:rPr>
          <w:rFonts w:hint="default" w:ascii="Times New Roman" w:hAnsi="Times New Roman" w:eastAsia="仿宋_GB2312" w:cs="Times New Roman"/>
          <w:spacing w:val="-16"/>
          <w:u w:val="none" w:color="auto"/>
        </w:rPr>
        <w:t>款收入”、“政府性基金预算财政拨款收入”、“国有资本经营预</w:t>
      </w:r>
      <w:r>
        <w:rPr>
          <w:rFonts w:hint="default" w:ascii="Times New Roman" w:hAnsi="Times New Roman" w:eastAsia="仿宋_GB2312" w:cs="Times New Roman"/>
          <w:spacing w:val="-26"/>
          <w:u w:val="none" w:color="auto"/>
        </w:rPr>
        <w:t>算财政拨款收入”、“上级补助收入”、“事业收入”、</w:t>
      </w:r>
      <w:r>
        <w:rPr>
          <w:rFonts w:hint="default" w:ascii="Times New Roman" w:hAnsi="Times New Roman" w:eastAsia="仿宋_GB2312" w:cs="Times New Roman"/>
          <w:spacing w:val="-27"/>
          <w:u w:val="none" w:color="auto"/>
        </w:rPr>
        <w:t>“经营收入”</w:t>
      </w:r>
      <w:r>
        <w:rPr>
          <w:rFonts w:hint="default" w:ascii="Times New Roman" w:hAnsi="Times New Roman" w:eastAsia="仿宋_GB2312" w:cs="Times New Roman"/>
          <w:spacing w:val="-1"/>
          <w:u w:val="none" w:color="auto"/>
        </w:rPr>
        <w:t>等收入以外的各项收入。</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该项名词解释中“上述……等收入”请依据部门收入的实际情况进行解释</w:t>
      </w:r>
      <w:r>
        <w:rPr>
          <w:rFonts w:hint="default" w:ascii="Times New Roman" w:hAnsi="Times New Roman" w:eastAsia="仿宋_GB2312" w:cs="Times New Roman"/>
          <w:spacing w:val="-1"/>
          <w:u w:val="none" w:color="auto"/>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八</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使用非财政拨款结余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含专用结余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：指事业单位按预算</w:t>
      </w:r>
      <w:r>
        <w:rPr>
          <w:rFonts w:hint="default" w:ascii="Times New Roman" w:hAnsi="Times New Roman" w:eastAsia="仿宋_GB2312" w:cs="Times New Roman"/>
          <w:spacing w:val="6"/>
          <w:u w:val="none" w:color="auto"/>
        </w:rPr>
        <w:t>管理要求使用非财政拨款结余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含专用结余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弥补收支差额的金</w:t>
      </w:r>
      <w:r>
        <w:rPr>
          <w:rFonts w:hint="default" w:ascii="Times New Roman" w:hAnsi="Times New Roman" w:eastAsia="仿宋_GB2312" w:cs="Times New Roman"/>
          <w:spacing w:val="-10"/>
          <w:u w:val="none" w:color="auto"/>
        </w:rPr>
        <w:t>额。</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九</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年初结转和结余：指单位以前年度尚未完成、</w:t>
      </w:r>
      <w:r>
        <w:rPr>
          <w:rFonts w:hint="default" w:ascii="Times New Roman" w:hAnsi="Times New Roman" w:eastAsia="仿宋_GB2312" w:cs="Times New Roman"/>
          <w:spacing w:val="-8"/>
          <w:u w:val="none" w:color="auto"/>
        </w:rPr>
        <w:t>结转到本</w:t>
      </w:r>
      <w:r>
        <w:rPr>
          <w:rFonts w:hint="default" w:ascii="Times New Roman" w:hAnsi="Times New Roman" w:eastAsia="仿宋_GB2312" w:cs="Times New Roman"/>
          <w:spacing w:val="-5"/>
          <w:u w:val="none" w:color="auto"/>
        </w:rPr>
        <w:t>年仍按原规定用途继续使用的资金，或项目已完成等产生的结余资金。</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十</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本部门使用的支出功能分类科目</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到项级</w:t>
      </w:r>
      <w:r>
        <w:rPr>
          <w:rFonts w:hint="default" w:ascii="Times New Roman" w:hAnsi="Times New Roman" w:eastAsia="仿宋_GB2312" w:cs="Times New Roman"/>
          <w:spacing w:val="-4"/>
          <w:u w:val="none" w:color="auto"/>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highlight w:val="none"/>
          <w:u w:val="none" w:color="auto"/>
          <w:shd w:val="clear" w:color="auto" w:fill="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1</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.教育支出(类)教育管理事务(款)一般行政管理事务(项)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2</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.教育支出(类)普通教育(款)学前教育(项)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3</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.教育支出(类)普通教育(款)小学教育(项)</w:t>
      </w:r>
    </w:p>
    <w:p>
      <w:pPr>
        <w:pStyle w:val="2"/>
        <w:rPr>
          <w:rFonts w:hint="default"/>
          <w:u w:val="none" w:color="auto"/>
          <w:lang w:val="en-US"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4</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初中</w:t>
      </w:r>
      <w:r>
        <w:rPr>
          <w:rFonts w:hint="default" w:ascii="Times New Roman" w:hAnsi="Times New Roman" w:eastAsia="仿宋_GB2312" w:cs="Times New Roman"/>
          <w:bCs/>
          <w:color w:val="auto"/>
          <w:kern w:val="44"/>
          <w:sz w:val="32"/>
          <w:szCs w:val="32"/>
          <w:highlight w:val="none"/>
          <w:u w:val="none" w:color="auto"/>
          <w:shd w:val="clear" w:color="auto" w:fill="auto"/>
        </w:rPr>
        <w:t>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5</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.教育支出(类)普通教育(款)高中教育(项)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6</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.教育支出(类)普通教育(款)其他普通教育支出(项)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highlight w:val="none"/>
          <w:u w:val="none" w:color="auto"/>
          <w:shd w:val="clear" w:color="auto" w:fill="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7</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.教育支出(类)进修及培训(款)教师进修(项)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color w:val="auto"/>
          <w:kern w:val="44"/>
          <w:sz w:val="32"/>
          <w:szCs w:val="32"/>
          <w:highlight w:val="none"/>
          <w:u w:val="none" w:color="auto"/>
          <w:shd w:val="clear" w:color="auto" w:fill="auto"/>
          <w:lang w:eastAsia="zh-CN"/>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8</w:t>
      </w:r>
      <w:r>
        <w:rPr>
          <w:rFonts w:hint="default" w:ascii="Times New Roman" w:hAnsi="Times New Roman" w:eastAsia="仿宋_GB2312" w:cs="Times New Roman"/>
          <w:bCs/>
          <w:color w:val="auto"/>
          <w:kern w:val="44"/>
          <w:sz w:val="32"/>
          <w:szCs w:val="32"/>
          <w:highlight w:val="none"/>
          <w:u w:val="none" w:color="auto"/>
          <w:shd w:val="clear" w:color="auto" w:fill="auto"/>
        </w:rPr>
        <w:t>.教育支出(类)教育费附加安排的支出(款)城市中小学校舍建设(项)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u w:val="none" w:color="auto"/>
        </w:rPr>
      </w:pP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9</w:t>
      </w:r>
      <w:r>
        <w:rPr>
          <w:rFonts w:hint="default" w:ascii="Times New Roman" w:hAnsi="Times New Roman" w:eastAsia="仿宋_GB2312" w:cs="Times New Roman"/>
          <w:bCs/>
          <w:color w:val="auto"/>
          <w:kern w:val="44"/>
          <w:sz w:val="32"/>
          <w:szCs w:val="32"/>
          <w:highlight w:val="none"/>
          <w:u w:val="none" w:color="auto"/>
          <w:shd w:val="clear" w:color="auto" w:fill="auto"/>
        </w:rPr>
        <w:t>.文化旅游体育与传媒支出(类)</w:t>
      </w:r>
      <w:r>
        <w:rPr>
          <w:rFonts w:hint="eastAsia" w:ascii="Times New Roman" w:hAnsi="Times New Roman" w:eastAsia="仿宋_GB2312" w:cs="Times New Roman"/>
          <w:bCs/>
          <w:color w:val="auto"/>
          <w:kern w:val="44"/>
          <w:sz w:val="32"/>
          <w:szCs w:val="32"/>
          <w:highlight w:val="none"/>
          <w:u w:val="none" w:color="auto"/>
          <w:shd w:val="clear" w:color="auto" w:fill="auto"/>
          <w:lang w:val="en-US" w:eastAsia="zh-CN"/>
        </w:rPr>
        <w:t>体育</w:t>
      </w:r>
      <w:r>
        <w:rPr>
          <w:rFonts w:hint="default" w:ascii="Times New Roman" w:hAnsi="Times New Roman" w:eastAsia="仿宋_GB2312" w:cs="Times New Roman"/>
          <w:bCs/>
          <w:color w:val="auto"/>
          <w:kern w:val="44"/>
          <w:sz w:val="32"/>
          <w:szCs w:val="32"/>
          <w:highlight w:val="none"/>
          <w:u w:val="none" w:color="auto"/>
          <w:shd w:val="clear" w:color="auto" w:fill="auto"/>
        </w:rPr>
        <w:t>(款)体育竞赛(项)</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参考《202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年政府收支分类科目》说明逐项解释</w:t>
      </w:r>
      <w:r>
        <w:rPr>
          <w:rFonts w:hint="default" w:ascii="Times New Roman" w:hAnsi="Times New Roman" w:eastAsia="仿宋_GB2312" w:cs="Times New Roman"/>
          <w:spacing w:val="-4"/>
          <w:u w:val="none" w:color="auto"/>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十一</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结余分配：指单位按照会计制度规定缴纳企</w:t>
      </w:r>
      <w:r>
        <w:rPr>
          <w:rFonts w:hint="default" w:ascii="Times New Roman" w:hAnsi="Times New Roman" w:eastAsia="仿宋_GB2312" w:cs="Times New Roman"/>
          <w:spacing w:val="-8"/>
          <w:u w:val="none" w:color="auto"/>
        </w:rPr>
        <w:t>业所得税</w:t>
      </w:r>
      <w:r>
        <w:rPr>
          <w:rFonts w:hint="default" w:ascii="Times New Roman" w:hAnsi="Times New Roman" w:eastAsia="仿宋_GB2312" w:cs="Times New Roman"/>
          <w:spacing w:val="-2"/>
          <w:u w:val="none" w:color="auto"/>
        </w:rPr>
        <w:t>以及从非财政拨款结余或经营结余中提取各类结余的情况。</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年末结转和结余：指单位按有关规定结转到</w:t>
      </w:r>
      <w:r>
        <w:rPr>
          <w:rFonts w:hint="default" w:ascii="Times New Roman" w:hAnsi="Times New Roman" w:eastAsia="仿宋_GB2312" w:cs="Times New Roman"/>
          <w:spacing w:val="-8"/>
          <w:u w:val="none" w:color="auto"/>
        </w:rPr>
        <w:t>下年或以</w:t>
      </w:r>
      <w:r>
        <w:rPr>
          <w:rFonts w:hint="default" w:ascii="Times New Roman" w:hAnsi="Times New Roman" w:eastAsia="仿宋_GB2312" w:cs="Times New Roman"/>
          <w:spacing w:val="-1"/>
          <w:u w:val="none" w:color="auto"/>
        </w:rPr>
        <w:t>后年度继续使用的资金，或项目已完成等产生的结余资金。</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十三</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基本支出：指为保障机构正常运转、完成日</w:t>
      </w:r>
      <w:r>
        <w:rPr>
          <w:rFonts w:hint="default" w:ascii="Times New Roman" w:hAnsi="Times New Roman" w:eastAsia="仿宋_GB2312" w:cs="Times New Roman"/>
          <w:spacing w:val="-8"/>
          <w:u w:val="none" w:color="auto"/>
        </w:rPr>
        <w:t>常工作任</w:t>
      </w:r>
      <w:r>
        <w:rPr>
          <w:rFonts w:hint="default" w:ascii="Times New Roman" w:hAnsi="Times New Roman" w:eastAsia="仿宋_GB2312" w:cs="Times New Roman"/>
          <w:spacing w:val="-1"/>
          <w:u w:val="none" w:color="auto"/>
        </w:rPr>
        <w:t>务而发生的人员支出和公用支出。</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项目支出：指在基本支出之外为完成特定行</w:t>
      </w:r>
      <w:r>
        <w:rPr>
          <w:rFonts w:hint="default" w:ascii="Times New Roman" w:hAnsi="Times New Roman" w:eastAsia="仿宋_GB2312" w:cs="Times New Roman"/>
          <w:spacing w:val="-8"/>
          <w:u w:val="none" w:color="auto"/>
        </w:rPr>
        <w:t>政任务或</w:t>
      </w:r>
      <w:r>
        <w:rPr>
          <w:rFonts w:hint="default" w:ascii="Times New Roman" w:hAnsi="Times New Roman" w:eastAsia="仿宋_GB2312" w:cs="Times New Roman"/>
          <w:spacing w:val="-2"/>
          <w:u w:val="none" w:color="auto"/>
        </w:rPr>
        <w:t>事业发展目标所发生的支出。</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经营支出：指事业单位在专业活动及辅助活</w:t>
      </w:r>
      <w:r>
        <w:rPr>
          <w:rFonts w:hint="default" w:ascii="Times New Roman" w:hAnsi="Times New Roman" w:eastAsia="仿宋_GB2312" w:cs="Times New Roman"/>
          <w:spacing w:val="-8"/>
          <w:u w:val="none" w:color="auto"/>
        </w:rPr>
        <w:t>动之外开</w:t>
      </w:r>
      <w:r>
        <w:rPr>
          <w:rFonts w:hint="default" w:ascii="Times New Roman" w:hAnsi="Times New Roman" w:eastAsia="仿宋_GB2312" w:cs="Times New Roman"/>
          <w:spacing w:val="-1"/>
          <w:u w:val="none" w:color="auto"/>
        </w:rPr>
        <w:t>展非独立核算经营活动发生的支出。</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十六</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“三公”经费：纳入市级财政预决算管理的“三公”</w:t>
      </w:r>
      <w:r>
        <w:rPr>
          <w:rFonts w:hint="default" w:ascii="Times New Roman" w:hAnsi="Times New Roman" w:eastAsia="仿宋_GB2312" w:cs="Times New Roman"/>
          <w:spacing w:val="-5"/>
          <w:u w:val="none" w:color="auto"/>
        </w:rPr>
        <w:t>经费，是指部门用财政拨款安排的因公出国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费、公务用</w:t>
      </w:r>
      <w:r>
        <w:rPr>
          <w:rFonts w:hint="default" w:ascii="Times New Roman" w:hAnsi="Times New Roman" w:eastAsia="仿宋_GB2312" w:cs="Times New Roman"/>
          <w:spacing w:val="-8"/>
          <w:u w:val="none" w:color="auto"/>
        </w:rPr>
        <w:t>车购置及运行维护费和公务接待费。其中，因公出国</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费反映</w:t>
      </w:r>
      <w:r>
        <w:rPr>
          <w:rFonts w:hint="default" w:ascii="Times New Roman" w:hAnsi="Times New Roman" w:eastAsia="仿宋_GB2312" w:cs="Times New Roman"/>
          <w:spacing w:val="-5"/>
          <w:u w:val="none" w:color="auto"/>
        </w:rPr>
        <w:t>单位公务出国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的国际旅费、国外城市间交通费、住宿费、伙食费、培训费、公杂费等支出；公务用车购置及运行维护费反映</w:t>
      </w:r>
      <w:r>
        <w:rPr>
          <w:rFonts w:hint="default" w:ascii="Times New Roman" w:hAnsi="Times New Roman" w:eastAsia="仿宋_GB2312" w:cs="Times New Roman"/>
          <w:spacing w:val="-7"/>
          <w:u w:val="none" w:color="auto"/>
        </w:rPr>
        <w:t>单位公务用车购置支出</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含车辆购置税、牌照</w:t>
      </w:r>
      <w:r>
        <w:rPr>
          <w:rFonts w:hint="default" w:ascii="Times New Roman" w:hAnsi="Times New Roman" w:eastAsia="仿宋_GB2312" w:cs="Times New Roman"/>
          <w:spacing w:val="-8"/>
          <w:u w:val="none" w:color="auto"/>
        </w:rPr>
        <w:t>费</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及燃料费、维修</w:t>
      </w:r>
      <w:r>
        <w:rPr>
          <w:rFonts w:hint="default" w:ascii="Times New Roman" w:hAnsi="Times New Roman" w:eastAsia="仿宋_GB2312" w:cs="Times New Roman"/>
          <w:spacing w:val="-5"/>
          <w:u w:val="none" w:color="auto"/>
        </w:rPr>
        <w:t>费、过桥过路费、保险费、安全奖励费用等支出；公务接待费反</w:t>
      </w:r>
      <w:r>
        <w:rPr>
          <w:rFonts w:hint="default" w:ascii="Times New Roman" w:hAnsi="Times New Roman" w:eastAsia="仿宋_GB2312" w:cs="Times New Roman"/>
          <w:spacing w:val="-1"/>
          <w:u w:val="none" w:color="auto"/>
        </w:rPr>
        <w:t>映单位按规定开支的各类公务接待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含外宾接待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费用。</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十七</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机关运行经费：指为保障行政单位</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包括参照公务员</w:t>
      </w:r>
      <w:r>
        <w:rPr>
          <w:rFonts w:hint="default" w:ascii="Times New Roman" w:hAnsi="Times New Roman" w:eastAsia="仿宋_GB2312" w:cs="Times New Roman"/>
          <w:spacing w:val="1"/>
          <w:u w:val="none" w:color="auto"/>
        </w:rPr>
        <w:t>法管理的事业单位</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运行用于购买货物和服务的各项资金，</w:t>
      </w:r>
      <w:r>
        <w:rPr>
          <w:rFonts w:hint="default" w:ascii="Times New Roman" w:hAnsi="Times New Roman" w:eastAsia="仿宋_GB2312" w:cs="Times New Roman"/>
          <w:u w:val="none" w:color="auto"/>
        </w:rPr>
        <w:t>包括</w:t>
      </w:r>
      <w:r>
        <w:rPr>
          <w:rFonts w:hint="default" w:ascii="Times New Roman" w:hAnsi="Times New Roman" w:eastAsia="仿宋_GB2312" w:cs="Times New Roman"/>
          <w:spacing w:val="-5"/>
          <w:u w:val="none" w:color="auto"/>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u w:val="none" w:color="auto"/>
        </w:rPr>
        <w:t>暖费、办公用房物业管理费、公务用车运行维护费以及其他费用。</w:t>
      </w:r>
    </w:p>
    <w:p>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十八</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其他专用名词。</w:t>
      </w:r>
    </w:p>
    <w:p>
      <w:pPr>
        <w:pStyle w:val="10"/>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u w:val="none" w:color="auto"/>
          <w:lang w:eastAsia="zh-CN"/>
        </w:rPr>
      </w:pPr>
      <w:r>
        <w:rPr>
          <w:rFonts w:hint="default" w:ascii="Times New Roman" w:hAnsi="Times New Roman" w:cs="Times New Roman"/>
          <w:b/>
          <w:bCs/>
          <w:spacing w:val="-4"/>
          <w:u w:val="none" w:color="auto"/>
          <w:lang w:eastAsia="zh-CN"/>
        </w:rPr>
        <w:t>（</w:t>
      </w:r>
      <w:r>
        <w:rPr>
          <w:rFonts w:hint="default" w:ascii="Times New Roman" w:hAnsi="Times New Roman" w:cs="Times New Roman"/>
          <w:b/>
          <w:bCs/>
          <w:spacing w:val="-4"/>
          <w:u w:val="none" w:color="auto"/>
        </w:rPr>
        <w:t>根据本部门使用的其他专用名词补充解释</w:t>
      </w:r>
      <w:r>
        <w:rPr>
          <w:rFonts w:hint="default" w:ascii="Times New Roman" w:hAnsi="Times New Roman" w:cs="Times New Roman"/>
          <w:b/>
          <w:bCs/>
          <w:spacing w:val="-4"/>
          <w:u w:val="none" w:color="auto"/>
          <w:lang w:eastAsia="zh-CN"/>
        </w:rPr>
        <w:t>）</w:t>
      </w:r>
    </w:p>
    <w:p>
      <w:pPr>
        <w:rPr>
          <w:rFonts w:hint="default" w:ascii="Times New Roman" w:hAnsi="Times New Roman" w:cs="Times New Roman"/>
          <w:spacing w:val="-4"/>
          <w:u w:val="none" w:color="auto"/>
          <w:lang w:eastAsia="zh-CN"/>
        </w:rPr>
      </w:pPr>
      <w:r>
        <w:rPr>
          <w:rFonts w:hint="default" w:ascii="Times New Roman" w:hAnsi="Times New Roman" w:cs="Times New Roman"/>
          <w:spacing w:val="-4"/>
          <w:u w:val="none" w:color="auto"/>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第六部分  附件</w:t>
      </w:r>
    </w:p>
    <w:p>
      <w:pPr>
        <w:pStyle w:val="3"/>
        <w:spacing w:before="0" w:after="0" w:line="560" w:lineRule="exact"/>
        <w:jc w:val="center"/>
        <w:rPr>
          <w:rFonts w:ascii="Times New Roman" w:hAnsi="Times New Roman" w:eastAsia="方正小标宋_GBK" w:cs="方正小标宋_GBK"/>
          <w:b w:val="0"/>
          <w:bCs/>
          <w:sz w:val="36"/>
          <w:szCs w:val="36"/>
        </w:rPr>
      </w:pPr>
      <w:r>
        <w:rPr>
          <w:rFonts w:hint="eastAsia" w:ascii="Times New Roman" w:hAnsi="Times New Roman" w:eastAsia="方正小标宋_GBK" w:cs="方正小标宋_GBK"/>
          <w:b w:val="0"/>
          <w:bCs/>
          <w:sz w:val="36"/>
          <w:szCs w:val="36"/>
        </w:rPr>
        <w:t>2024年度武汉东湖新技术开发区教育局部门整体</w:t>
      </w:r>
    </w:p>
    <w:p>
      <w:pPr>
        <w:pStyle w:val="3"/>
        <w:spacing w:before="0" w:after="0" w:line="560" w:lineRule="exact"/>
        <w:jc w:val="center"/>
        <w:rPr>
          <w:rFonts w:ascii="Times New Roman" w:hAnsi="Times New Roman" w:eastAsia="方正小标宋_GBK" w:cs="方正小标宋_GBK"/>
          <w:b w:val="0"/>
          <w:bCs/>
          <w:sz w:val="36"/>
          <w:szCs w:val="36"/>
        </w:rPr>
      </w:pPr>
      <w:r>
        <w:rPr>
          <w:rFonts w:hint="eastAsia" w:ascii="Times New Roman" w:hAnsi="Times New Roman" w:eastAsia="方正小标宋_GBK" w:cs="方正小标宋_GBK"/>
          <w:b w:val="0"/>
          <w:bCs/>
          <w:sz w:val="36"/>
          <w:szCs w:val="36"/>
        </w:rPr>
        <w:t>绩效自评结果</w:t>
      </w:r>
    </w:p>
    <w:p>
      <w:pPr>
        <w:spacing w:line="560" w:lineRule="exact"/>
        <w:jc w:val="center"/>
      </w:pPr>
      <w:r>
        <w:rPr>
          <w:rFonts w:hint="eastAsia" w:eastAsia="楷体" w:cs="楷体"/>
          <w:sz w:val="32"/>
          <w:szCs w:val="32"/>
        </w:rPr>
        <w:t>（</w:t>
      </w:r>
      <w:r>
        <w:rPr>
          <w:rFonts w:hint="eastAsia" w:eastAsia="楷体" w:cs="楷体"/>
          <w:sz w:val="32"/>
          <w:szCs w:val="32"/>
          <w:lang w:val="en-US" w:eastAsia="zh-CN"/>
        </w:rPr>
        <w:t>摘要</w:t>
      </w:r>
      <w:r>
        <w:rPr>
          <w:rFonts w:hint="eastAsia" w:eastAsia="楷体" w:cs="楷体"/>
          <w:sz w:val="32"/>
          <w:szCs w:val="32"/>
        </w:rPr>
        <w:t>版）</w:t>
      </w:r>
    </w:p>
    <w:p>
      <w:pPr>
        <w:widowControl/>
        <w:spacing w:line="560" w:lineRule="exact"/>
        <w:ind w:firstLine="643" w:firstLineChars="200"/>
        <w:outlineLvl w:val="0"/>
        <w:rPr>
          <w:kern w:val="0"/>
          <w:sz w:val="32"/>
          <w:szCs w:val="32"/>
        </w:rPr>
      </w:pPr>
      <w:r>
        <w:rPr>
          <w:rFonts w:eastAsia="黑体"/>
          <w:b/>
          <w:bCs/>
          <w:sz w:val="32"/>
          <w:szCs w:val="32"/>
        </w:rPr>
        <w:t>一、</w:t>
      </w:r>
      <w:r>
        <w:rPr>
          <w:rFonts w:hint="eastAsia" w:eastAsia="黑体"/>
          <w:b/>
          <w:bCs/>
          <w:sz w:val="32"/>
          <w:szCs w:val="32"/>
        </w:rPr>
        <w:t>部门整体绩效自评得分</w:t>
      </w:r>
    </w:p>
    <w:p>
      <w:pPr>
        <w:keepNext/>
        <w:spacing w:line="560" w:lineRule="exact"/>
        <w:ind w:firstLine="640" w:firstLineChars="200"/>
        <w:rPr>
          <w:rFonts w:eastAsia="仿宋"/>
          <w:sz w:val="32"/>
          <w:szCs w:val="32"/>
        </w:rPr>
      </w:pPr>
      <w:r>
        <w:rPr>
          <w:rFonts w:hint="eastAsia" w:eastAsia="仿宋"/>
          <w:sz w:val="32"/>
          <w:szCs w:val="32"/>
        </w:rPr>
        <w:t>2024年度武汉东湖新技术开发区教育局</w:t>
      </w:r>
      <w:r>
        <w:rPr>
          <w:rFonts w:eastAsia="仿宋"/>
          <w:sz w:val="32"/>
          <w:szCs w:val="32"/>
        </w:rPr>
        <w:t>部门整体绩效</w:t>
      </w:r>
      <w:r>
        <w:rPr>
          <w:rFonts w:hint="eastAsia" w:eastAsia="仿宋"/>
          <w:sz w:val="32"/>
          <w:szCs w:val="32"/>
        </w:rPr>
        <w:t>自评</w:t>
      </w:r>
      <w:r>
        <w:rPr>
          <w:rFonts w:eastAsia="仿宋"/>
          <w:sz w:val="32"/>
          <w:szCs w:val="32"/>
        </w:rPr>
        <w:t>综合得分为</w:t>
      </w:r>
      <w:r>
        <w:rPr>
          <w:rFonts w:hint="eastAsia" w:eastAsia="仿宋"/>
          <w:sz w:val="30"/>
          <w:szCs w:val="30"/>
        </w:rPr>
        <w:t>95.5</w:t>
      </w:r>
      <w:r>
        <w:rPr>
          <w:rFonts w:eastAsia="仿宋"/>
          <w:sz w:val="32"/>
          <w:szCs w:val="32"/>
        </w:rPr>
        <w:t>分。</w:t>
      </w:r>
    </w:p>
    <w:p>
      <w:pPr>
        <w:widowControl/>
        <w:spacing w:line="560" w:lineRule="exact"/>
        <w:ind w:firstLine="643" w:firstLineChars="200"/>
        <w:outlineLvl w:val="0"/>
        <w:rPr>
          <w:rFonts w:eastAsia="黑体"/>
          <w:b/>
          <w:bCs/>
          <w:sz w:val="32"/>
          <w:szCs w:val="32"/>
        </w:rPr>
      </w:pPr>
      <w:r>
        <w:rPr>
          <w:rFonts w:hint="eastAsia" w:eastAsia="黑体"/>
          <w:b/>
          <w:bCs/>
          <w:sz w:val="32"/>
          <w:szCs w:val="32"/>
          <w:lang w:val="en-US" w:eastAsia="zh-CN"/>
        </w:rPr>
        <w:t>二、</w:t>
      </w:r>
      <w:r>
        <w:rPr>
          <w:rFonts w:eastAsia="黑体"/>
          <w:b/>
          <w:bCs/>
          <w:sz w:val="32"/>
          <w:szCs w:val="32"/>
        </w:rPr>
        <w:t>部门整体绩效目标完成情况</w:t>
      </w:r>
    </w:p>
    <w:p>
      <w:pPr>
        <w:widowControl/>
        <w:spacing w:line="560" w:lineRule="exact"/>
        <w:ind w:firstLine="643" w:firstLineChars="200"/>
        <w:jc w:val="left"/>
        <w:outlineLvl w:val="1"/>
        <w:rPr>
          <w:rFonts w:eastAsia="楷体"/>
          <w:b/>
          <w:bCs/>
          <w:kern w:val="0"/>
          <w:sz w:val="32"/>
          <w:szCs w:val="32"/>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rPr>
        <w:t>执行率情况</w:t>
      </w:r>
    </w:p>
    <w:p>
      <w:pPr>
        <w:keepNext/>
        <w:spacing w:line="560" w:lineRule="exact"/>
        <w:ind w:firstLine="640" w:firstLineChars="200"/>
        <w:rPr>
          <w:rFonts w:eastAsia="仿宋"/>
          <w:sz w:val="32"/>
          <w:szCs w:val="32"/>
        </w:rPr>
      </w:pPr>
      <w:r>
        <w:rPr>
          <w:rFonts w:hint="eastAsia" w:eastAsia="仿宋"/>
          <w:sz w:val="32"/>
          <w:szCs w:val="32"/>
        </w:rPr>
        <w:t>2024年度武汉东湖新技术开发区教育局年初</w:t>
      </w:r>
      <w:r>
        <w:rPr>
          <w:rFonts w:eastAsia="仿宋"/>
          <w:sz w:val="32"/>
          <w:szCs w:val="32"/>
        </w:rPr>
        <w:t>部门预算</w:t>
      </w:r>
      <w:r>
        <w:rPr>
          <w:rFonts w:hint="eastAsia" w:eastAsia="仿宋"/>
          <w:sz w:val="32"/>
          <w:szCs w:val="32"/>
        </w:rPr>
        <w:t>数为261937.17万元，其中基本支出158317.95万元，项目支出预算103619.22万元；调整后部门预算数为283568.97万元，</w:t>
      </w:r>
      <w:r>
        <w:rPr>
          <w:rFonts w:hint="eastAsia" w:eastAsia="仿宋" w:cs="仿宋_GB2312"/>
          <w:sz w:val="32"/>
          <w:szCs w:val="32"/>
        </w:rPr>
        <w:t>其中基本支出预算167978.68万元，项目支出预算115189.14万元，年末结转和结余401.16万元</w:t>
      </w:r>
      <w:r>
        <w:rPr>
          <w:rFonts w:hint="eastAsia" w:eastAsia="仿宋"/>
          <w:sz w:val="32"/>
          <w:szCs w:val="32"/>
        </w:rPr>
        <w:t>（金额转换成万元时，因四舍五入存在尾差，后同）</w:t>
      </w:r>
      <w:r>
        <w:rPr>
          <w:rFonts w:hint="eastAsia" w:eastAsia="仿宋" w:cs="仿宋_GB2312"/>
          <w:sz w:val="32"/>
          <w:szCs w:val="32"/>
        </w:rPr>
        <w:t>。</w:t>
      </w:r>
      <w:r>
        <w:rPr>
          <w:rFonts w:hint="eastAsia" w:eastAsia="仿宋"/>
          <w:sz w:val="32"/>
          <w:szCs w:val="32"/>
        </w:rPr>
        <w:t>2024年度预算</w:t>
      </w:r>
      <w:r>
        <w:rPr>
          <w:rFonts w:eastAsia="仿宋"/>
          <w:sz w:val="32"/>
          <w:szCs w:val="32"/>
        </w:rPr>
        <w:t>执行数</w:t>
      </w:r>
      <w:r>
        <w:rPr>
          <w:rFonts w:hint="eastAsia" w:eastAsia="仿宋"/>
          <w:sz w:val="32"/>
          <w:szCs w:val="32"/>
          <w:lang w:val="en-US" w:eastAsia="zh-CN"/>
        </w:rPr>
        <w:t>283167.81</w:t>
      </w:r>
      <w:r>
        <w:rPr>
          <w:rFonts w:hint="eastAsia" w:eastAsia="仿宋"/>
          <w:sz w:val="32"/>
          <w:szCs w:val="32"/>
        </w:rPr>
        <w:t>万元，</w:t>
      </w:r>
      <w:r>
        <w:rPr>
          <w:rFonts w:hint="eastAsia" w:eastAsia="仿宋" w:cs="仿宋_GB2312"/>
          <w:sz w:val="32"/>
          <w:szCs w:val="32"/>
        </w:rPr>
        <w:t>其中基本支出预算执行数167978.68万元，项目支出预算执行数115189.14万元</w:t>
      </w:r>
      <w:r>
        <w:rPr>
          <w:rFonts w:hint="eastAsia" w:eastAsia="仿宋"/>
          <w:sz w:val="32"/>
          <w:szCs w:val="32"/>
        </w:rPr>
        <w:t>，</w:t>
      </w:r>
      <w:r>
        <w:rPr>
          <w:rFonts w:hint="eastAsia" w:eastAsia="仿宋"/>
          <w:sz w:val="32"/>
          <w:szCs w:val="32"/>
          <w:lang w:val="en-US" w:eastAsia="zh-CN"/>
        </w:rPr>
        <w:t>预算执行率为99.86%。</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完成的绩效目标</w:t>
      </w:r>
    </w:p>
    <w:p>
      <w:pPr>
        <w:widowControl/>
        <w:spacing w:line="560" w:lineRule="exact"/>
        <w:ind w:firstLine="640" w:firstLineChars="200"/>
        <w:rPr>
          <w:rFonts w:eastAsia="仿宋"/>
          <w:sz w:val="32"/>
          <w:szCs w:val="32"/>
        </w:rPr>
      </w:pPr>
      <w:r>
        <w:rPr>
          <w:rFonts w:hint="eastAsia" w:eastAsia="仿宋"/>
          <w:sz w:val="32"/>
          <w:szCs w:val="32"/>
        </w:rPr>
        <w:t>2024年度</w:t>
      </w:r>
      <w:r>
        <w:rPr>
          <w:rFonts w:hint="eastAsia" w:eastAsia="仿宋"/>
          <w:kern w:val="0"/>
          <w:sz w:val="32"/>
          <w:szCs w:val="32"/>
        </w:rPr>
        <w:t>部门整体支出</w:t>
      </w:r>
      <w:r>
        <w:rPr>
          <w:rFonts w:eastAsia="仿宋"/>
          <w:sz w:val="32"/>
          <w:szCs w:val="32"/>
        </w:rPr>
        <w:t>共设置</w:t>
      </w:r>
      <w:r>
        <w:rPr>
          <w:rFonts w:hint="eastAsia" w:eastAsia="仿宋"/>
          <w:sz w:val="32"/>
          <w:szCs w:val="32"/>
        </w:rPr>
        <w:t>29</w:t>
      </w:r>
      <w:r>
        <w:rPr>
          <w:rFonts w:eastAsia="仿宋"/>
          <w:sz w:val="32"/>
          <w:szCs w:val="32"/>
        </w:rPr>
        <w:t>个绩效指标，完成了</w:t>
      </w:r>
      <w:r>
        <w:rPr>
          <w:rFonts w:hint="eastAsia" w:eastAsia="仿宋"/>
          <w:sz w:val="32"/>
          <w:szCs w:val="32"/>
        </w:rPr>
        <w:t>27</w:t>
      </w:r>
      <w:r>
        <w:rPr>
          <w:rFonts w:eastAsia="仿宋"/>
          <w:sz w:val="32"/>
          <w:szCs w:val="32"/>
        </w:rPr>
        <w:t>个。资金使用较为规范，部门产出较好，并取得了良好的社会效益。</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三）</w:t>
      </w:r>
      <w:r>
        <w:rPr>
          <w:rFonts w:hint="eastAsia" w:eastAsia="楷体"/>
          <w:b/>
          <w:bCs/>
          <w:kern w:val="0"/>
          <w:sz w:val="32"/>
          <w:szCs w:val="32"/>
          <w:lang w:eastAsia="zh-CN"/>
        </w:rPr>
        <w:t>未完成的绩效目标</w:t>
      </w:r>
    </w:p>
    <w:p>
      <w:pPr>
        <w:shd w:val="clear" w:color="auto" w:fill="FFFFFF" w:themeFill="background1"/>
        <w:spacing w:line="560" w:lineRule="exact"/>
        <w:ind w:firstLine="640" w:firstLineChars="200"/>
        <w:rPr>
          <w:rFonts w:eastAsia="仿宋"/>
          <w:sz w:val="32"/>
          <w:szCs w:val="32"/>
        </w:rPr>
      </w:pPr>
      <w:r>
        <w:rPr>
          <w:rFonts w:hint="eastAsia" w:eastAsia="仿宋"/>
          <w:sz w:val="32"/>
          <w:szCs w:val="32"/>
        </w:rPr>
        <w:t>部门未完成的绩效指标有2个，</w:t>
      </w:r>
      <w:r>
        <w:rPr>
          <w:rFonts w:hint="eastAsia" w:eastAsia="仿宋"/>
          <w:kern w:val="0"/>
          <w:sz w:val="32"/>
          <w:szCs w:val="32"/>
        </w:rPr>
        <w:t>具体指标完成情况如下表所示</w:t>
      </w:r>
      <w:r>
        <w:rPr>
          <w:rFonts w:hint="eastAsia" w:eastAsia="仿宋"/>
          <w:sz w:val="32"/>
          <w:szCs w:val="32"/>
        </w:rPr>
        <w:t>：</w:t>
      </w:r>
    </w:p>
    <w:p>
      <w:pPr>
        <w:shd w:val="clear" w:color="auto" w:fill="FFFFFF" w:themeFill="background1"/>
        <w:spacing w:line="560" w:lineRule="exact"/>
        <w:jc w:val="center"/>
        <w:rPr>
          <w:rFonts w:eastAsia="仿宋"/>
          <w:b/>
          <w:bCs/>
          <w:kern w:val="0"/>
          <w:sz w:val="28"/>
          <w:szCs w:val="28"/>
        </w:rPr>
      </w:pPr>
      <w:r>
        <w:rPr>
          <w:rFonts w:hint="eastAsia" w:eastAsia="仿宋"/>
          <w:b/>
          <w:bCs/>
          <w:kern w:val="0"/>
          <w:sz w:val="28"/>
          <w:szCs w:val="28"/>
        </w:rPr>
        <w:t>表1.1 未完成指标分析表</w:t>
      </w:r>
    </w:p>
    <w:tbl>
      <w:tblPr>
        <w:tblStyle w:val="11"/>
        <w:tblW w:w="5083" w:type="pct"/>
        <w:jc w:val="center"/>
        <w:tblLayout w:type="fixed"/>
        <w:tblCellMar>
          <w:top w:w="0" w:type="dxa"/>
          <w:left w:w="108" w:type="dxa"/>
          <w:bottom w:w="0" w:type="dxa"/>
          <w:right w:w="108" w:type="dxa"/>
        </w:tblCellMar>
      </w:tblPr>
      <w:tblGrid>
        <w:gridCol w:w="1448"/>
        <w:gridCol w:w="1697"/>
        <w:gridCol w:w="1045"/>
        <w:gridCol w:w="1216"/>
        <w:gridCol w:w="3257"/>
      </w:tblGrid>
      <w:tr>
        <w:tblPrEx>
          <w:tblCellMar>
            <w:top w:w="0" w:type="dxa"/>
            <w:left w:w="108" w:type="dxa"/>
            <w:bottom w:w="0" w:type="dxa"/>
            <w:right w:w="108" w:type="dxa"/>
          </w:tblCellMar>
        </w:tblPrEx>
        <w:trPr>
          <w:trHeight w:val="454" w:hRule="atLeast"/>
          <w:tblHeader/>
          <w:jc w:val="center"/>
        </w:trPr>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kern w:val="0"/>
                <w:sz w:val="24"/>
                <w:lang w:bidi="ar"/>
              </w:rPr>
            </w:pPr>
            <w:r>
              <w:rPr>
                <w:rFonts w:eastAsia="仿宋"/>
                <w:b/>
                <w:bCs/>
                <w:kern w:val="0"/>
                <w:sz w:val="24"/>
                <w:lang w:bidi="ar"/>
              </w:rPr>
              <w:t>目标</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指标名称</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目标值</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
                <w:b/>
                <w:bCs/>
                <w:sz w:val="24"/>
              </w:rPr>
            </w:pPr>
            <w:r>
              <w:rPr>
                <w:rFonts w:eastAsia="仿宋"/>
                <w:b/>
                <w:bCs/>
                <w:kern w:val="0"/>
                <w:sz w:val="24"/>
                <w:lang w:bidi="ar"/>
              </w:rPr>
              <w:t>完成值</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b/>
                <w:bCs/>
                <w:sz w:val="24"/>
              </w:rPr>
            </w:pPr>
            <w:r>
              <w:rPr>
                <w:rFonts w:eastAsia="仿宋"/>
                <w:b/>
                <w:bCs/>
                <w:kern w:val="0"/>
                <w:sz w:val="24"/>
                <w:lang w:bidi="ar"/>
              </w:rPr>
              <w:t>未完成原因</w:t>
            </w:r>
          </w:p>
        </w:tc>
      </w:tr>
      <w:tr>
        <w:tblPrEx>
          <w:tblCellMar>
            <w:top w:w="0" w:type="dxa"/>
            <w:left w:w="108" w:type="dxa"/>
            <w:bottom w:w="0" w:type="dxa"/>
            <w:right w:w="108" w:type="dxa"/>
          </w:tblCellMar>
        </w:tblPrEx>
        <w:trPr>
          <w:trHeight w:val="454" w:hRule="atLeast"/>
          <w:jc w:val="center"/>
        </w:trPr>
        <w:tc>
          <w:tcPr>
            <w:tcW w:w="83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年度目标</w:t>
            </w:r>
            <w:r>
              <w:rPr>
                <w:rFonts w:hint="eastAsia" w:eastAsia="仿宋"/>
                <w:color w:val="000000"/>
                <w:kern w:val="0"/>
                <w:sz w:val="24"/>
                <w:lang w:bidi="ar"/>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新建学校项目完工率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kern w:val="0"/>
                <w:sz w:val="24"/>
                <w:lang w:bidi="ar"/>
              </w:rPr>
            </w:pPr>
            <w:r>
              <w:rPr>
                <w:rFonts w:hint="eastAsia" w:eastAsia="仿宋"/>
                <w:color w:val="000000"/>
                <w:kern w:val="0"/>
                <w:sz w:val="24"/>
                <w:lang w:bidi="ar"/>
              </w:rPr>
              <w:t>66.67%</w:t>
            </w:r>
          </w:p>
        </w:tc>
        <w:tc>
          <w:tcPr>
            <w:tcW w:w="1879" w:type="pct"/>
            <w:vMerge w:val="restart"/>
            <w:tcBorders>
              <w:top w:val="single" w:color="auto" w:sz="4" w:space="0"/>
              <w:left w:val="single" w:color="auto" w:sz="4" w:space="0"/>
              <w:right w:val="single" w:color="auto" w:sz="4" w:space="0"/>
            </w:tcBorders>
            <w:shd w:val="clear" w:color="auto" w:fill="auto"/>
            <w:vAlign w:val="center"/>
          </w:tcPr>
          <w:p>
            <w:pPr>
              <w:widowControl/>
              <w:textAlignment w:val="center"/>
              <w:rPr>
                <w:rFonts w:eastAsia="仿宋"/>
                <w:color w:val="000000"/>
                <w:kern w:val="0"/>
                <w:sz w:val="24"/>
                <w:highlight w:val="yellow"/>
                <w:lang w:bidi="ar"/>
              </w:rPr>
            </w:pPr>
            <w:r>
              <w:rPr>
                <w:rFonts w:eastAsia="仿宋"/>
                <w:color w:val="000000"/>
                <w:kern w:val="0"/>
                <w:sz w:val="24"/>
                <w:lang w:bidi="ar"/>
              </w:rPr>
              <w:t>在推进新建及扩建学校项目过程中，受工程建设资金不足、</w:t>
            </w:r>
            <w:r>
              <w:rPr>
                <w:rFonts w:eastAsia="仿宋"/>
                <w:color w:val="000000"/>
                <w:kern w:val="0"/>
                <w:sz w:val="24"/>
                <w:highlight w:val="none"/>
                <w:lang w:bidi="ar"/>
              </w:rPr>
              <w:t>土地审批</w:t>
            </w:r>
            <w:r>
              <w:rPr>
                <w:rFonts w:hint="eastAsia" w:eastAsia="仿宋"/>
                <w:color w:val="000000"/>
                <w:kern w:val="0"/>
                <w:sz w:val="24"/>
                <w:highlight w:val="none"/>
                <w:lang w:val="en-US" w:eastAsia="zh-CN" w:bidi="ar"/>
              </w:rPr>
              <w:t>手续办理延迟</w:t>
            </w:r>
            <w:r>
              <w:rPr>
                <w:rFonts w:eastAsia="仿宋"/>
                <w:color w:val="000000"/>
                <w:kern w:val="0"/>
                <w:sz w:val="24"/>
                <w:lang w:bidi="ar"/>
              </w:rPr>
              <w:t>等影响，部分项目未能按计划完工。</w:t>
            </w:r>
          </w:p>
        </w:tc>
      </w:tr>
      <w:tr>
        <w:tblPrEx>
          <w:tblCellMar>
            <w:top w:w="0" w:type="dxa"/>
            <w:left w:w="108" w:type="dxa"/>
            <w:bottom w:w="0" w:type="dxa"/>
            <w:right w:w="108" w:type="dxa"/>
          </w:tblCellMar>
        </w:tblPrEx>
        <w:trPr>
          <w:trHeight w:val="454" w:hRule="atLeast"/>
          <w:jc w:val="center"/>
        </w:trPr>
        <w:tc>
          <w:tcPr>
            <w:tcW w:w="83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大型维修改造学校项目完工率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
                <w:color w:val="000000"/>
                <w:kern w:val="0"/>
                <w:sz w:val="24"/>
                <w:lang w:bidi="ar"/>
              </w:rPr>
            </w:pPr>
            <w:r>
              <w:rPr>
                <w:rFonts w:eastAsia="仿宋"/>
                <w:color w:val="000000"/>
                <w:kern w:val="0"/>
                <w:sz w:val="24"/>
                <w:lang w:bidi="ar"/>
              </w:rPr>
              <w:t>100%</w:t>
            </w:r>
          </w:p>
        </w:tc>
        <w:tc>
          <w:tcPr>
            <w:tcW w:w="70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eastAsia="仿宋"/>
                <w:color w:val="000000"/>
                <w:kern w:val="0"/>
                <w:sz w:val="24"/>
                <w:lang w:bidi="ar"/>
              </w:rPr>
            </w:pPr>
            <w:r>
              <w:rPr>
                <w:rFonts w:hint="eastAsia" w:eastAsia="仿宋"/>
                <w:color w:val="000000"/>
                <w:kern w:val="0"/>
                <w:sz w:val="24"/>
                <w:lang w:bidi="ar"/>
              </w:rPr>
              <w:t>50%</w:t>
            </w:r>
          </w:p>
        </w:tc>
        <w:tc>
          <w:tcPr>
            <w:tcW w:w="1879"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
                <w:color w:val="000000"/>
                <w:kern w:val="0"/>
                <w:sz w:val="24"/>
                <w:highlight w:val="yellow"/>
                <w:lang w:bidi="ar"/>
              </w:rPr>
            </w:pPr>
          </w:p>
        </w:tc>
      </w:tr>
    </w:tbl>
    <w:p>
      <w:pPr>
        <w:widowControl/>
        <w:spacing w:line="560" w:lineRule="exact"/>
        <w:ind w:firstLine="643" w:firstLineChars="200"/>
        <w:outlineLvl w:val="0"/>
        <w:rPr>
          <w:rFonts w:hint="eastAsia" w:eastAsia="黑体"/>
          <w:b/>
          <w:bCs/>
          <w:sz w:val="32"/>
          <w:szCs w:val="32"/>
          <w:lang w:val="en-US" w:eastAsia="zh-CN"/>
        </w:rPr>
      </w:pPr>
      <w:r>
        <w:rPr>
          <w:rFonts w:hint="eastAsia" w:eastAsia="黑体"/>
          <w:b/>
          <w:bCs/>
          <w:sz w:val="32"/>
          <w:szCs w:val="32"/>
          <w:lang w:val="en-US" w:eastAsia="zh-CN"/>
        </w:rPr>
        <w:t>三、存在的问题和原因</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lang w:eastAsia="zh-CN"/>
        </w:rPr>
        <w:t>上年度绩效评价结果应用情况</w:t>
      </w:r>
    </w:p>
    <w:p>
      <w:pPr>
        <w:widowControl/>
        <w:spacing w:line="560" w:lineRule="exact"/>
        <w:ind w:firstLine="640" w:firstLineChars="200"/>
        <w:rPr>
          <w:rFonts w:eastAsia="仿宋"/>
          <w:kern w:val="0"/>
          <w:sz w:val="32"/>
          <w:szCs w:val="32"/>
        </w:rPr>
      </w:pPr>
      <w:r>
        <w:rPr>
          <w:rFonts w:eastAsia="仿宋"/>
          <w:kern w:val="0"/>
          <w:sz w:val="32"/>
          <w:szCs w:val="32"/>
        </w:rPr>
        <w:t>武汉东湖新技术开发区教育局开展了202</w:t>
      </w:r>
      <w:r>
        <w:rPr>
          <w:rFonts w:hint="eastAsia" w:eastAsia="仿宋"/>
          <w:kern w:val="0"/>
          <w:sz w:val="32"/>
          <w:szCs w:val="32"/>
        </w:rPr>
        <w:t>3</w:t>
      </w:r>
      <w:r>
        <w:rPr>
          <w:rFonts w:eastAsia="仿宋"/>
          <w:kern w:val="0"/>
          <w:sz w:val="32"/>
          <w:szCs w:val="32"/>
        </w:rPr>
        <w:t>年度部门整体绩效自评工作，</w:t>
      </w:r>
      <w:r>
        <w:rPr>
          <w:rFonts w:hint="eastAsia" w:eastAsia="仿宋"/>
          <w:kern w:val="0"/>
          <w:sz w:val="32"/>
          <w:szCs w:val="32"/>
        </w:rPr>
        <w:t>自评结果主要反馈的问题：目标设置不合理，</w:t>
      </w:r>
      <w:r>
        <w:rPr>
          <w:rFonts w:hint="eastAsia" w:eastAsia="仿宋"/>
          <w:sz w:val="32"/>
        </w:rPr>
        <w:t>绩效监控执行力度待加强；</w:t>
      </w:r>
      <w:r>
        <w:rPr>
          <w:rFonts w:hint="eastAsia" w:eastAsia="仿宋"/>
          <w:kern w:val="0"/>
          <w:sz w:val="32"/>
          <w:szCs w:val="32"/>
        </w:rPr>
        <w:t>预算调整率18.91%，预算调整较多。2024年加强预算编制和绩效监控管理水平，预算调整率相对下降，但个别指标设置不合理的问题仍存在。</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本年度绩效管理中存在的问题和原因</w:t>
      </w:r>
    </w:p>
    <w:p>
      <w:pPr>
        <w:widowControl/>
        <w:spacing w:line="560" w:lineRule="exact"/>
        <w:ind w:firstLine="640" w:firstLineChars="200"/>
        <w:rPr>
          <w:rFonts w:eastAsia="仿宋"/>
          <w:kern w:val="0"/>
          <w:sz w:val="32"/>
          <w:szCs w:val="32"/>
        </w:rPr>
      </w:pPr>
      <w:r>
        <w:rPr>
          <w:rFonts w:eastAsia="仿宋"/>
          <w:kern w:val="0"/>
          <w:sz w:val="32"/>
          <w:szCs w:val="32"/>
        </w:rPr>
        <w:t>（1）</w:t>
      </w:r>
      <w:r>
        <w:rPr>
          <w:rFonts w:hint="eastAsia" w:eastAsia="仿宋"/>
          <w:kern w:val="0"/>
          <w:sz w:val="32"/>
          <w:szCs w:val="32"/>
        </w:rPr>
        <w:t>绩效目标设置不够合理，如数量指标“教师招聘完成率”与“新招聘教师人数”指标考核内容存在重复，年度目标1中“保障新优质学校建设投入”与年度目标2中成本指标“保障新优质学校建设经费投入”指标重复，且指标分类不合理，不属于数量指标。</w:t>
      </w:r>
    </w:p>
    <w:p>
      <w:pPr>
        <w:shd w:val="clear" w:color="auto" w:fill="FFFFFF" w:themeFill="background1"/>
        <w:spacing w:line="560" w:lineRule="exact"/>
        <w:ind w:firstLine="640" w:firstLineChars="200"/>
        <w:rPr>
          <w:rFonts w:eastAsia="仿宋"/>
          <w:kern w:val="0"/>
          <w:sz w:val="32"/>
          <w:szCs w:val="32"/>
        </w:rPr>
      </w:pPr>
      <w:r>
        <w:rPr>
          <w:rFonts w:eastAsia="仿宋"/>
          <w:sz w:val="32"/>
        </w:rPr>
        <w:t>（2）</w:t>
      </w:r>
      <w:r>
        <w:rPr>
          <w:rFonts w:hint="eastAsia" w:eastAsia="仿宋"/>
          <w:sz w:val="32"/>
        </w:rPr>
        <w:t>个别指标未完成。“新建学校项目完工率”目标值为100%，实际完成值为66.67%；“扩建学校项目完工率”目标值为100%，实际完成值为50%。指标未完成的原因主要是在推进新建及扩建学校项目过程中，受工程建设资金不足、土地审批手续办理延迟等影响，部分项目未能按计划完工。</w:t>
      </w:r>
    </w:p>
    <w:p>
      <w:pPr>
        <w:widowControl/>
        <w:spacing w:line="560" w:lineRule="exact"/>
        <w:ind w:firstLine="643" w:firstLineChars="200"/>
        <w:outlineLvl w:val="0"/>
        <w:rPr>
          <w:rFonts w:hint="eastAsia" w:eastAsia="黑体"/>
          <w:b/>
          <w:bCs/>
          <w:sz w:val="32"/>
          <w:szCs w:val="32"/>
          <w:lang w:val="en-US" w:eastAsia="zh-CN"/>
        </w:rPr>
      </w:pPr>
      <w:r>
        <w:rPr>
          <w:rFonts w:hint="eastAsia" w:eastAsia="黑体"/>
          <w:b/>
          <w:bCs/>
          <w:sz w:val="32"/>
          <w:szCs w:val="32"/>
          <w:lang w:val="en-US" w:eastAsia="zh-CN"/>
        </w:rPr>
        <w:t>四、下一步拟改进措施</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一）</w:t>
      </w:r>
      <w:r>
        <w:rPr>
          <w:rFonts w:hint="eastAsia" w:eastAsia="楷体"/>
          <w:b/>
          <w:bCs/>
          <w:kern w:val="0"/>
          <w:sz w:val="32"/>
          <w:szCs w:val="32"/>
          <w:lang w:eastAsia="zh-CN"/>
        </w:rPr>
        <w:t>下一步拟改进措施</w:t>
      </w:r>
    </w:p>
    <w:p>
      <w:pPr>
        <w:shd w:val="clear" w:color="auto" w:fill="FFFFFF" w:themeFill="background1"/>
        <w:spacing w:line="560" w:lineRule="exact"/>
        <w:ind w:firstLine="640" w:firstLineChars="200"/>
        <w:rPr>
          <w:rFonts w:eastAsia="仿宋"/>
          <w:kern w:val="0"/>
          <w:sz w:val="32"/>
          <w:szCs w:val="32"/>
        </w:rPr>
      </w:pPr>
      <w:r>
        <w:rPr>
          <w:rFonts w:eastAsia="仿宋"/>
          <w:sz w:val="32"/>
        </w:rPr>
        <w:t>（1）</w:t>
      </w:r>
      <w:r>
        <w:rPr>
          <w:rFonts w:hint="eastAsia" w:eastAsia="仿宋"/>
          <w:sz w:val="32"/>
        </w:rPr>
        <w:t>合理设置绩效目标。加强对绩效指标整合优化，明确各项指标的考核重点，避免内容重叠，提高指标设置的科学性；同时结合指标实际反映的内容，重新梳理各类指标的分类标准，确保指标归属准确，提升绩效指标分类的规范性与合理性。</w:t>
      </w:r>
    </w:p>
    <w:p>
      <w:pPr>
        <w:shd w:val="clear" w:color="auto" w:fill="FFFFFF" w:themeFill="background1"/>
        <w:spacing w:line="560" w:lineRule="exact"/>
        <w:ind w:firstLine="640" w:firstLineChars="200"/>
        <w:rPr>
          <w:rFonts w:eastAsia="仿宋"/>
          <w:kern w:val="0"/>
          <w:sz w:val="32"/>
          <w:szCs w:val="32"/>
        </w:rPr>
      </w:pPr>
      <w:r>
        <w:rPr>
          <w:rFonts w:eastAsia="仿宋"/>
          <w:sz w:val="32"/>
        </w:rPr>
        <w:t>（2）</w:t>
      </w:r>
      <w:r>
        <w:rPr>
          <w:rFonts w:hint="eastAsia" w:eastAsia="仿宋"/>
          <w:sz w:val="32"/>
        </w:rPr>
        <w:t>合理分配预算资金，</w:t>
      </w:r>
      <w:r>
        <w:rPr>
          <w:rFonts w:hint="eastAsia" w:eastAsia="仿宋"/>
          <w:kern w:val="0"/>
          <w:sz w:val="32"/>
          <w:szCs w:val="32"/>
        </w:rPr>
        <w:t>提高资金执行效率</w:t>
      </w:r>
    </w:p>
    <w:p>
      <w:pPr>
        <w:shd w:val="clear" w:color="auto" w:fill="FFFFFF" w:themeFill="background1"/>
        <w:spacing w:line="560" w:lineRule="exact"/>
        <w:ind w:firstLine="640" w:firstLineChars="200"/>
        <w:rPr>
          <w:rFonts w:eastAsia="仿宋"/>
          <w:kern w:val="0"/>
          <w:sz w:val="32"/>
          <w:szCs w:val="32"/>
        </w:rPr>
      </w:pPr>
      <w:r>
        <w:rPr>
          <w:rFonts w:hint="eastAsia" w:eastAsia="仿宋"/>
          <w:kern w:val="0"/>
          <w:sz w:val="32"/>
          <w:szCs w:val="32"/>
        </w:rPr>
        <w:t>一是加强资金保障，多渠道筹集资金，吸引企业投资参与学校建设，接受社会捐赠，以缓解资金压力，保障项目资金链稳定，同时优化项目资金使用计划，提高资金使用效益。二是完善审批协调机制，优化土地手续审批流程，简化审批环节，明确各环节办理时限，并加强部门间沟通协调，实行并联审批，避免因信息不畅导致审批延误。三是强化项目管理，制定项目推进时间表和路线图，实行“一项目一专班”工作机制，确保项目有序推进。四是建立预警机制，对项目实施动态监控，及时发现并解决建设过程中的问题。</w:t>
      </w:r>
    </w:p>
    <w:p>
      <w:pPr>
        <w:widowControl/>
        <w:spacing w:line="560" w:lineRule="exact"/>
        <w:ind w:firstLine="643" w:firstLineChars="200"/>
        <w:jc w:val="left"/>
        <w:outlineLvl w:val="1"/>
        <w:rPr>
          <w:rFonts w:hint="eastAsia" w:eastAsia="楷体"/>
          <w:b/>
          <w:bCs/>
          <w:kern w:val="0"/>
          <w:sz w:val="32"/>
          <w:szCs w:val="32"/>
          <w:lang w:eastAsia="zh-CN"/>
        </w:rPr>
      </w:pPr>
      <w:r>
        <w:rPr>
          <w:rFonts w:hint="eastAsia" w:eastAsia="楷体"/>
          <w:b/>
          <w:bCs/>
          <w:kern w:val="0"/>
          <w:sz w:val="32"/>
          <w:szCs w:val="32"/>
          <w:lang w:eastAsia="zh-CN"/>
        </w:rPr>
        <w:t>（</w:t>
      </w:r>
      <w:r>
        <w:rPr>
          <w:rFonts w:hint="eastAsia" w:eastAsia="楷体"/>
          <w:b/>
          <w:bCs/>
          <w:kern w:val="0"/>
          <w:sz w:val="32"/>
          <w:szCs w:val="32"/>
          <w:lang w:val="en-US" w:eastAsia="zh-CN"/>
        </w:rPr>
        <w:t>二）</w:t>
      </w:r>
      <w:r>
        <w:rPr>
          <w:rFonts w:hint="eastAsia" w:eastAsia="楷体"/>
          <w:b/>
          <w:bCs/>
          <w:kern w:val="0"/>
          <w:sz w:val="32"/>
          <w:szCs w:val="32"/>
          <w:lang w:eastAsia="zh-CN"/>
        </w:rPr>
        <w:t>拟与预算安排相结合情况</w:t>
      </w:r>
    </w:p>
    <w:p>
      <w:pPr>
        <w:keepNext/>
        <w:spacing w:line="560" w:lineRule="exact"/>
        <w:ind w:firstLine="640" w:firstLineChars="200"/>
        <w:rPr>
          <w:rFonts w:hint="eastAsia" w:eastAsia="仿宋"/>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spacing w:line="560" w:lineRule="exact"/>
        <w:ind w:firstLine="640" w:firstLineChars="200"/>
        <w:rPr>
          <w:rFonts w:eastAsia="仿宋"/>
          <w:sz w:val="32"/>
          <w:szCs w:val="32"/>
        </w:rPr>
      </w:pPr>
      <w:r>
        <w:rPr>
          <w:rFonts w:hint="eastAsia" w:eastAsia="仿宋"/>
          <w:kern w:val="0"/>
          <w:sz w:val="32"/>
          <w:szCs w:val="32"/>
        </w:rPr>
        <w:t>在年底申报下一年度预算时，结合上一年度预算执行情况和本年度预算收支变化因素，科学、合理地编制预算草案，避免预算支出与实际执行出现较大偏差的情况；加强预算绩效运</w:t>
      </w:r>
      <w:r>
        <w:rPr>
          <w:rFonts w:hint="eastAsia" w:eastAsia="仿宋"/>
          <w:kern w:val="0"/>
          <w:sz w:val="32"/>
          <w:szCs w:val="32"/>
          <w:lang w:val="en-US" w:eastAsia="zh-CN"/>
        </w:rPr>
        <w:t>行</w:t>
      </w:r>
      <w:r>
        <w:rPr>
          <w:rFonts w:hint="eastAsia" w:eastAsia="仿宋"/>
          <w:kern w:val="0"/>
          <w:sz w:val="32"/>
          <w:szCs w:val="32"/>
        </w:rPr>
        <w:t>监控，及时进行纠偏。</w:t>
      </w:r>
    </w:p>
    <w:p>
      <w:pPr>
        <w:keepNext/>
        <w:spacing w:line="560" w:lineRule="exact"/>
        <w:ind w:firstLine="640" w:firstLineChars="200"/>
        <w:rPr>
          <w:rFonts w:hint="eastAsia" w:ascii="楷体" w:hAnsi="楷体" w:eastAsia="楷体" w:cs="楷体"/>
          <w:kern w:val="0"/>
          <w:sz w:val="32"/>
          <w:szCs w:val="32"/>
        </w:rPr>
      </w:pPr>
    </w:p>
    <w:p>
      <w:pPr>
        <w:keepNext/>
        <w:spacing w:line="56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附件：部门整体自评表</w:t>
      </w:r>
    </w:p>
    <w:p>
      <w:pPr>
        <w:keepNext/>
        <w:spacing w:line="560" w:lineRule="exact"/>
        <w:jc w:val="center"/>
        <w:rPr>
          <w:rFonts w:eastAsia="仿宋"/>
          <w:spacing w:val="-20"/>
          <w:kern w:val="0"/>
          <w:sz w:val="32"/>
          <w:szCs w:val="32"/>
        </w:rPr>
        <w:sectPr>
          <w:type w:val="continuous"/>
          <w:pgSz w:w="11906" w:h="16838"/>
          <w:pgMar w:top="1440" w:right="1800" w:bottom="1440" w:left="1800" w:header="851" w:footer="992" w:gutter="0"/>
          <w:cols w:space="425" w:num="1"/>
          <w:docGrid w:type="lines" w:linePitch="312" w:charSpace="0"/>
        </w:sectPr>
      </w:pPr>
    </w:p>
    <w:p>
      <w:pPr>
        <w:pStyle w:val="5"/>
        <w:spacing w:after="0" w:line="560" w:lineRule="exact"/>
        <w:ind w:firstLine="643" w:firstLineChars="200"/>
        <w:jc w:val="left"/>
        <w:rPr>
          <w:rFonts w:eastAsia="楷体" w:cs="楷体"/>
          <w:b/>
          <w:kern w:val="0"/>
          <w:sz w:val="32"/>
          <w:szCs w:val="32"/>
        </w:rPr>
      </w:pPr>
      <w:r>
        <w:rPr>
          <w:rFonts w:hint="eastAsia" w:eastAsia="楷体" w:cs="楷体"/>
          <w:b/>
          <w:kern w:val="0"/>
          <w:sz w:val="32"/>
          <w:szCs w:val="32"/>
        </w:rPr>
        <w:t>附件：</w:t>
      </w:r>
    </w:p>
    <w:p>
      <w:pPr>
        <w:pStyle w:val="5"/>
        <w:spacing w:after="0" w:line="560" w:lineRule="exact"/>
        <w:jc w:val="center"/>
        <w:rPr>
          <w:rFonts w:eastAsia="仿宋"/>
          <w:b/>
          <w:kern w:val="0"/>
          <w:sz w:val="32"/>
          <w:szCs w:val="32"/>
        </w:rPr>
      </w:pPr>
      <w:r>
        <w:rPr>
          <w:rFonts w:hint="eastAsia" w:eastAsia="仿宋"/>
          <w:b/>
          <w:kern w:val="0"/>
          <w:sz w:val="32"/>
          <w:szCs w:val="32"/>
        </w:rPr>
        <w:t>2024年度武汉东湖新技术开发区教育局部门整体绩效自评表</w:t>
      </w:r>
    </w:p>
    <w:p>
      <w:pPr>
        <w:spacing w:line="560" w:lineRule="exact"/>
        <w:rPr>
          <w:rFonts w:eastAsia="楷体"/>
          <w:b/>
          <w:bCs/>
          <w:kern w:val="0"/>
          <w:sz w:val="24"/>
          <w:lang w:bidi="ar"/>
        </w:rPr>
      </w:pPr>
      <w:r>
        <w:rPr>
          <w:rFonts w:eastAsia="楷体"/>
          <w:b/>
          <w:bCs/>
          <w:kern w:val="0"/>
          <w:sz w:val="24"/>
          <w:lang w:bidi="ar"/>
        </w:rPr>
        <w:t>单位名称：</w:t>
      </w:r>
      <w:r>
        <w:rPr>
          <w:rFonts w:hint="eastAsia" w:eastAsia="楷体"/>
          <w:b/>
          <w:bCs/>
          <w:kern w:val="0"/>
          <w:sz w:val="24"/>
          <w:lang w:bidi="ar"/>
        </w:rPr>
        <w:t>武汉东湖新技术开发区教育局</w:t>
      </w:r>
      <w:r>
        <w:rPr>
          <w:rFonts w:eastAsia="楷体"/>
          <w:b/>
          <w:bCs/>
          <w:kern w:val="0"/>
          <w:sz w:val="24"/>
          <w:lang w:bidi="ar"/>
        </w:rPr>
        <w:t xml:space="preserve">    </w:t>
      </w:r>
      <w:r>
        <w:rPr>
          <w:rFonts w:hint="eastAsia" w:eastAsia="楷体"/>
          <w:b/>
          <w:bCs/>
          <w:kern w:val="0"/>
          <w:sz w:val="24"/>
          <w:lang w:bidi="ar"/>
        </w:rPr>
        <w:t xml:space="preserve">        </w:t>
      </w:r>
      <w:r>
        <w:rPr>
          <w:rFonts w:eastAsia="楷体"/>
          <w:b/>
          <w:bCs/>
          <w:kern w:val="0"/>
          <w:sz w:val="24"/>
          <w:lang w:bidi="ar"/>
        </w:rPr>
        <w:t>填报日期：202</w:t>
      </w:r>
      <w:r>
        <w:rPr>
          <w:rFonts w:hint="eastAsia" w:eastAsia="楷体"/>
          <w:b/>
          <w:bCs/>
          <w:kern w:val="0"/>
          <w:sz w:val="24"/>
          <w:lang w:bidi="ar"/>
        </w:rPr>
        <w:t>5</w:t>
      </w:r>
      <w:r>
        <w:rPr>
          <w:rFonts w:eastAsia="楷体"/>
          <w:b/>
          <w:bCs/>
          <w:kern w:val="0"/>
          <w:sz w:val="24"/>
          <w:lang w:bidi="ar"/>
        </w:rPr>
        <w:t>年</w:t>
      </w:r>
      <w:r>
        <w:rPr>
          <w:rFonts w:hint="eastAsia" w:eastAsia="楷体"/>
          <w:b/>
          <w:bCs/>
          <w:kern w:val="0"/>
          <w:sz w:val="24"/>
          <w:lang w:bidi="ar"/>
        </w:rPr>
        <w:t>5</w:t>
      </w:r>
      <w:r>
        <w:rPr>
          <w:rFonts w:eastAsia="楷体"/>
          <w:b/>
          <w:bCs/>
          <w:kern w:val="0"/>
          <w:sz w:val="24"/>
          <w:lang w:bidi="ar"/>
        </w:rPr>
        <w:t>月</w:t>
      </w:r>
      <w:r>
        <w:rPr>
          <w:rFonts w:hint="eastAsia" w:eastAsia="楷体"/>
          <w:b/>
          <w:bCs/>
          <w:kern w:val="0"/>
          <w:sz w:val="24"/>
          <w:lang w:bidi="ar"/>
        </w:rPr>
        <w:t>30</w:t>
      </w:r>
      <w:r>
        <w:rPr>
          <w:rFonts w:eastAsia="楷体"/>
          <w:b/>
          <w:bCs/>
          <w:kern w:val="0"/>
          <w:sz w:val="24"/>
          <w:lang w:bidi="ar"/>
        </w:rPr>
        <w:t>日</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790"/>
        <w:gridCol w:w="1084"/>
        <w:gridCol w:w="1283"/>
        <w:gridCol w:w="1323"/>
        <w:gridCol w:w="1332"/>
        <w:gridCol w:w="172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单位名称</w:t>
            </w:r>
          </w:p>
        </w:tc>
        <w:tc>
          <w:tcPr>
            <w:tcW w:w="4286" w:type="pct"/>
            <w:gridSpan w:val="6"/>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武汉东湖新技术开发区教育局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基本支出总额（万元）</w:t>
            </w:r>
          </w:p>
        </w:tc>
        <w:tc>
          <w:tcPr>
            <w:tcW w:w="1306"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167978.68</w:t>
            </w:r>
          </w:p>
        </w:tc>
        <w:tc>
          <w:tcPr>
            <w:tcW w:w="73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项目支出总额（万元）</w:t>
            </w:r>
          </w:p>
        </w:tc>
        <w:tc>
          <w:tcPr>
            <w:tcW w:w="2249" w:type="pct"/>
            <w:gridSpan w:val="3"/>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115189.14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预算执行情况（万元）</w:t>
            </w:r>
            <w:r>
              <w:rPr>
                <w:rFonts w:eastAsia="仿宋"/>
                <w:color w:val="000000"/>
                <w:kern w:val="0"/>
                <w:szCs w:val="21"/>
                <w:lang w:bidi="ar"/>
              </w:rPr>
              <w:br w:type="textWrapping"/>
            </w:r>
            <w:r>
              <w:rPr>
                <w:rFonts w:eastAsia="仿宋"/>
                <w:color w:val="000000"/>
                <w:kern w:val="0"/>
                <w:szCs w:val="21"/>
                <w:lang w:bidi="ar"/>
              </w:rPr>
              <w:t>（20分）</w:t>
            </w:r>
          </w:p>
        </w:tc>
        <w:tc>
          <w:tcPr>
            <w:tcW w:w="598" w:type="pct"/>
            <w:shd w:val="clear" w:color="auto" w:fill="FFFFFF"/>
            <w:vAlign w:val="center"/>
          </w:tcPr>
          <w:p>
            <w:pPr>
              <w:widowControl/>
              <w:spacing w:line="300" w:lineRule="exact"/>
              <w:jc w:val="center"/>
              <w:rPr>
                <w:rFonts w:eastAsia="仿宋"/>
                <w:color w:val="000000"/>
                <w:szCs w:val="21"/>
              </w:rPr>
            </w:pPr>
          </w:p>
        </w:tc>
        <w:tc>
          <w:tcPr>
            <w:tcW w:w="70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预算数（A）</w:t>
            </w:r>
          </w:p>
        </w:tc>
        <w:tc>
          <w:tcPr>
            <w:tcW w:w="73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执行数（B）</w:t>
            </w:r>
          </w:p>
        </w:tc>
        <w:tc>
          <w:tcPr>
            <w:tcW w:w="735"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执行率（B/A）</w:t>
            </w:r>
          </w:p>
        </w:tc>
        <w:tc>
          <w:tcPr>
            <w:tcW w:w="15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得分</w:t>
            </w:r>
            <w:r>
              <w:rPr>
                <w:rFonts w:eastAsia="仿宋"/>
                <w:color w:val="000000"/>
                <w:kern w:val="0"/>
                <w:szCs w:val="21"/>
                <w:lang w:bidi="ar"/>
              </w:rPr>
              <w:br w:type="textWrapping"/>
            </w:r>
            <w:r>
              <w:rPr>
                <w:rFonts w:eastAsia="仿宋"/>
                <w:color w:val="000000"/>
                <w:kern w:val="0"/>
                <w:szCs w:val="21"/>
                <w:lang w:bidi="ar"/>
              </w:rPr>
              <w:t>（20分*执行率）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vMerge w:val="continue"/>
            <w:shd w:val="clear" w:color="auto" w:fill="FFFFFF"/>
            <w:vAlign w:val="center"/>
          </w:tcPr>
          <w:p>
            <w:pPr>
              <w:widowControl/>
              <w:spacing w:line="300" w:lineRule="exact"/>
              <w:jc w:val="center"/>
              <w:rPr>
                <w:rFonts w:eastAsia="仿宋"/>
                <w:color w:val="000000"/>
                <w:szCs w:val="21"/>
              </w:rPr>
            </w:pP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部门整体</w:t>
            </w:r>
            <w:r>
              <w:rPr>
                <w:rFonts w:eastAsia="仿宋"/>
                <w:color w:val="000000"/>
                <w:kern w:val="0"/>
                <w:szCs w:val="21"/>
                <w:lang w:bidi="ar"/>
              </w:rPr>
              <w:br w:type="textWrapping"/>
            </w:r>
            <w:r>
              <w:rPr>
                <w:rFonts w:eastAsia="仿宋"/>
                <w:color w:val="000000"/>
                <w:kern w:val="0"/>
                <w:szCs w:val="21"/>
                <w:lang w:bidi="ar"/>
              </w:rPr>
              <w:t>支出总额</w:t>
            </w:r>
          </w:p>
        </w:tc>
        <w:tc>
          <w:tcPr>
            <w:tcW w:w="708"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283568.97</w:t>
            </w:r>
          </w:p>
        </w:tc>
        <w:tc>
          <w:tcPr>
            <w:tcW w:w="1323" w:type="dxa"/>
            <w:shd w:val="clear" w:color="auto" w:fill="auto"/>
            <w:vAlign w:val="center"/>
          </w:tcPr>
          <w:p>
            <w:pPr>
              <w:widowControl/>
              <w:spacing w:line="300" w:lineRule="exact"/>
              <w:jc w:val="center"/>
              <w:textAlignment w:val="center"/>
              <w:rPr>
                <w:rFonts w:eastAsia="仿宋"/>
                <w:color w:val="000000"/>
                <w:kern w:val="0"/>
                <w:szCs w:val="21"/>
                <w:lang w:bidi="ar"/>
              </w:rPr>
            </w:pPr>
            <w:r>
              <w:rPr>
                <w:rFonts w:hint="eastAsia" w:eastAsia="仿宋"/>
                <w:color w:val="000000"/>
                <w:kern w:val="0"/>
                <w:szCs w:val="21"/>
                <w:lang w:val="en-US" w:eastAsia="zh-CN" w:bidi="ar"/>
              </w:rPr>
              <w:t>283167.81</w:t>
            </w:r>
          </w:p>
        </w:tc>
        <w:tc>
          <w:tcPr>
            <w:tcW w:w="1332" w:type="dxa"/>
            <w:shd w:val="clear" w:color="auto" w:fill="auto"/>
            <w:vAlign w:val="center"/>
          </w:tcPr>
          <w:p>
            <w:pPr>
              <w:widowControl/>
              <w:spacing w:line="300" w:lineRule="exact"/>
              <w:jc w:val="center"/>
              <w:textAlignment w:val="center"/>
              <w:rPr>
                <w:rFonts w:eastAsia="仿宋"/>
                <w:color w:val="000000"/>
                <w:kern w:val="0"/>
                <w:szCs w:val="21"/>
                <w:lang w:bidi="ar"/>
              </w:rPr>
            </w:pPr>
            <w:r>
              <w:rPr>
                <w:rFonts w:hint="eastAsia" w:eastAsia="仿宋"/>
                <w:color w:val="000000"/>
                <w:kern w:val="0"/>
                <w:szCs w:val="21"/>
                <w:lang w:val="en-US" w:eastAsia="zh-CN" w:bidi="ar"/>
              </w:rPr>
              <w:t>99.86%</w:t>
            </w:r>
          </w:p>
        </w:tc>
        <w:tc>
          <w:tcPr>
            <w:tcW w:w="1513"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年度绩效目标1 （30分）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打造高素质教师队伍，推进现代化学校建设。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年度绩效指标</w:t>
            </w:r>
          </w:p>
        </w:tc>
        <w:tc>
          <w:tcPr>
            <w:tcW w:w="436"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一级   </w:t>
            </w:r>
            <w:bookmarkStart w:id="0" w:name="_GoBack"/>
            <w:r>
              <w:rPr>
                <w:rFonts w:eastAsia="仿宋"/>
                <w:color w:val="000000"/>
                <w:kern w:val="0"/>
                <w:szCs w:val="21"/>
                <w:lang w:bidi="ar"/>
              </w:rPr>
              <w:t xml:space="preserve"> </w:t>
            </w:r>
            <w:bookmarkEnd w:id="0"/>
            <w:r>
              <w:rPr>
                <w:rFonts w:eastAsia="仿宋"/>
                <w:color w:val="000000"/>
                <w:kern w:val="0"/>
                <w:szCs w:val="21"/>
                <w:lang w:bidi="ar"/>
              </w:rPr>
              <w:t xml:space="preserve">  指标</w:t>
            </w: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二级指标</w:t>
            </w:r>
          </w:p>
        </w:tc>
        <w:tc>
          <w:tcPr>
            <w:tcW w:w="1438"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三级指标</w:t>
            </w:r>
          </w:p>
        </w:tc>
        <w:tc>
          <w:tcPr>
            <w:tcW w:w="735"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年初目标值</w:t>
            </w:r>
            <w:r>
              <w:rPr>
                <w:rFonts w:eastAsia="仿宋"/>
                <w:color w:val="000000"/>
                <w:kern w:val="0"/>
                <w:szCs w:val="21"/>
                <w:lang w:bidi="ar"/>
              </w:rPr>
              <w:br w:type="textWrapping"/>
            </w:r>
            <w:r>
              <w:rPr>
                <w:rFonts w:eastAsia="仿宋"/>
                <w:color w:val="000000"/>
                <w:kern w:val="0"/>
                <w:szCs w:val="21"/>
                <w:lang w:bidi="ar"/>
              </w:rPr>
              <w:t>（A）</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实际完成值</w:t>
            </w:r>
            <w:r>
              <w:rPr>
                <w:rFonts w:eastAsia="仿宋"/>
                <w:color w:val="000000"/>
                <w:kern w:val="0"/>
                <w:szCs w:val="21"/>
                <w:lang w:bidi="ar"/>
              </w:rPr>
              <w:br w:type="textWrapping"/>
            </w:r>
            <w:r>
              <w:rPr>
                <w:rFonts w:eastAsia="仿宋"/>
                <w:color w:val="000000"/>
                <w:kern w:val="0"/>
                <w:szCs w:val="21"/>
                <w:lang w:bidi="ar"/>
              </w:rPr>
              <w:t>（B）</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各类教师安置费（1分）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不超过标准</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highlight w:val="none"/>
                <w:lang w:val="en-US" w:eastAsia="zh-CN" w:bidi="ar"/>
              </w:rPr>
              <w:t>未</w:t>
            </w:r>
            <w:r>
              <w:rPr>
                <w:rFonts w:eastAsia="仿宋"/>
                <w:color w:val="000000"/>
                <w:kern w:val="0"/>
                <w:szCs w:val="21"/>
                <w:highlight w:val="none"/>
                <w:lang w:bidi="ar"/>
              </w:rPr>
              <w:t>超过标准</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教师薪资保障（1分）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按政策保障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按政策保障</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新招聘教师人数（3分）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800人</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878人</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素质教育特色学校数</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3所</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4所</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招聘教师教学质量合格率（3分）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“研训教”一体化实施率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社会效益指标（12分）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缓解教师资源短缺问题</w:t>
            </w:r>
          </w:p>
          <w:p>
            <w:pPr>
              <w:widowControl/>
              <w:spacing w:line="300" w:lineRule="exact"/>
              <w:jc w:val="center"/>
              <w:textAlignment w:val="center"/>
              <w:rPr>
                <w:rFonts w:eastAsia="仿宋"/>
                <w:color w:val="000000"/>
                <w:szCs w:val="21"/>
              </w:rPr>
            </w:pPr>
            <w:r>
              <w:rPr>
                <w:rFonts w:eastAsia="仿宋"/>
                <w:color w:val="000000"/>
                <w:kern w:val="0"/>
                <w:szCs w:val="21"/>
                <w:lang w:bidi="ar"/>
              </w:rPr>
              <w:t>（4分）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有缓解</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有缓解</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违反师德事件（4分）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不发生</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未发生</w:t>
            </w:r>
          </w:p>
        </w:tc>
        <w:tc>
          <w:tcPr>
            <w:tcW w:w="560"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提高教师教育质量（4分）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有提高</w:t>
            </w:r>
          </w:p>
        </w:tc>
        <w:tc>
          <w:tcPr>
            <w:tcW w:w="953" w:type="pct"/>
            <w:shd w:val="clear" w:color="auto" w:fill="auto"/>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有提高</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满意度指标（4分）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服务对象满意度指标（4分）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学校对新聘教师满意度</w:t>
            </w:r>
          </w:p>
          <w:p>
            <w:pPr>
              <w:widowControl/>
              <w:spacing w:line="300" w:lineRule="exact"/>
              <w:jc w:val="center"/>
              <w:textAlignment w:val="center"/>
              <w:rPr>
                <w:rFonts w:eastAsia="仿宋"/>
                <w:color w:val="000000"/>
                <w:szCs w:val="21"/>
              </w:rPr>
            </w:pPr>
            <w:r>
              <w:rPr>
                <w:rFonts w:eastAsia="仿宋"/>
                <w:color w:val="000000"/>
                <w:kern w:val="0"/>
                <w:szCs w:val="21"/>
                <w:lang w:bidi="ar"/>
              </w:rPr>
              <w:t>（2分）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教师参加各项培训满意度（2分）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99.16%</w:t>
            </w:r>
          </w:p>
        </w:tc>
        <w:tc>
          <w:tcPr>
            <w:tcW w:w="560" w:type="pct"/>
            <w:shd w:val="clear" w:color="auto" w:fill="FFFFFF"/>
            <w:noWrap/>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年度绩效目标2 （19分）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推进高效课堂工程建设，提升学生综合素质。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w:t>
            </w:r>
          </w:p>
        </w:tc>
        <w:tc>
          <w:tcPr>
            <w:tcW w:w="436"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保障新优质学校建设经费投入（1分）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保障中小学幼儿园教育质量评价经费投入（1分）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保障</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产出指标（9分）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公办学校教育质量评价覆盖率（3分）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高效课堂开展率（3分）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（3分）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高效课堂达标率（3分）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效益指标（8分）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社会效益指标（8分）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提升学生综合素质（4分）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提升学校教育质量（4分）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有提升</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年度绩效目标3（31分）</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缓解“入学难”问题，做好学生资助工作，做好后勤服务与保障工作，抓好综治安全稳定工作。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年度绩效目标</w:t>
            </w:r>
          </w:p>
        </w:tc>
        <w:tc>
          <w:tcPr>
            <w:tcW w:w="436"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成本指标（1分）</w:t>
            </w:r>
          </w:p>
        </w:tc>
        <w:tc>
          <w:tcPr>
            <w:tcW w:w="598"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经济成本指标（1分）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助学金标准（1分）</w:t>
            </w:r>
          </w:p>
        </w:tc>
        <w:tc>
          <w:tcPr>
            <w:tcW w:w="735" w:type="pct"/>
            <w:shd w:val="clear" w:color="auto" w:fill="auto"/>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不超过补助标准</w:t>
            </w:r>
          </w:p>
        </w:tc>
        <w:tc>
          <w:tcPr>
            <w:tcW w:w="953" w:type="pct"/>
            <w:shd w:val="clear" w:color="auto" w:fill="auto"/>
            <w:vAlign w:val="center"/>
          </w:tcPr>
          <w:p>
            <w:pPr>
              <w:widowControl/>
              <w:spacing w:line="300" w:lineRule="exact"/>
              <w:jc w:val="center"/>
              <w:textAlignment w:val="center"/>
              <w:rPr>
                <w:rFonts w:hint="eastAsia" w:eastAsia="仿宋"/>
                <w:color w:val="000000"/>
                <w:szCs w:val="21"/>
                <w:highlight w:val="none"/>
              </w:rPr>
            </w:pPr>
            <w:r>
              <w:rPr>
                <w:rFonts w:hint="eastAsia" w:eastAsia="仿宋"/>
                <w:color w:val="000000"/>
                <w:kern w:val="0"/>
                <w:szCs w:val="21"/>
                <w:highlight w:val="none"/>
                <w:lang w:val="en-US" w:eastAsia="zh-CN" w:bidi="ar"/>
              </w:rPr>
              <w:t>未</w:t>
            </w:r>
            <w:r>
              <w:rPr>
                <w:rFonts w:eastAsia="仿宋"/>
                <w:color w:val="000000"/>
                <w:kern w:val="0"/>
                <w:szCs w:val="21"/>
                <w:highlight w:val="none"/>
                <w:lang w:bidi="ar"/>
              </w:rPr>
              <w:t>超过补助标准</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产出指标（16分）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数量指标</w:t>
            </w:r>
            <w:r>
              <w:rPr>
                <w:rFonts w:eastAsia="仿宋"/>
                <w:color w:val="000000"/>
                <w:kern w:val="0"/>
                <w:szCs w:val="21"/>
                <w:lang w:bidi="ar"/>
              </w:rPr>
              <w:br w:type="textWrapping"/>
            </w:r>
            <w:r>
              <w:rPr>
                <w:rFonts w:eastAsia="仿宋"/>
                <w:color w:val="000000"/>
                <w:kern w:val="0"/>
                <w:szCs w:val="21"/>
                <w:lang w:bidi="ar"/>
              </w:rPr>
              <w:t>（10分）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新建学校项目完工率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66.67%</w:t>
            </w:r>
          </w:p>
        </w:tc>
        <w:tc>
          <w:tcPr>
            <w:tcW w:w="560"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扩建学校项目完工率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50%</w:t>
            </w:r>
          </w:p>
        </w:tc>
        <w:tc>
          <w:tcPr>
            <w:tcW w:w="560"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大型维修改造学校项目完工率（2分）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符合条件学生资助率</w:t>
            </w:r>
          </w:p>
          <w:p>
            <w:pPr>
              <w:widowControl/>
              <w:spacing w:line="300" w:lineRule="exact"/>
              <w:jc w:val="center"/>
              <w:textAlignment w:val="center"/>
              <w:rPr>
                <w:rFonts w:eastAsia="仿宋"/>
                <w:color w:val="000000"/>
                <w:szCs w:val="21"/>
              </w:rPr>
            </w:pPr>
            <w:r>
              <w:rPr>
                <w:rFonts w:eastAsia="仿宋"/>
                <w:color w:val="000000"/>
                <w:kern w:val="0"/>
                <w:szCs w:val="21"/>
                <w:lang w:bidi="ar"/>
              </w:rPr>
              <w:t>（2分）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质量指标</w:t>
            </w:r>
            <w:r>
              <w:rPr>
                <w:rFonts w:eastAsia="仿宋"/>
                <w:color w:val="000000"/>
                <w:kern w:val="0"/>
                <w:szCs w:val="21"/>
                <w:lang w:bidi="ar"/>
              </w:rPr>
              <w:br w:type="textWrapping"/>
            </w:r>
            <w:r>
              <w:rPr>
                <w:rFonts w:eastAsia="仿宋"/>
                <w:color w:val="000000"/>
                <w:kern w:val="0"/>
                <w:szCs w:val="21"/>
                <w:lang w:bidi="ar"/>
              </w:rPr>
              <w:t>（6分）</w:t>
            </w: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lang w:bidi="ar"/>
              </w:rPr>
            </w:pPr>
            <w:r>
              <w:rPr>
                <w:rFonts w:eastAsia="仿宋"/>
                <w:color w:val="000000"/>
                <w:kern w:val="0"/>
                <w:szCs w:val="21"/>
                <w:lang w:bidi="ar"/>
              </w:rPr>
              <w:t>助学资格审核准确率</w:t>
            </w:r>
          </w:p>
          <w:p>
            <w:pPr>
              <w:widowControl/>
              <w:spacing w:line="300" w:lineRule="exact"/>
              <w:jc w:val="center"/>
              <w:textAlignment w:val="center"/>
              <w:rPr>
                <w:rFonts w:eastAsia="仿宋"/>
                <w:color w:val="000000"/>
                <w:szCs w:val="21"/>
              </w:rPr>
            </w:pPr>
            <w:r>
              <w:rPr>
                <w:rFonts w:eastAsia="仿宋"/>
                <w:color w:val="000000"/>
                <w:kern w:val="0"/>
                <w:szCs w:val="21"/>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kern w:val="0"/>
                <w:szCs w:val="21"/>
                <w:highlight w:val="none"/>
                <w:lang w:bidi="ar"/>
              </w:rPr>
            </w:pPr>
            <w:r>
              <w:rPr>
                <w:rFonts w:eastAsia="仿宋"/>
                <w:color w:val="000000"/>
                <w:kern w:val="0"/>
                <w:szCs w:val="21"/>
                <w:highlight w:val="none"/>
                <w:lang w:bidi="ar"/>
              </w:rPr>
              <w:t>建设项目验收合格率</w:t>
            </w:r>
          </w:p>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（3分）</w:t>
            </w:r>
          </w:p>
        </w:tc>
        <w:tc>
          <w:tcPr>
            <w:tcW w:w="735" w:type="pct"/>
            <w:shd w:val="clear" w:color="auto" w:fill="auto"/>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highlight w:val="none"/>
              </w:rPr>
            </w:pPr>
            <w:r>
              <w:rPr>
                <w:rFonts w:eastAsia="仿宋"/>
                <w:color w:val="000000"/>
                <w:kern w:val="0"/>
                <w:szCs w:val="21"/>
                <w:highlight w:val="none"/>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效益指标（12分）</w:t>
            </w:r>
          </w:p>
        </w:tc>
        <w:tc>
          <w:tcPr>
            <w:tcW w:w="598" w:type="pct"/>
            <w:vMerge w:val="restar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社会效益指标（12分）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学校重大安全事故（4分）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不发生</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未发生</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中小学入学率（4分）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100%</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vMerge w:val="continue"/>
            <w:shd w:val="clear" w:color="auto" w:fill="FFFFFF"/>
            <w:vAlign w:val="center"/>
          </w:tcPr>
          <w:p>
            <w:pPr>
              <w:widowControl/>
              <w:spacing w:line="300" w:lineRule="exact"/>
              <w:jc w:val="center"/>
              <w:rPr>
                <w:rFonts w:eastAsia="仿宋"/>
                <w:color w:val="000000"/>
                <w:szCs w:val="21"/>
              </w:rPr>
            </w:pPr>
          </w:p>
        </w:tc>
        <w:tc>
          <w:tcPr>
            <w:tcW w:w="598" w:type="pct"/>
            <w:vMerge w:val="continue"/>
            <w:shd w:val="clear" w:color="auto" w:fill="FFFFFF"/>
            <w:vAlign w:val="center"/>
          </w:tcPr>
          <w:p>
            <w:pPr>
              <w:widowControl/>
              <w:spacing w:line="300" w:lineRule="exact"/>
              <w:jc w:val="center"/>
              <w:rPr>
                <w:rFonts w:eastAsia="仿宋"/>
                <w:color w:val="000000"/>
                <w:szCs w:val="21"/>
              </w:rPr>
            </w:pP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促进教育资源优质均衡发展（4分）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有促进</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有促进</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continue"/>
            <w:shd w:val="clear" w:color="auto" w:fill="FFFFFF"/>
            <w:vAlign w:val="center"/>
          </w:tcPr>
          <w:p>
            <w:pPr>
              <w:widowControl/>
              <w:spacing w:line="300" w:lineRule="exact"/>
              <w:jc w:val="center"/>
              <w:rPr>
                <w:rFonts w:eastAsia="仿宋"/>
                <w:color w:val="000000"/>
                <w:szCs w:val="21"/>
              </w:rPr>
            </w:pPr>
          </w:p>
        </w:tc>
        <w:tc>
          <w:tcPr>
            <w:tcW w:w="436"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满意度指标（2分）</w:t>
            </w:r>
          </w:p>
        </w:tc>
        <w:tc>
          <w:tcPr>
            <w:tcW w:w="598"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服务对象满意度指标（2分）</w:t>
            </w:r>
          </w:p>
        </w:tc>
        <w:tc>
          <w:tcPr>
            <w:tcW w:w="1438"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信访群众满意度（2分）</w:t>
            </w:r>
          </w:p>
        </w:tc>
        <w:tc>
          <w:tcPr>
            <w:tcW w:w="735" w:type="pct"/>
            <w:shd w:val="clear" w:color="auto" w:fill="auto"/>
            <w:vAlign w:val="center"/>
          </w:tcPr>
          <w:p>
            <w:pPr>
              <w:widowControl/>
              <w:spacing w:line="300" w:lineRule="exact"/>
              <w:jc w:val="center"/>
              <w:textAlignment w:val="center"/>
              <w:rPr>
                <w:rFonts w:eastAsia="仿宋"/>
                <w:color w:val="000000"/>
                <w:szCs w:val="21"/>
              </w:rPr>
            </w:pPr>
            <w:r>
              <w:rPr>
                <w:rFonts w:hint="eastAsia" w:eastAsia="仿宋"/>
                <w:color w:val="000000"/>
                <w:kern w:val="0"/>
                <w:szCs w:val="21"/>
                <w:lang w:bidi="ar"/>
              </w:rPr>
              <w:t>≥</w:t>
            </w:r>
            <w:r>
              <w:rPr>
                <w:rFonts w:eastAsia="仿宋"/>
                <w:color w:val="000000"/>
                <w:kern w:val="0"/>
                <w:szCs w:val="21"/>
                <w:lang w:bidi="ar"/>
              </w:rPr>
              <w:t>90%</w:t>
            </w:r>
          </w:p>
        </w:tc>
        <w:tc>
          <w:tcPr>
            <w:tcW w:w="953"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96%</w:t>
            </w:r>
          </w:p>
        </w:tc>
        <w:tc>
          <w:tcPr>
            <w:tcW w:w="560"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总分</w:t>
            </w:r>
          </w:p>
        </w:tc>
        <w:tc>
          <w:tcPr>
            <w:tcW w:w="4722" w:type="pct"/>
            <w:gridSpan w:val="7"/>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95.5分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FFFFFF"/>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偏差大或目标</w:t>
            </w:r>
            <w:r>
              <w:rPr>
                <w:rFonts w:eastAsia="仿宋"/>
                <w:color w:val="000000"/>
                <w:kern w:val="0"/>
                <w:szCs w:val="21"/>
                <w:lang w:bidi="ar"/>
              </w:rPr>
              <w:br w:type="textWrapping"/>
            </w:r>
            <w:r>
              <w:rPr>
                <w:rFonts w:eastAsia="仿宋"/>
                <w:color w:val="000000"/>
                <w:kern w:val="0"/>
                <w:szCs w:val="21"/>
                <w:lang w:bidi="ar"/>
              </w:rPr>
              <w:t>未完成原因分析</w:t>
            </w:r>
          </w:p>
        </w:tc>
        <w:tc>
          <w:tcPr>
            <w:tcW w:w="4286" w:type="pct"/>
            <w:gridSpan w:val="6"/>
            <w:shd w:val="clear" w:color="auto" w:fill="FFFFFF"/>
            <w:vAlign w:val="center"/>
          </w:tcPr>
          <w:p>
            <w:pPr>
              <w:widowControl/>
              <w:spacing w:line="300" w:lineRule="exact"/>
              <w:textAlignment w:val="center"/>
              <w:rPr>
                <w:rFonts w:eastAsia="仿宋"/>
                <w:color w:val="000000"/>
                <w:szCs w:val="21"/>
              </w:rPr>
            </w:pPr>
            <w:r>
              <w:rPr>
                <w:rFonts w:eastAsia="仿宋"/>
                <w:color w:val="000000"/>
                <w:kern w:val="0"/>
                <w:szCs w:val="21"/>
                <w:lang w:bidi="ar"/>
              </w:rPr>
              <w:t>“新建学校项目完工率”“扩建学校项目完工率”指标未完成的原因：在推进新建及扩建学校项目过程中，受工程建设资金不足、</w:t>
            </w:r>
            <w:r>
              <w:rPr>
                <w:rFonts w:hint="eastAsia" w:eastAsia="仿宋"/>
                <w:color w:val="000000"/>
                <w:kern w:val="0"/>
                <w:szCs w:val="21"/>
                <w:lang w:bidi="ar"/>
              </w:rPr>
              <w:t>土地审批手续办理延迟</w:t>
            </w:r>
            <w:r>
              <w:rPr>
                <w:rFonts w:eastAsia="仿宋"/>
                <w:color w:val="000000"/>
                <w:kern w:val="0"/>
                <w:szCs w:val="21"/>
                <w:lang w:bidi="ar"/>
              </w:rPr>
              <w:t>等影响，部分项目未能按计划完工。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gridSpan w:val="2"/>
            <w:shd w:val="clear" w:color="auto" w:fill="auto"/>
            <w:vAlign w:val="center"/>
          </w:tcPr>
          <w:p>
            <w:pPr>
              <w:widowControl/>
              <w:spacing w:line="300" w:lineRule="exact"/>
              <w:jc w:val="center"/>
              <w:textAlignment w:val="center"/>
              <w:rPr>
                <w:rFonts w:eastAsia="仿宋"/>
                <w:color w:val="000000"/>
                <w:szCs w:val="21"/>
              </w:rPr>
            </w:pPr>
            <w:r>
              <w:rPr>
                <w:rFonts w:eastAsia="仿宋"/>
                <w:color w:val="000000"/>
                <w:kern w:val="0"/>
                <w:szCs w:val="21"/>
                <w:lang w:bidi="ar"/>
              </w:rPr>
              <w:t>改进措施及结果应用方案</w:t>
            </w:r>
          </w:p>
        </w:tc>
        <w:tc>
          <w:tcPr>
            <w:tcW w:w="4286" w:type="pct"/>
            <w:gridSpan w:val="6"/>
            <w:shd w:val="clear" w:color="auto" w:fill="auto"/>
            <w:vAlign w:val="center"/>
          </w:tcPr>
          <w:p>
            <w:pPr>
              <w:widowControl/>
              <w:spacing w:line="300" w:lineRule="exact"/>
              <w:textAlignment w:val="center"/>
              <w:rPr>
                <w:rFonts w:eastAsia="仿宋"/>
                <w:color w:val="000000"/>
                <w:szCs w:val="21"/>
              </w:rPr>
            </w:pPr>
            <w:r>
              <w:rPr>
                <w:rFonts w:eastAsia="仿宋"/>
                <w:color w:val="000000"/>
                <w:kern w:val="0"/>
                <w:szCs w:val="21"/>
                <w:lang w:bidi="ar"/>
              </w:rPr>
              <w:t>一是加强资金保障，多渠道筹集资金，吸引企业投资参与学校建设，接受社会捐赠，以缓解资金压力，保障项目资金链稳定，同时优化项目资金使用计划，提高资金使用效益。二是完善审批协调机制，优化土地手续审批流程，简化审批环节，明确各环节办理时限，并加强部门间沟通协调，实行并联审批，避免因信息不畅导致审批延误。三是强化项目管理，制定项目推进时间表和路线图，实行“一项目一专班”工作机制，确保项目有序推进。四是建立预警机制，对项目实施动态监控，及时发现并解决建设过程中的问题。</w:t>
            </w:r>
          </w:p>
        </w:tc>
      </w:tr>
    </w:tbl>
    <w:p>
      <w:pPr>
        <w:spacing w:line="560" w:lineRule="exact"/>
        <w:rPr>
          <w:kern w:val="0"/>
          <w:sz w:val="24"/>
        </w:rPr>
      </w:pPr>
    </w:p>
    <w:p>
      <w:pPr>
        <w:pStyle w:val="5"/>
        <w:rPr>
          <w:rFonts w:hint="eastAsia"/>
          <w:lang w:eastAsia="zh-CN"/>
        </w:rPr>
      </w:pPr>
    </w:p>
    <w:p>
      <w:pPr>
        <w:rPr>
          <w:rFonts w:hint="default" w:ascii="Times New Roman" w:hAnsi="Times New Roman" w:cs="Times New Roman"/>
          <w:u w:val="none" w:color="auto"/>
          <w:lang w:val="en-US" w:eastAsia="zh-CN"/>
        </w:rPr>
      </w:pPr>
    </w:p>
    <w:p>
      <w:pPr>
        <w:rPr>
          <w:rFonts w:hint="default" w:ascii="Times New Roman" w:hAnsi="Times New Roman" w:cs="Times New Roman"/>
          <w:u w:val="none" w:color="auto"/>
          <w:lang w:val="en-US" w:eastAsia="zh-CN"/>
        </w:rPr>
      </w:pPr>
    </w:p>
    <w:sectPr>
      <w:footerReference r:id="rId4"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3B1B"/>
    <w:multiLevelType w:val="singleLevel"/>
    <w:tmpl w:val="85AC3B1B"/>
    <w:lvl w:ilvl="0" w:tentative="0">
      <w:start w:val="1"/>
      <w:numFmt w:val="decimal"/>
      <w:lvlText w:val="%1."/>
      <w:lvlJc w:val="left"/>
      <w:pPr>
        <w:tabs>
          <w:tab w:val="left" w:pos="312"/>
        </w:tabs>
      </w:p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204274"/>
    <w:rsid w:val="0077469B"/>
    <w:rsid w:val="01941141"/>
    <w:rsid w:val="020B125C"/>
    <w:rsid w:val="02FF6B55"/>
    <w:rsid w:val="04AA3C46"/>
    <w:rsid w:val="04E96ADC"/>
    <w:rsid w:val="060F3463"/>
    <w:rsid w:val="068838C2"/>
    <w:rsid w:val="07142D9E"/>
    <w:rsid w:val="07180E92"/>
    <w:rsid w:val="089839BA"/>
    <w:rsid w:val="09446A84"/>
    <w:rsid w:val="09FD106D"/>
    <w:rsid w:val="0B492353"/>
    <w:rsid w:val="0C007403"/>
    <w:rsid w:val="0CD45C9B"/>
    <w:rsid w:val="0EF93AAF"/>
    <w:rsid w:val="1067214A"/>
    <w:rsid w:val="117A5E54"/>
    <w:rsid w:val="11B9741B"/>
    <w:rsid w:val="12FE3B58"/>
    <w:rsid w:val="13272BE8"/>
    <w:rsid w:val="13747DAA"/>
    <w:rsid w:val="15461D04"/>
    <w:rsid w:val="172355D3"/>
    <w:rsid w:val="18E34375"/>
    <w:rsid w:val="1B2466E5"/>
    <w:rsid w:val="1BA63D15"/>
    <w:rsid w:val="1BCF2660"/>
    <w:rsid w:val="1C0E2A35"/>
    <w:rsid w:val="1C817790"/>
    <w:rsid w:val="1DCD7D00"/>
    <w:rsid w:val="1EE21DA7"/>
    <w:rsid w:val="1F3C5B49"/>
    <w:rsid w:val="20017382"/>
    <w:rsid w:val="212D1EC5"/>
    <w:rsid w:val="21676B90"/>
    <w:rsid w:val="21961EB7"/>
    <w:rsid w:val="21A05F7E"/>
    <w:rsid w:val="28A65FBE"/>
    <w:rsid w:val="2A857986"/>
    <w:rsid w:val="2BE83F94"/>
    <w:rsid w:val="2BF42D02"/>
    <w:rsid w:val="2BF7779C"/>
    <w:rsid w:val="2F8119D0"/>
    <w:rsid w:val="34930FCC"/>
    <w:rsid w:val="34EA2EB6"/>
    <w:rsid w:val="34F62908"/>
    <w:rsid w:val="353B695E"/>
    <w:rsid w:val="365E6749"/>
    <w:rsid w:val="37FA502A"/>
    <w:rsid w:val="390037A2"/>
    <w:rsid w:val="39F72424"/>
    <w:rsid w:val="3B8047B3"/>
    <w:rsid w:val="3C411FBF"/>
    <w:rsid w:val="3C4F2C50"/>
    <w:rsid w:val="3DA60130"/>
    <w:rsid w:val="3EA31D52"/>
    <w:rsid w:val="40586425"/>
    <w:rsid w:val="41016785"/>
    <w:rsid w:val="4268313C"/>
    <w:rsid w:val="43DA5B87"/>
    <w:rsid w:val="44C60C63"/>
    <w:rsid w:val="467E1CDE"/>
    <w:rsid w:val="469232B8"/>
    <w:rsid w:val="4787624B"/>
    <w:rsid w:val="49ED225A"/>
    <w:rsid w:val="4A6E143B"/>
    <w:rsid w:val="4C746661"/>
    <w:rsid w:val="4C8C3F07"/>
    <w:rsid w:val="4CDA604A"/>
    <w:rsid w:val="4D52691C"/>
    <w:rsid w:val="4D555CB1"/>
    <w:rsid w:val="4E51683E"/>
    <w:rsid w:val="4EBE3A8B"/>
    <w:rsid w:val="4F336227"/>
    <w:rsid w:val="517B71DC"/>
    <w:rsid w:val="51800C86"/>
    <w:rsid w:val="52007CE1"/>
    <w:rsid w:val="540B23F2"/>
    <w:rsid w:val="542F756E"/>
    <w:rsid w:val="54777E46"/>
    <w:rsid w:val="57327F9E"/>
    <w:rsid w:val="57336717"/>
    <w:rsid w:val="57B31914"/>
    <w:rsid w:val="57FA79CD"/>
    <w:rsid w:val="5DAF7F87"/>
    <w:rsid w:val="5DE402B6"/>
    <w:rsid w:val="604A5C2C"/>
    <w:rsid w:val="62C17492"/>
    <w:rsid w:val="62F51C0D"/>
    <w:rsid w:val="63606BAA"/>
    <w:rsid w:val="639835A3"/>
    <w:rsid w:val="64BC6D09"/>
    <w:rsid w:val="66D25B39"/>
    <w:rsid w:val="685075EC"/>
    <w:rsid w:val="687B3694"/>
    <w:rsid w:val="6B6066A7"/>
    <w:rsid w:val="6B8342AA"/>
    <w:rsid w:val="6BB34631"/>
    <w:rsid w:val="6D745521"/>
    <w:rsid w:val="6DA422E5"/>
    <w:rsid w:val="6F797B1D"/>
    <w:rsid w:val="6FA755CF"/>
    <w:rsid w:val="70846AFD"/>
    <w:rsid w:val="70CC35B9"/>
    <w:rsid w:val="70E57BE1"/>
    <w:rsid w:val="72614EAD"/>
    <w:rsid w:val="73F15019"/>
    <w:rsid w:val="749073E1"/>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4">
    <w:name w:val="Normal Indent"/>
    <w:basedOn w:val="1"/>
    <w:next w:val="1"/>
    <w:qFormat/>
    <w:uiPriority w:val="0"/>
    <w:pPr>
      <w:ind w:firstLine="420" w:firstLineChars="200"/>
    </w:p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Body Text Indent"/>
    <w:basedOn w:val="1"/>
    <w:next w:val="1"/>
    <w:qFormat/>
    <w:uiPriority w:val="0"/>
    <w:pPr>
      <w:ind w:firstLine="630"/>
    </w:pPr>
    <w:rPr>
      <w:rFonts w:ascii="仿宋_GB2312" w:eastAsia="仿宋_GB2312"/>
      <w:sz w:val="32"/>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0"/>
    <w:pPr>
      <w:widowControl/>
      <w:adjustRightInd/>
      <w:snapToGrid/>
      <w:spacing w:line="540" w:lineRule="exact"/>
      <w:ind w:firstLine="420" w:firstLineChars="0"/>
      <w:jc w:val="left"/>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customStyle="1" w:styleId="15">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列出段落1"/>
    <w:basedOn w:val="1"/>
    <w:qFormat/>
    <w:uiPriority w:val="99"/>
    <w:pPr>
      <w:ind w:firstLine="420" w:firstLineChars="200"/>
    </w:pPr>
  </w:style>
  <w:style w:type="character" w:customStyle="1" w:styleId="18">
    <w:name w:val="font31"/>
    <w:basedOn w:val="12"/>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emf"/><Relationship Id="rId21" Type="http://schemas.openxmlformats.org/officeDocument/2006/relationships/oleObject" Target="embeddings/oleObject4.bin"/><Relationship Id="rId20" Type="http://schemas.openxmlformats.org/officeDocument/2006/relationships/image" Target="media/image12.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emf"/><Relationship Id="rId17" Type="http://schemas.openxmlformats.org/officeDocument/2006/relationships/oleObject" Target="embeddings/oleObject2.bin"/><Relationship Id="rId16" Type="http://schemas.openxmlformats.org/officeDocument/2006/relationships/image" Target="media/image10.emf"/><Relationship Id="rId15" Type="http://schemas.openxmlformats.org/officeDocument/2006/relationships/oleObject" Target="embeddings/oleObject1.bin"/><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3</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维维</cp:lastModifiedBy>
  <cp:lastPrinted>2025-08-20T07:46:00Z</cp:lastPrinted>
  <dcterms:modified xsi:type="dcterms:W3CDTF">2025-09-26T08:52:13Z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