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BCB73">
      <w:pPr>
        <w:spacing w:before="104" w:line="226" w:lineRule="auto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</w:rPr>
        <w:t>附件 1</w:t>
      </w:r>
    </w:p>
    <w:p w14:paraId="0957F525"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5B6DEEEF"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70F85FDA"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44B6A5FF"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42662537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2D2FFF22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3104FF0E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51DC929B">
      <w:pPr>
        <w:spacing w:before="156" w:line="221" w:lineRule="auto"/>
        <w:ind w:right="20"/>
        <w:jc w:val="center"/>
        <w:rPr>
          <w:rFonts w:hint="default" w:ascii="Times New Roman" w:hAnsi="Times New Roman" w:eastAsia="黑体" w:cs="Times New Roman"/>
          <w:spacing w:val="0"/>
          <w:w w:val="100"/>
          <w:position w:val="0"/>
          <w:sz w:val="48"/>
          <w:szCs w:val="48"/>
          <w:u w:val="none" w:color="auto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</w:rPr>
        <w:t xml:space="preserve"> 年度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  <w:lang w:val="en-US" w:eastAsia="zh-CN"/>
        </w:rPr>
        <w:t>武汉市光谷第一小学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</w:rPr>
        <w:t>部门决算公开</w:t>
      </w:r>
    </w:p>
    <w:p w14:paraId="5D3543A5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0CE4F78D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0AD4B0AC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2474BCBB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28D8FD2A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39935BBE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29D014C2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6153D3D8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01B823C3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7531A2C7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446D25C2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2D18FC0E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4AE6F581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753A7B18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5C62F7B6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28785984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626262F0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38E9F2BD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75899148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3B068546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440FF5F1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1B622812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434CF05F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221BCE20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53AA0DB1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7561F676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094F6810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153C384E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5C9A5C5E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77C2A39D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00147C3E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39AD9D41"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464263B4"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11338510"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19766EDC"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6F6F121A">
      <w:pPr>
        <w:pStyle w:val="2"/>
        <w:spacing w:before="104" w:line="224" w:lineRule="auto"/>
        <w:ind w:left="316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202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年9月29日</w:t>
      </w:r>
    </w:p>
    <w:p w14:paraId="225F35E4">
      <w:pPr>
        <w:spacing w:line="28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46F1A520">
      <w:pPr>
        <w:pStyle w:val="7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05AF0896">
      <w:pPr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6FC6CDAA">
      <w:pPr>
        <w:spacing w:before="143" w:line="222" w:lineRule="auto"/>
        <w:ind w:left="3361"/>
        <w:outlineLvl w:val="0"/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</w:rPr>
        <w:t>目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  <w:lang w:val="en-US" w:eastAsia="zh-CN"/>
        </w:rPr>
        <w:t xml:space="preserve">     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</w:rPr>
        <w:t>录</w:t>
      </w:r>
    </w:p>
    <w:p w14:paraId="7FF55D75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329FF7F7"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  <w:u w:val="none" w:color="auto"/>
        </w:rPr>
      </w:pPr>
    </w:p>
    <w:p w14:paraId="135173E3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</w:rPr>
        <w:t xml:space="preserve">第一部分  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eastAsia="zh-CN"/>
        </w:rPr>
        <w:t>武汉市光谷第一小学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</w:rPr>
        <w:t>概况</w:t>
      </w:r>
    </w:p>
    <w:p w14:paraId="28E4CBA6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一、部门主要职责</w:t>
      </w:r>
    </w:p>
    <w:p w14:paraId="4F540F5B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4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二、机构设置情况</w:t>
      </w:r>
    </w:p>
    <w:p w14:paraId="0EFBD32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</w:rPr>
        <w:t xml:space="preserve">第二部分  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eastAsia="zh-CN"/>
        </w:rPr>
        <w:t>武汉市光谷第一小学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</w:rPr>
        <w:t>年度部门决算表</w:t>
      </w:r>
    </w:p>
    <w:p w14:paraId="608061D3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一、收入支出决算总表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val="en-US" w:eastAsia="zh-CN"/>
        </w:rPr>
        <w:t>表1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eastAsia="zh-CN"/>
        </w:rPr>
        <w:t>）</w:t>
      </w:r>
    </w:p>
    <w:p w14:paraId="1BCD3473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二、收入决算表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val="en-US" w:eastAsia="zh-CN"/>
        </w:rPr>
        <w:t>表2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eastAsia="zh-CN"/>
        </w:rPr>
        <w:t>）</w:t>
      </w:r>
    </w:p>
    <w:p w14:paraId="3DC5EBDB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三、支出决算表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val="en-US" w:eastAsia="zh-CN"/>
        </w:rPr>
        <w:t>表3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eastAsia="zh-CN"/>
        </w:rPr>
        <w:t>）</w:t>
      </w:r>
    </w:p>
    <w:p w14:paraId="69FA87CF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四、财政拨款收入支出决算总表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val="en-US" w:eastAsia="zh-CN"/>
        </w:rPr>
        <w:t>表4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eastAsia="zh-CN"/>
        </w:rPr>
        <w:t>）</w:t>
      </w:r>
    </w:p>
    <w:p w14:paraId="1FBB60EF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五、一般公共预算财政拨款支出决算表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val="en-US" w:eastAsia="zh-CN"/>
        </w:rPr>
        <w:t>表5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eastAsia="zh-CN"/>
        </w:rPr>
        <w:t>）</w:t>
      </w:r>
    </w:p>
    <w:p w14:paraId="0884A997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六、一般公共预算财政拨款基本支出决算明细表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val="en-US" w:eastAsia="zh-CN"/>
        </w:rPr>
        <w:t>表6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eastAsia="zh-CN"/>
        </w:rPr>
        <w:t>）</w:t>
      </w:r>
    </w:p>
    <w:p w14:paraId="72AFA180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七、政府性基金预算财政拨款收入支出决算表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val="en-US" w:eastAsia="zh-CN"/>
        </w:rPr>
        <w:t>表7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eastAsia="zh-CN"/>
        </w:rPr>
        <w:t>）</w:t>
      </w:r>
    </w:p>
    <w:p w14:paraId="6AE1ECAF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八、国有资本经营预算财政拨款支出决算表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val="en-US" w:eastAsia="zh-CN"/>
        </w:rPr>
        <w:t>表8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eastAsia="zh-CN"/>
        </w:rPr>
        <w:t>）</w:t>
      </w:r>
    </w:p>
    <w:p w14:paraId="2CB6F030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九、财政拨款“三公”经费支出决算表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val="en-US" w:eastAsia="zh-CN"/>
        </w:rPr>
        <w:t>表9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u w:val="none" w:color="auto"/>
          <w:lang w:eastAsia="zh-CN"/>
        </w:rPr>
        <w:t>）</w:t>
      </w:r>
    </w:p>
    <w:p w14:paraId="3783F8B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</w:rPr>
        <w:t xml:space="preserve">第三部分  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eastAsia="zh-CN"/>
        </w:rPr>
        <w:t>武汉市光谷第一小学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</w:rPr>
        <w:t>年度部门决算情况说明</w:t>
      </w:r>
    </w:p>
    <w:p w14:paraId="27E91DDE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一、收入支出决算总体情况说明</w:t>
      </w:r>
    </w:p>
    <w:p w14:paraId="7A7CB0F0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二、收入决算情况说明</w:t>
      </w:r>
    </w:p>
    <w:p w14:paraId="05D18A44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三、支出决算情况说明</w:t>
      </w:r>
    </w:p>
    <w:p w14:paraId="39C01E70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四、财政拨款收入支出决算总体情况说明</w:t>
      </w:r>
    </w:p>
    <w:p w14:paraId="73149C92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五、一般公共预算财政拨款支出决算情况说明</w:t>
      </w:r>
    </w:p>
    <w:p w14:paraId="21635590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六、一般公共预算财政拨款基本支出决算情况说明</w:t>
      </w:r>
    </w:p>
    <w:p w14:paraId="1D13D912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七、政府性基金预算财政拨款收入支出决算情况说明</w:t>
      </w:r>
    </w:p>
    <w:p w14:paraId="20EC0E05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八、国有资本经营预算财政拨款支出决算情况说明</w:t>
      </w:r>
    </w:p>
    <w:p w14:paraId="30BE2257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九、财政拨款“三公”经费支出决算情况说明</w:t>
      </w:r>
    </w:p>
    <w:p w14:paraId="64BC0382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十、机关运行经费支出说明</w:t>
      </w:r>
    </w:p>
    <w:p w14:paraId="63B42753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十一、政府采购支出说明</w:t>
      </w:r>
    </w:p>
    <w:p w14:paraId="506B4429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十二、国有资产占用情况说明</w:t>
      </w:r>
    </w:p>
    <w:p w14:paraId="31890B3E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u w:val="none" w:color="auto"/>
        </w:rPr>
        <w:t>十三、预算绩效情况说明</w:t>
      </w:r>
    </w:p>
    <w:p w14:paraId="0ECDB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u w:val="none" w:color="auto"/>
        </w:rPr>
        <w:t>第四部分  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u w:val="none" w:color="auto"/>
        </w:rPr>
        <w:t>年重点工作完成情况</w:t>
      </w:r>
    </w:p>
    <w:p w14:paraId="34AB9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u w:val="none" w:color="auto"/>
        </w:rPr>
        <w:t>第五部分  名词解释</w:t>
      </w:r>
    </w:p>
    <w:p w14:paraId="4877D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u w:val="none" w:color="auto"/>
        </w:rPr>
        <w:t>第六部分  附件</w:t>
      </w:r>
    </w:p>
    <w:p w14:paraId="388AF284">
      <w:pPr>
        <w:rPr>
          <w:rFonts w:hint="default" w:ascii="Times New Roman" w:hAnsi="Times New Roman" w:cs="Times New Roman"/>
          <w:u w:val="none" w:color="auto"/>
        </w:rPr>
      </w:pPr>
    </w:p>
    <w:p w14:paraId="586F3669">
      <w:pPr>
        <w:pStyle w:val="7"/>
        <w:rPr>
          <w:rFonts w:hint="default" w:ascii="Times New Roman" w:hAnsi="Times New Roman" w:cs="Times New Roman"/>
          <w:u w:val="none" w:color="auto"/>
        </w:rPr>
      </w:pPr>
    </w:p>
    <w:p w14:paraId="6904EAC5">
      <w:pPr>
        <w:rPr>
          <w:rFonts w:hint="default" w:ascii="Times New Roman" w:hAnsi="Times New Roman" w:cs="Times New Roman"/>
          <w:u w:val="none" w:color="auto"/>
        </w:rPr>
      </w:pPr>
    </w:p>
    <w:p w14:paraId="7D6134CB">
      <w:pPr>
        <w:pStyle w:val="7"/>
        <w:rPr>
          <w:rFonts w:hint="default" w:ascii="Times New Roman" w:hAnsi="Times New Roman" w:cs="Times New Roman"/>
          <w:u w:val="none" w:color="auto"/>
        </w:rPr>
      </w:pPr>
    </w:p>
    <w:p w14:paraId="765C63C6">
      <w:pPr>
        <w:rPr>
          <w:rFonts w:hint="default" w:ascii="Times New Roman" w:hAnsi="Times New Roman" w:cs="Times New Roman"/>
          <w:u w:val="none" w:color="auto"/>
        </w:rPr>
      </w:pPr>
    </w:p>
    <w:p w14:paraId="29C60EC1">
      <w:pPr>
        <w:pStyle w:val="7"/>
        <w:rPr>
          <w:rFonts w:hint="default" w:ascii="Times New Roman" w:hAnsi="Times New Roman" w:cs="Times New Roman"/>
          <w:u w:val="none" w:color="auto"/>
        </w:rPr>
      </w:pPr>
    </w:p>
    <w:p w14:paraId="4A04C0C9">
      <w:pPr>
        <w:rPr>
          <w:rFonts w:hint="default" w:ascii="Times New Roman" w:hAnsi="Times New Roman" w:cs="Times New Roman"/>
          <w:u w:val="none" w:color="auto"/>
        </w:rPr>
      </w:pPr>
    </w:p>
    <w:p w14:paraId="1DD5CD86">
      <w:pPr>
        <w:pStyle w:val="7"/>
        <w:rPr>
          <w:rFonts w:hint="default" w:ascii="Times New Roman" w:hAnsi="Times New Roman" w:cs="Times New Roman"/>
          <w:u w:val="none" w:color="auto"/>
        </w:rPr>
      </w:pPr>
    </w:p>
    <w:p w14:paraId="3CA6626D">
      <w:pPr>
        <w:rPr>
          <w:rFonts w:hint="default" w:ascii="Times New Roman" w:hAnsi="Times New Roman" w:cs="Times New Roman"/>
          <w:u w:val="none" w:color="auto"/>
        </w:rPr>
      </w:pPr>
    </w:p>
    <w:p w14:paraId="0286C09D">
      <w:pPr>
        <w:pStyle w:val="7"/>
        <w:rPr>
          <w:rFonts w:hint="default" w:ascii="Times New Roman" w:hAnsi="Times New Roman" w:cs="Times New Roman"/>
          <w:u w:val="none" w:color="auto"/>
        </w:rPr>
      </w:pPr>
    </w:p>
    <w:p w14:paraId="41489FEF">
      <w:pPr>
        <w:rPr>
          <w:rFonts w:hint="default" w:ascii="Times New Roman" w:hAnsi="Times New Roman" w:cs="Times New Roman"/>
          <w:u w:val="none" w:color="auto"/>
        </w:rPr>
      </w:pPr>
    </w:p>
    <w:p w14:paraId="13BF855E">
      <w:pPr>
        <w:pStyle w:val="7"/>
        <w:rPr>
          <w:rFonts w:hint="default" w:ascii="Times New Roman" w:hAnsi="Times New Roman" w:cs="Times New Roman"/>
          <w:u w:val="none" w:color="auto"/>
        </w:rPr>
      </w:pPr>
    </w:p>
    <w:p w14:paraId="183DFE84">
      <w:pPr>
        <w:rPr>
          <w:rFonts w:hint="default" w:ascii="Times New Roman" w:hAnsi="Times New Roman" w:cs="Times New Roman"/>
          <w:u w:val="none" w:color="auto"/>
        </w:rPr>
      </w:pPr>
    </w:p>
    <w:p w14:paraId="5491A1F4">
      <w:pPr>
        <w:pStyle w:val="7"/>
        <w:rPr>
          <w:rFonts w:hint="default" w:ascii="Times New Roman" w:hAnsi="Times New Roman" w:cs="Times New Roman"/>
          <w:u w:val="none" w:color="auto"/>
        </w:rPr>
      </w:pPr>
    </w:p>
    <w:p w14:paraId="2353DAE2">
      <w:pPr>
        <w:rPr>
          <w:rFonts w:hint="default" w:ascii="Times New Roman" w:hAnsi="Times New Roman" w:cs="Times New Roman"/>
          <w:u w:val="none" w:color="auto"/>
        </w:rPr>
      </w:pPr>
    </w:p>
    <w:p w14:paraId="41123992">
      <w:pPr>
        <w:pStyle w:val="7"/>
        <w:rPr>
          <w:rFonts w:hint="default" w:ascii="Times New Roman" w:hAnsi="Times New Roman" w:cs="Times New Roman"/>
          <w:u w:val="none" w:color="auto"/>
        </w:rPr>
      </w:pPr>
    </w:p>
    <w:p w14:paraId="2C2E0893">
      <w:pPr>
        <w:rPr>
          <w:rFonts w:hint="default" w:ascii="Times New Roman" w:hAnsi="Times New Roman" w:cs="Times New Roman"/>
          <w:u w:val="none" w:color="auto"/>
        </w:rPr>
      </w:pPr>
    </w:p>
    <w:p w14:paraId="201FDFC3">
      <w:pPr>
        <w:pStyle w:val="7"/>
        <w:rPr>
          <w:rFonts w:hint="default" w:ascii="Times New Roman" w:hAnsi="Times New Roman" w:cs="Times New Roman"/>
          <w:u w:val="none" w:color="auto"/>
        </w:rPr>
      </w:pPr>
    </w:p>
    <w:p w14:paraId="2C87D90A">
      <w:pPr>
        <w:spacing w:before="143" w:line="222" w:lineRule="auto"/>
        <w:jc w:val="center"/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</w:rPr>
        <w:t xml:space="preserve">第一部分 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  <w:lang w:eastAsia="zh-CN"/>
        </w:rPr>
        <w:t>武汉市光谷第一小学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none" w:color="auto"/>
        </w:rPr>
        <w:t>概况</w:t>
      </w:r>
    </w:p>
    <w:p w14:paraId="2ED710A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</w:rPr>
      </w:pPr>
    </w:p>
    <w:p w14:paraId="49FFFC54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</w:rPr>
        <w:t>一、部门主要职责</w:t>
      </w:r>
    </w:p>
    <w:p w14:paraId="3AAA6E2B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right="10" w:firstLine="637"/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 w:color="auto"/>
          <w:lang w:val="en-US" w:eastAsia="en-US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 w:color="auto"/>
          <w:lang w:val="en-US" w:eastAsia="en-US"/>
        </w:rPr>
        <w:t>贯彻落实党和国家的教育方针政策、法律法规，根据上级批示精神，全面贯彻落实党和国家的教育方针政策、法律法规，根据上级指示精神，结合我校实际情况，全面实施义务教育，促进基础教育发展和小学学历教育。武汉市光谷第一小学地处东湖新技术开发区新竹路 68 号，是一所中心城市九年义务教育小学，宗旨和职责是实施小学义务教育，促进基础教育发展，完成小学教育，努力办好人民满意的光谷教育。</w:t>
      </w:r>
    </w:p>
    <w:p w14:paraId="6369529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</w:rPr>
        <w:t>二、机构设置情况</w:t>
      </w:r>
    </w:p>
    <w:p w14:paraId="7023AD0D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right="10" w:firstLine="637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 w:color="auto"/>
        </w:rPr>
        <w:t>从单位构成看，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 w:color="auto"/>
          <w:lang w:eastAsia="zh-CN"/>
        </w:rPr>
        <w:t>武汉市光谷第一小学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 w:color="auto"/>
        </w:rPr>
        <w:t>部门决算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由纳入独立核算的单位本级决算组成，无下属单位。</w:t>
      </w:r>
    </w:p>
    <w:p w14:paraId="7AB19848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u w:val="none" w:color="auto"/>
          <w:lang w:eastAsia="zh-CN"/>
        </w:rPr>
      </w:pPr>
    </w:p>
    <w:p w14:paraId="72DF5037">
      <w:pPr>
        <w:pStyle w:val="7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u w:val="none" w:color="auto"/>
          <w:lang w:eastAsia="zh-CN"/>
        </w:rPr>
      </w:pPr>
    </w:p>
    <w:p w14:paraId="1D7AD060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u w:val="none" w:color="auto"/>
          <w:lang w:eastAsia="zh-CN"/>
        </w:rPr>
      </w:pPr>
    </w:p>
    <w:p w14:paraId="70404610">
      <w:pPr>
        <w:pStyle w:val="7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u w:val="none" w:color="auto"/>
          <w:lang w:eastAsia="zh-CN"/>
        </w:rPr>
      </w:pPr>
    </w:p>
    <w:p w14:paraId="6AB6EA61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u w:val="none" w:color="auto"/>
          <w:lang w:eastAsia="zh-CN"/>
        </w:rPr>
      </w:pPr>
    </w:p>
    <w:p w14:paraId="73366271">
      <w:pPr>
        <w:pStyle w:val="7"/>
        <w:rPr>
          <w:rFonts w:hint="default"/>
          <w:u w:val="none" w:color="auto"/>
          <w:lang w:eastAsia="zh-CN"/>
        </w:rPr>
      </w:pPr>
    </w:p>
    <w:p w14:paraId="447D300E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u w:val="none" w:color="auto"/>
          <w:lang w:eastAsia="zh-CN"/>
        </w:rPr>
      </w:pPr>
    </w:p>
    <w:p w14:paraId="5BB773E9">
      <w:pPr>
        <w:pStyle w:val="7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u w:val="none" w:color="auto"/>
          <w:lang w:eastAsia="zh-CN"/>
        </w:rPr>
      </w:pPr>
    </w:p>
    <w:p w14:paraId="4310B008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u w:val="none" w:color="auto"/>
          <w:lang w:eastAsia="zh-CN"/>
        </w:rPr>
      </w:pPr>
    </w:p>
    <w:p w14:paraId="633BA2B2"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u w:val="none" w:color="auto"/>
          <w:lang w:eastAsia="zh-CN"/>
        </w:rPr>
      </w:pPr>
    </w:p>
    <w:p w14:paraId="7301F8ED">
      <w:pPr>
        <w:pStyle w:val="7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pacing w:val="-3"/>
          <w:sz w:val="44"/>
          <w:szCs w:val="44"/>
          <w:u w:val="none" w:color="auto"/>
        </w:rPr>
      </w:pP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  <w:u w:val="none" w:color="auto"/>
        </w:rPr>
        <w:t xml:space="preserve">第二部分  </w:t>
      </w:r>
      <w:r>
        <w:rPr>
          <w:rFonts w:hint="eastAsia" w:ascii="Times New Roman" w:hAnsi="Times New Roman" w:eastAsia="方正小标宋_GBK" w:cs="Times New Roman"/>
          <w:spacing w:val="-3"/>
          <w:sz w:val="44"/>
          <w:szCs w:val="44"/>
          <w:u w:val="none" w:color="auto"/>
          <w:lang w:val="en-US" w:eastAsia="zh-CN"/>
        </w:rPr>
        <w:t>武汉市光谷第一小学2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  <w:u w:val="none" w:color="auto"/>
        </w:rPr>
        <w:t>02</w:t>
      </w:r>
      <w:r>
        <w:rPr>
          <w:rFonts w:hint="eastAsia" w:ascii="Times New Roman" w:hAnsi="Times New Roman" w:eastAsia="方正小标宋_GBK" w:cs="Times New Roman"/>
          <w:spacing w:val="-3"/>
          <w:sz w:val="44"/>
          <w:szCs w:val="44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pacing w:val="-96"/>
          <w:sz w:val="44"/>
          <w:szCs w:val="44"/>
          <w:u w:val="none" w:color="auto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  <w:u w:val="none" w:color="auto"/>
        </w:rPr>
        <w:t>年度</w:t>
      </w:r>
    </w:p>
    <w:p w14:paraId="47C8636E">
      <w:pPr>
        <w:pStyle w:val="7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pacing w:val="-3"/>
          <w:sz w:val="44"/>
          <w:szCs w:val="44"/>
          <w:u w:val="none" w:color="auto"/>
        </w:rPr>
      </w:pPr>
      <w:r>
        <w:rPr>
          <w:rFonts w:hint="eastAsia" w:ascii="Times New Roman" w:hAnsi="Times New Roman" w:eastAsia="方正小标宋_GBK" w:cs="Times New Roman"/>
          <w:spacing w:val="-3"/>
          <w:sz w:val="44"/>
          <w:szCs w:val="44"/>
          <w:u w:val="none" w:color="auto"/>
          <w:lang w:val="en-US" w:eastAsia="zh-CN"/>
        </w:rPr>
        <w:t xml:space="preserve">        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  <w:u w:val="none" w:color="auto"/>
        </w:rPr>
        <w:t>部门决算表</w:t>
      </w:r>
    </w:p>
    <w:p w14:paraId="2148AFA5">
      <w:pPr>
        <w:rPr>
          <w:rFonts w:hint="default" w:ascii="Times New Roman" w:hAnsi="Times New Roman" w:cs="Times New Roman"/>
          <w:u w:val="none" w:color="auto"/>
        </w:rPr>
      </w:pPr>
    </w:p>
    <w:p w14:paraId="25921D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</w:rPr>
        <w:t>年度收入支出决算总表</w:t>
      </w:r>
    </w:p>
    <w:p w14:paraId="6734E348">
      <w:pPr>
        <w:pStyle w:val="7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公开01表</w:t>
      </w:r>
    </w:p>
    <w:p w14:paraId="3252FA0E">
      <w:pPr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武汉市光谷第一小学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              金额单位：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万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元</w:t>
      </w:r>
    </w:p>
    <w:tbl>
      <w:tblPr>
        <w:tblStyle w:val="8"/>
        <w:tblW w:w="10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6"/>
        <w:gridCol w:w="680"/>
        <w:gridCol w:w="899"/>
        <w:gridCol w:w="3475"/>
        <w:gridCol w:w="733"/>
        <w:gridCol w:w="946"/>
      </w:tblGrid>
      <w:tr w14:paraId="350B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385" w:type="dxa"/>
            <w:gridSpan w:val="3"/>
            <w:shd w:val="clear" w:color="auto" w:fill="auto"/>
            <w:vAlign w:val="center"/>
          </w:tcPr>
          <w:p w14:paraId="08202C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收入</w:t>
            </w:r>
          </w:p>
        </w:tc>
        <w:tc>
          <w:tcPr>
            <w:tcW w:w="5154" w:type="dxa"/>
            <w:gridSpan w:val="3"/>
            <w:shd w:val="clear" w:color="auto" w:fill="auto"/>
            <w:vAlign w:val="center"/>
          </w:tcPr>
          <w:p w14:paraId="6A2B25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支出</w:t>
            </w:r>
          </w:p>
        </w:tc>
      </w:tr>
      <w:tr w14:paraId="4DBA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673517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项目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551B6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行次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571651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金额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491E4A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项目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D4E85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行次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986D3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金额</w:t>
            </w:r>
          </w:p>
        </w:tc>
      </w:tr>
      <w:tr w14:paraId="072E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791B0B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栏次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032F2E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07BD7F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169837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栏次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52BFA4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741662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2</w:t>
            </w:r>
          </w:p>
        </w:tc>
      </w:tr>
      <w:tr w14:paraId="53B2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7D0680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一、一般公共预算财政拨款收入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D830F0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74BE7FB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7613.86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71F161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一、一般公共服务支出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4464D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78E158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4ADA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53AD49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二、政府性基金预算财政拨款收入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6A0CE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2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6755120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5E5607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二、外交支出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58110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33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5C9831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4976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47E0EE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3043C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772D591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3F03BE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三、国防支出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D402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34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9F4F3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7A21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3D01EA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四、上级补助收入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10BAD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4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558E3AA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0926A7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四、公共安全支出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442B6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35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9A18A7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4096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09779A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五、事业收入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E1717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5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63E8F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0F3DC6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五、教育支出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EE2B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36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2E9932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7639.54</w:t>
            </w:r>
          </w:p>
        </w:tc>
      </w:tr>
      <w:tr w14:paraId="1503F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1B67E2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六、经营收入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9E176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6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1AE1D8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4F2956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六、科学技术支出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5186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37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986C58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7214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782D21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七、附属单位上缴收入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527D7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7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AA2253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2A5863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七、文化旅游体育与传媒支出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F6B37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38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EDF52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11AA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25A833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八、其他收入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E4679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8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5F68D1C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539.58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47847A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八、社会保障和就业支出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B3107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39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C554D6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513.50</w:t>
            </w:r>
          </w:p>
        </w:tc>
      </w:tr>
      <w:tr w14:paraId="66A3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05C5370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EB1B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9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2AC5AB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594C8D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九、卫生健康支出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00304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40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DFC101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66FF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4333CC5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3E71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10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48489A8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3B99D1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十、节能环保支出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C425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41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2073E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7DB6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70E5192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9F4BF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11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1A12FCC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3498BA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十一、城乡社区支出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F0B6B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42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46A58F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4889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30761C0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D04DE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12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4FC81D1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7C1075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十二、农林水支出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B8207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43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3A4B8B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49D9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4FA7A61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E6E6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13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1B5514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3F235D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十三、交通运输支出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5AC6D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44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388F85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0AE1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517F7F2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536E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14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5CBEB1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3D121E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十四、资源勘探工业信息等支出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6B2E7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45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24AD6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1161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4D6FB4D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C161E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15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19C647A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7F3505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十五、商业服务业等支出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6966E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46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3C5DB5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44EC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22782AD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51CF5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16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62BD309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3A937E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十六、金融支出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6C7D1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47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2E9C41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169D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691637E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C462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17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2EC338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09E582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十七、援助其他地区支出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00C59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48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332493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32189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4F19782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148D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18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612411A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3F3785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十八、自然资源海洋气象等支出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6672A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49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FCB149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59EE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1E08D33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17EF1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19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596E51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4FFE46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十九、住房保障支出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9EB21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50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0B550B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383B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7A4C70E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0114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20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7F7FA78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62AF58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二十、粮油物资储备支出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96417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51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08F424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32F28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70FB7D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912E7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21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B30C45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6381BC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二十一、国有资本经营预算支出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8EDB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52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372CCC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794B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0793E1F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64FDC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22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1D0DCC1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6A753B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E277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53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EEA706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47C7B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74E6BC8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755F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23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A0D97A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1E999C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二十三、其他支出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50C28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54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2CC55A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1676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7FB56FC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D6930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24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59D97DB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36FB06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二十四、债务还本支出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01ED5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55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EE9F83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5EBE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052F291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CC4BD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25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67D6139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2DC437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二十五、债务付息支出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72DD0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56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724E82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7329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79B1D71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A5E1F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26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76B92D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710201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AD1B9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57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D6281D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460B3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4A76C2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本年收入合计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7B6CC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27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7F5EA89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8153.44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32756D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本年支出合计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154A7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58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57D94B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8153.04</w:t>
            </w:r>
          </w:p>
        </w:tc>
      </w:tr>
      <w:tr w14:paraId="0FC53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194C4F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使用非财政拨款结余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C73C9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28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50F22F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274754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结余分配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F4CDD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59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D2FB34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3133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6E3689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年初结转和结余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3AF42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29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634A1DB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2.59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296AE1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年末结转和结余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30C7E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60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9B1A65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2.99</w:t>
            </w:r>
          </w:p>
        </w:tc>
      </w:tr>
      <w:tr w14:paraId="5FBE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206B871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C68E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55B1BA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171F8FC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70A2F3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61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D2A4AB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0815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082821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总计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5A3F3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31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1DDA2A1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8156.03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719087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总计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3CD1E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62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C267E6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8156.03</w:t>
            </w:r>
          </w:p>
        </w:tc>
      </w:tr>
    </w:tbl>
    <w:p w14:paraId="6ED72C9A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注：1.本表反映部门本年度的总收支和年末结转结余情况。     </w:t>
      </w:r>
    </w:p>
    <w:p w14:paraId="1F602AEC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    2.本套报表金额单位转换时可能存在尾数误差。   </w:t>
      </w:r>
    </w:p>
    <w:p w14:paraId="5A97D07D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br w:type="page"/>
      </w:r>
    </w:p>
    <w:p w14:paraId="5477A5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年度收入决算表</w:t>
      </w:r>
    </w:p>
    <w:p w14:paraId="6D0954DE">
      <w:pPr>
        <w:pStyle w:val="7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公开02表</w:t>
      </w:r>
    </w:p>
    <w:p w14:paraId="51505CFE">
      <w:pPr>
        <w:pStyle w:val="7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武汉市光谷第一小学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                     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     单位：万元</w:t>
      </w:r>
    </w:p>
    <w:tbl>
      <w:tblPr>
        <w:tblStyle w:val="8"/>
        <w:tblW w:w="909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"/>
        <w:gridCol w:w="396"/>
        <w:gridCol w:w="336"/>
        <w:gridCol w:w="1968"/>
        <w:gridCol w:w="828"/>
        <w:gridCol w:w="924"/>
        <w:gridCol w:w="876"/>
        <w:gridCol w:w="696"/>
        <w:gridCol w:w="744"/>
        <w:gridCol w:w="1140"/>
        <w:gridCol w:w="844"/>
      </w:tblGrid>
      <w:tr w14:paraId="708F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43" w:type="dxa"/>
            <w:gridSpan w:val="4"/>
            <w:shd w:val="clear" w:color="auto" w:fill="auto"/>
            <w:vAlign w:val="center"/>
          </w:tcPr>
          <w:p w14:paraId="7AB9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项   目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</w:tcPr>
          <w:p w14:paraId="6847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本年收入合计</w:t>
            </w:r>
          </w:p>
        </w:tc>
        <w:tc>
          <w:tcPr>
            <w:tcW w:w="924" w:type="dxa"/>
            <w:vMerge w:val="restart"/>
            <w:shd w:val="clear" w:color="auto" w:fill="auto"/>
            <w:vAlign w:val="center"/>
          </w:tcPr>
          <w:p w14:paraId="789A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财政拨款收入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14:paraId="08C6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上级补助收入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14:paraId="6293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事业收入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 w14:paraId="6BDF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经营收入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29B2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附属单位上缴收入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14:paraId="7B48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 xml:space="preserve"> </w:t>
            </w:r>
          </w:p>
          <w:p w14:paraId="1C62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收入</w:t>
            </w:r>
          </w:p>
        </w:tc>
      </w:tr>
      <w:tr w14:paraId="1405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75" w:type="dxa"/>
            <w:gridSpan w:val="3"/>
            <w:vMerge w:val="restart"/>
            <w:shd w:val="clear" w:color="auto" w:fill="auto"/>
            <w:vAlign w:val="center"/>
          </w:tcPr>
          <w:p w14:paraId="4ACC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 xml:space="preserve">功能分类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科目编码</w:t>
            </w:r>
          </w:p>
        </w:tc>
        <w:tc>
          <w:tcPr>
            <w:tcW w:w="1968" w:type="dxa"/>
            <w:vMerge w:val="restart"/>
            <w:shd w:val="clear" w:color="auto" w:fill="auto"/>
            <w:vAlign w:val="center"/>
          </w:tcPr>
          <w:p w14:paraId="23F6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科目名称</w:t>
            </w:r>
          </w:p>
        </w:tc>
        <w:tc>
          <w:tcPr>
            <w:tcW w:w="828" w:type="dxa"/>
            <w:vMerge w:val="continue"/>
            <w:shd w:val="clear" w:color="auto" w:fill="auto"/>
            <w:vAlign w:val="center"/>
          </w:tcPr>
          <w:p w14:paraId="5DC7DD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924" w:type="dxa"/>
            <w:vMerge w:val="continue"/>
            <w:shd w:val="clear" w:color="auto" w:fill="auto"/>
            <w:vAlign w:val="center"/>
          </w:tcPr>
          <w:p w14:paraId="7CDAFF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876" w:type="dxa"/>
            <w:vMerge w:val="continue"/>
            <w:shd w:val="clear" w:color="auto" w:fill="auto"/>
            <w:vAlign w:val="center"/>
          </w:tcPr>
          <w:p w14:paraId="6EA6A4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96" w:type="dxa"/>
            <w:vMerge w:val="continue"/>
            <w:shd w:val="clear" w:color="auto" w:fill="auto"/>
            <w:vAlign w:val="center"/>
          </w:tcPr>
          <w:p w14:paraId="33DCC5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2D6C97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140" w:type="dxa"/>
            <w:vMerge w:val="continue"/>
            <w:shd w:val="clear" w:color="auto" w:fill="auto"/>
            <w:vAlign w:val="center"/>
          </w:tcPr>
          <w:p w14:paraId="6F42E0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844" w:type="dxa"/>
            <w:vMerge w:val="continue"/>
            <w:shd w:val="clear" w:color="auto" w:fill="auto"/>
            <w:vAlign w:val="center"/>
          </w:tcPr>
          <w:p w14:paraId="1DDFC8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0574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75" w:type="dxa"/>
            <w:gridSpan w:val="3"/>
            <w:vMerge w:val="continue"/>
            <w:shd w:val="clear" w:color="auto" w:fill="auto"/>
            <w:vAlign w:val="center"/>
          </w:tcPr>
          <w:p w14:paraId="3E3D59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968" w:type="dxa"/>
            <w:vMerge w:val="continue"/>
            <w:shd w:val="clear" w:color="auto" w:fill="auto"/>
            <w:vAlign w:val="center"/>
          </w:tcPr>
          <w:p w14:paraId="110C7F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828" w:type="dxa"/>
            <w:vMerge w:val="continue"/>
            <w:shd w:val="clear" w:color="auto" w:fill="auto"/>
            <w:vAlign w:val="center"/>
          </w:tcPr>
          <w:p w14:paraId="229775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924" w:type="dxa"/>
            <w:vMerge w:val="continue"/>
            <w:shd w:val="clear" w:color="auto" w:fill="auto"/>
            <w:vAlign w:val="center"/>
          </w:tcPr>
          <w:p w14:paraId="536BA9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876" w:type="dxa"/>
            <w:vMerge w:val="continue"/>
            <w:shd w:val="clear" w:color="auto" w:fill="auto"/>
            <w:vAlign w:val="center"/>
          </w:tcPr>
          <w:p w14:paraId="576525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96" w:type="dxa"/>
            <w:vMerge w:val="continue"/>
            <w:shd w:val="clear" w:color="auto" w:fill="auto"/>
            <w:vAlign w:val="center"/>
          </w:tcPr>
          <w:p w14:paraId="04F5EA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437B6C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140" w:type="dxa"/>
            <w:vMerge w:val="continue"/>
            <w:shd w:val="clear" w:color="auto" w:fill="auto"/>
            <w:vAlign w:val="center"/>
          </w:tcPr>
          <w:p w14:paraId="55FEBA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844" w:type="dxa"/>
            <w:vMerge w:val="continue"/>
            <w:shd w:val="clear" w:color="auto" w:fill="auto"/>
            <w:vAlign w:val="center"/>
          </w:tcPr>
          <w:p w14:paraId="11AF70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4EDE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75" w:type="dxa"/>
            <w:gridSpan w:val="3"/>
            <w:vMerge w:val="continue"/>
            <w:shd w:val="clear" w:color="auto" w:fill="auto"/>
            <w:vAlign w:val="center"/>
          </w:tcPr>
          <w:p w14:paraId="4F170E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968" w:type="dxa"/>
            <w:vMerge w:val="continue"/>
            <w:shd w:val="clear" w:color="auto" w:fill="auto"/>
            <w:vAlign w:val="center"/>
          </w:tcPr>
          <w:p w14:paraId="414D40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828" w:type="dxa"/>
            <w:vMerge w:val="continue"/>
            <w:shd w:val="clear" w:color="auto" w:fill="auto"/>
            <w:vAlign w:val="center"/>
          </w:tcPr>
          <w:p w14:paraId="6F8B09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924" w:type="dxa"/>
            <w:vMerge w:val="continue"/>
            <w:shd w:val="clear" w:color="auto" w:fill="auto"/>
            <w:vAlign w:val="center"/>
          </w:tcPr>
          <w:p w14:paraId="22A736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876" w:type="dxa"/>
            <w:vMerge w:val="continue"/>
            <w:shd w:val="clear" w:color="auto" w:fill="auto"/>
            <w:vAlign w:val="center"/>
          </w:tcPr>
          <w:p w14:paraId="49D0FF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96" w:type="dxa"/>
            <w:vMerge w:val="continue"/>
            <w:shd w:val="clear" w:color="auto" w:fill="auto"/>
            <w:vAlign w:val="center"/>
          </w:tcPr>
          <w:p w14:paraId="34D1B3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4C789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140" w:type="dxa"/>
            <w:vMerge w:val="continue"/>
            <w:shd w:val="clear" w:color="auto" w:fill="auto"/>
            <w:vAlign w:val="center"/>
          </w:tcPr>
          <w:p w14:paraId="03B553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844" w:type="dxa"/>
            <w:vMerge w:val="continue"/>
            <w:shd w:val="clear" w:color="auto" w:fill="auto"/>
            <w:vAlign w:val="center"/>
          </w:tcPr>
          <w:p w14:paraId="4AE148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0B7F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43" w:type="dxa"/>
            <w:vMerge w:val="restart"/>
            <w:shd w:val="clear" w:color="auto" w:fill="auto"/>
            <w:vAlign w:val="center"/>
          </w:tcPr>
          <w:p w14:paraId="6FB2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类</w:t>
            </w:r>
          </w:p>
        </w:tc>
        <w:tc>
          <w:tcPr>
            <w:tcW w:w="396" w:type="dxa"/>
            <w:vMerge w:val="restart"/>
            <w:shd w:val="clear" w:color="auto" w:fill="auto"/>
            <w:vAlign w:val="center"/>
          </w:tcPr>
          <w:p w14:paraId="073C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款</w:t>
            </w:r>
          </w:p>
        </w:tc>
        <w:tc>
          <w:tcPr>
            <w:tcW w:w="336" w:type="dxa"/>
            <w:vMerge w:val="restart"/>
            <w:shd w:val="clear" w:color="auto" w:fill="auto"/>
            <w:vAlign w:val="center"/>
          </w:tcPr>
          <w:p w14:paraId="39EE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项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908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栏次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756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6E6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72D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043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5352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5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8E7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6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0DB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7</w:t>
            </w:r>
          </w:p>
        </w:tc>
      </w:tr>
      <w:tr w14:paraId="6515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43" w:type="dxa"/>
            <w:vMerge w:val="continue"/>
            <w:shd w:val="clear" w:color="auto" w:fill="auto"/>
            <w:vAlign w:val="center"/>
          </w:tcPr>
          <w:p w14:paraId="0BE8B3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96" w:type="dxa"/>
            <w:vMerge w:val="continue"/>
            <w:shd w:val="clear" w:color="auto" w:fill="auto"/>
            <w:vAlign w:val="center"/>
          </w:tcPr>
          <w:p w14:paraId="7B2FAB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36" w:type="dxa"/>
            <w:vMerge w:val="continue"/>
            <w:shd w:val="clear" w:color="auto" w:fill="auto"/>
            <w:vAlign w:val="center"/>
          </w:tcPr>
          <w:p w14:paraId="21AEAA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45A5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合计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A274E6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8153.44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2D2C6E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7613.86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4CBD4A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497E805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0C19D43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4589DA9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65FAAB6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539.58</w:t>
            </w:r>
          </w:p>
        </w:tc>
      </w:tr>
      <w:tr w14:paraId="505F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75" w:type="dxa"/>
            <w:gridSpan w:val="3"/>
            <w:shd w:val="clear" w:color="auto" w:fill="auto"/>
            <w:vAlign w:val="center"/>
          </w:tcPr>
          <w:p w14:paraId="382F64E1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2050202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697CDB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小学教育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F9077F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7639.94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650A47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7100.86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F4054F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C5588E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7BCC895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7CA87A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429A51F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539.58</w:t>
            </w:r>
          </w:p>
        </w:tc>
      </w:tr>
      <w:tr w14:paraId="51CE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75" w:type="dxa"/>
            <w:gridSpan w:val="3"/>
            <w:shd w:val="clear" w:color="auto" w:fill="auto"/>
            <w:vAlign w:val="center"/>
          </w:tcPr>
          <w:p w14:paraId="4B5A990A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2080505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BEDC9B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机关事业单位基本养老保险缴费支出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B94E8B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465.50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E396D3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465.50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61B0803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46840845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61703CD9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B3075A5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2B33D662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26C3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75" w:type="dxa"/>
            <w:gridSpan w:val="3"/>
            <w:shd w:val="clear" w:color="auto" w:fill="auto"/>
            <w:vAlign w:val="center"/>
          </w:tcPr>
          <w:p w14:paraId="2309861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2080506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70197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机关事业单位职业年金缴费支出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B25426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48.00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F4AA0D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48.00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3617970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98724F6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49115F95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50F7153E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0DCE2A2B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</w:tbl>
    <w:p w14:paraId="2FED2CE2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注：本表反映部门本年度取得的各项收入情况。</w:t>
      </w:r>
    </w:p>
    <w:p w14:paraId="3D8AF4B6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br w:type="page"/>
      </w:r>
    </w:p>
    <w:p w14:paraId="4E5B77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年度支出决算表</w:t>
      </w:r>
    </w:p>
    <w:p w14:paraId="62BEF5B6">
      <w:pPr>
        <w:pStyle w:val="7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公开03表</w:t>
      </w:r>
    </w:p>
    <w:p w14:paraId="77A1BB0E">
      <w:pPr>
        <w:pStyle w:val="7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武汉市光谷第一小学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           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        单位：万元</w:t>
      </w:r>
    </w:p>
    <w:tbl>
      <w:tblPr>
        <w:tblStyle w:val="8"/>
        <w:tblW w:w="919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372"/>
        <w:gridCol w:w="384"/>
        <w:gridCol w:w="2352"/>
        <w:gridCol w:w="1032"/>
        <w:gridCol w:w="1020"/>
        <w:gridCol w:w="1068"/>
        <w:gridCol w:w="900"/>
        <w:gridCol w:w="744"/>
        <w:gridCol w:w="957"/>
      </w:tblGrid>
      <w:tr w14:paraId="1B6B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475" w:type="dxa"/>
            <w:gridSpan w:val="4"/>
            <w:shd w:val="clear" w:color="auto" w:fill="auto"/>
            <w:vAlign w:val="center"/>
          </w:tcPr>
          <w:p w14:paraId="6C49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项   目</w:t>
            </w:r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14:paraId="1C30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本年支出合计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2F63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基本支出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14:paraId="5753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项目支出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B1E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上缴上级支出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 w14:paraId="2B2B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经营支出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14:paraId="0E83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对附属单位补助支出</w:t>
            </w:r>
          </w:p>
        </w:tc>
      </w:tr>
      <w:tr w14:paraId="61DF9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3" w:type="dxa"/>
            <w:gridSpan w:val="3"/>
            <w:vMerge w:val="restart"/>
            <w:shd w:val="clear" w:color="auto" w:fill="auto"/>
            <w:vAlign w:val="center"/>
          </w:tcPr>
          <w:p w14:paraId="2B24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功能分类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科目编码</w:t>
            </w:r>
          </w:p>
        </w:tc>
        <w:tc>
          <w:tcPr>
            <w:tcW w:w="2352" w:type="dxa"/>
            <w:vMerge w:val="restart"/>
            <w:shd w:val="clear" w:color="auto" w:fill="auto"/>
            <w:vAlign w:val="center"/>
          </w:tcPr>
          <w:p w14:paraId="0C54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科目名称</w:t>
            </w:r>
          </w:p>
        </w:tc>
        <w:tc>
          <w:tcPr>
            <w:tcW w:w="1032" w:type="dxa"/>
            <w:vMerge w:val="continue"/>
            <w:shd w:val="clear" w:color="auto" w:fill="auto"/>
            <w:vAlign w:val="center"/>
          </w:tcPr>
          <w:p w14:paraId="0DEB8B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5824C0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 w14:paraId="101530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8AA89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61CBC1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 w14:paraId="723927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547F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3" w:type="dxa"/>
            <w:gridSpan w:val="3"/>
            <w:vMerge w:val="continue"/>
            <w:shd w:val="clear" w:color="auto" w:fill="auto"/>
            <w:vAlign w:val="center"/>
          </w:tcPr>
          <w:p w14:paraId="3D74C9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2352" w:type="dxa"/>
            <w:vMerge w:val="continue"/>
            <w:shd w:val="clear" w:color="auto" w:fill="auto"/>
            <w:vAlign w:val="center"/>
          </w:tcPr>
          <w:p w14:paraId="1000BF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032" w:type="dxa"/>
            <w:vMerge w:val="continue"/>
            <w:shd w:val="clear" w:color="auto" w:fill="auto"/>
            <w:vAlign w:val="center"/>
          </w:tcPr>
          <w:p w14:paraId="33E448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2A5C2C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 w14:paraId="5E6DAD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A50A6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521201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 w14:paraId="22F9E9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4956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3" w:type="dxa"/>
            <w:gridSpan w:val="3"/>
            <w:vMerge w:val="continue"/>
            <w:shd w:val="clear" w:color="auto" w:fill="auto"/>
            <w:vAlign w:val="center"/>
          </w:tcPr>
          <w:p w14:paraId="706953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2352" w:type="dxa"/>
            <w:vMerge w:val="continue"/>
            <w:shd w:val="clear" w:color="auto" w:fill="auto"/>
            <w:vAlign w:val="center"/>
          </w:tcPr>
          <w:p w14:paraId="0712E7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032" w:type="dxa"/>
            <w:vMerge w:val="continue"/>
            <w:shd w:val="clear" w:color="auto" w:fill="auto"/>
            <w:vAlign w:val="center"/>
          </w:tcPr>
          <w:p w14:paraId="6720B3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31539B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 w14:paraId="4FE995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3DA5C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 w14:paraId="36508C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 w14:paraId="56D396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65B9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67" w:type="dxa"/>
            <w:vMerge w:val="restart"/>
            <w:shd w:val="clear" w:color="auto" w:fill="auto"/>
            <w:vAlign w:val="center"/>
          </w:tcPr>
          <w:p w14:paraId="4C5D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类</w:t>
            </w:r>
          </w:p>
        </w:tc>
        <w:tc>
          <w:tcPr>
            <w:tcW w:w="372" w:type="dxa"/>
            <w:vMerge w:val="restart"/>
            <w:shd w:val="clear" w:color="auto" w:fill="auto"/>
            <w:vAlign w:val="center"/>
          </w:tcPr>
          <w:p w14:paraId="392A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款</w:t>
            </w:r>
          </w:p>
        </w:tc>
        <w:tc>
          <w:tcPr>
            <w:tcW w:w="384" w:type="dxa"/>
            <w:vMerge w:val="restart"/>
            <w:shd w:val="clear" w:color="auto" w:fill="auto"/>
            <w:vAlign w:val="center"/>
          </w:tcPr>
          <w:p w14:paraId="1C25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项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621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栏次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681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685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C97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197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6D92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914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6</w:t>
            </w:r>
          </w:p>
        </w:tc>
      </w:tr>
      <w:tr w14:paraId="4A477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67" w:type="dxa"/>
            <w:vMerge w:val="continue"/>
            <w:shd w:val="clear" w:color="auto" w:fill="auto"/>
            <w:vAlign w:val="center"/>
          </w:tcPr>
          <w:p w14:paraId="2F3B6C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72" w:type="dxa"/>
            <w:vMerge w:val="continue"/>
            <w:shd w:val="clear" w:color="auto" w:fill="auto"/>
            <w:vAlign w:val="center"/>
          </w:tcPr>
          <w:p w14:paraId="6A6224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84" w:type="dxa"/>
            <w:vMerge w:val="continue"/>
            <w:shd w:val="clear" w:color="auto" w:fill="auto"/>
            <w:vAlign w:val="center"/>
          </w:tcPr>
          <w:p w14:paraId="65EB29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6345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合计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DBA3D7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8153.04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794ED6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7648.98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3BB74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504.06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70340F6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6090BE9F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6C4F474C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312E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23" w:type="dxa"/>
            <w:gridSpan w:val="3"/>
            <w:shd w:val="clear" w:color="auto" w:fill="auto"/>
            <w:vAlign w:val="center"/>
          </w:tcPr>
          <w:p w14:paraId="59F58066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2050202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45143A99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小学教育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89ABDE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7639.54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D4A982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7135.48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271FBE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504.06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99BA81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2B7C171D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79555268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0002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23" w:type="dxa"/>
            <w:gridSpan w:val="3"/>
            <w:shd w:val="clear" w:color="auto" w:fill="auto"/>
            <w:vAlign w:val="center"/>
          </w:tcPr>
          <w:p w14:paraId="46920A68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2080505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4B9F23F5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机关事业单位基本养老保险缴费支出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47DC84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465.50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C039E4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465.50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2EB06E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33243DE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384D9999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7179A1AC"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26BDA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23" w:type="dxa"/>
            <w:gridSpan w:val="3"/>
            <w:shd w:val="clear" w:color="auto" w:fill="auto"/>
            <w:vAlign w:val="center"/>
          </w:tcPr>
          <w:p w14:paraId="796752A4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2080506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4AB06746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机关事业单位职业年金缴费支出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213C08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48.00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229852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48.00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85532E2">
            <w:pPr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2AC265B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74BFA2E5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2226939A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</w:tbl>
    <w:p w14:paraId="23820338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注：本表反映部门本年度各项支出情况。</w:t>
      </w:r>
    </w:p>
    <w:p w14:paraId="14F21CE8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br w:type="page"/>
      </w:r>
    </w:p>
    <w:p w14:paraId="268A56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年度财政拨款收入支出决算总表</w:t>
      </w:r>
    </w:p>
    <w:p w14:paraId="247B8013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公开04表</w:t>
      </w:r>
    </w:p>
    <w:p w14:paraId="3F0D2FFF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武汉市光谷第一小学</w:t>
      </w:r>
      <w:r>
        <w:rPr>
          <w:rFonts w:hint="default" w:ascii="Times New Roman" w:hAnsi="Times New Roman" w:eastAsia="微软雅黑" w:cs="Times New Roman"/>
          <w:sz w:val="16"/>
          <w:szCs w:val="16"/>
          <w:u w:val="none" w:color="auto"/>
        </w:rPr>
        <w:t xml:space="preserve">                 </w:t>
      </w:r>
      <w:r>
        <w:rPr>
          <w:rFonts w:hint="default" w:ascii="Times New Roman" w:hAnsi="Times New Roman" w:eastAsia="微软雅黑" w:cs="Times New Roman"/>
          <w:sz w:val="16"/>
          <w:szCs w:val="16"/>
          <w:u w:val="none" w:color="auto"/>
          <w:lang w:val="en-US" w:eastAsia="zh-CN"/>
        </w:rPr>
        <w:t xml:space="preserve">                     </w:t>
      </w:r>
      <w:r>
        <w:rPr>
          <w:rFonts w:hint="default" w:ascii="Times New Roman" w:hAnsi="Times New Roman" w:eastAsia="微软雅黑" w:cs="Times New Roman"/>
          <w:sz w:val="16"/>
          <w:szCs w:val="16"/>
          <w:u w:val="none" w:color="auto"/>
        </w:rPr>
        <w:t xml:space="preserve">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单位 ：万元</w:t>
      </w:r>
    </w:p>
    <w:tbl>
      <w:tblPr>
        <w:tblStyle w:val="8"/>
        <w:tblW w:w="11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489"/>
        <w:gridCol w:w="909"/>
        <w:gridCol w:w="2216"/>
        <w:gridCol w:w="521"/>
        <w:gridCol w:w="803"/>
        <w:gridCol w:w="1008"/>
        <w:gridCol w:w="1296"/>
        <w:gridCol w:w="1152"/>
      </w:tblGrid>
      <w:tr w14:paraId="50CB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063" w:type="dxa"/>
            <w:gridSpan w:val="3"/>
            <w:shd w:val="clear" w:color="auto" w:fill="auto"/>
            <w:vAlign w:val="center"/>
          </w:tcPr>
          <w:p w14:paraId="706CAB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收     入</w:t>
            </w:r>
          </w:p>
        </w:tc>
        <w:tc>
          <w:tcPr>
            <w:tcW w:w="6996" w:type="dxa"/>
            <w:gridSpan w:val="6"/>
            <w:shd w:val="clear" w:color="auto" w:fill="auto"/>
            <w:vAlign w:val="center"/>
          </w:tcPr>
          <w:p w14:paraId="07F225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支     出</w:t>
            </w:r>
          </w:p>
        </w:tc>
      </w:tr>
      <w:tr w14:paraId="6798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vMerge w:val="restart"/>
            <w:shd w:val="clear" w:color="auto" w:fill="auto"/>
            <w:vAlign w:val="center"/>
          </w:tcPr>
          <w:p w14:paraId="6091B7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项  目</w:t>
            </w:r>
          </w:p>
        </w:tc>
        <w:tc>
          <w:tcPr>
            <w:tcW w:w="489" w:type="dxa"/>
            <w:vMerge w:val="restart"/>
            <w:shd w:val="clear" w:color="auto" w:fill="auto"/>
            <w:vAlign w:val="center"/>
          </w:tcPr>
          <w:p w14:paraId="5F8C41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行次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14:paraId="4F8E17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决算数</w:t>
            </w:r>
          </w:p>
        </w:tc>
        <w:tc>
          <w:tcPr>
            <w:tcW w:w="2216" w:type="dxa"/>
            <w:vMerge w:val="restart"/>
            <w:shd w:val="clear" w:color="auto" w:fill="auto"/>
            <w:vAlign w:val="center"/>
          </w:tcPr>
          <w:p w14:paraId="268C20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项目</w:t>
            </w:r>
          </w:p>
        </w:tc>
        <w:tc>
          <w:tcPr>
            <w:tcW w:w="521" w:type="dxa"/>
            <w:vMerge w:val="restart"/>
            <w:shd w:val="clear" w:color="auto" w:fill="auto"/>
            <w:vAlign w:val="center"/>
          </w:tcPr>
          <w:p w14:paraId="05A3D6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行次</w:t>
            </w:r>
          </w:p>
        </w:tc>
        <w:tc>
          <w:tcPr>
            <w:tcW w:w="4259" w:type="dxa"/>
            <w:gridSpan w:val="4"/>
            <w:shd w:val="clear" w:color="auto" w:fill="auto"/>
            <w:vAlign w:val="center"/>
          </w:tcPr>
          <w:p w14:paraId="6BDA5C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决算数</w:t>
            </w:r>
          </w:p>
        </w:tc>
      </w:tr>
      <w:tr w14:paraId="0882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65" w:type="dxa"/>
            <w:vMerge w:val="continue"/>
            <w:shd w:val="clear" w:color="auto" w:fill="auto"/>
            <w:vAlign w:val="center"/>
          </w:tcPr>
          <w:p w14:paraId="0DA92AE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vMerge w:val="continue"/>
            <w:shd w:val="clear" w:color="auto" w:fill="auto"/>
            <w:vAlign w:val="center"/>
          </w:tcPr>
          <w:p w14:paraId="593674B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909" w:type="dxa"/>
            <w:vMerge w:val="continue"/>
            <w:shd w:val="clear" w:color="auto" w:fill="auto"/>
            <w:vAlign w:val="center"/>
          </w:tcPr>
          <w:p w14:paraId="5E32179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vMerge w:val="continue"/>
            <w:shd w:val="clear" w:color="auto" w:fill="auto"/>
            <w:vAlign w:val="bottom"/>
          </w:tcPr>
          <w:p w14:paraId="5B99AEC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521" w:type="dxa"/>
            <w:vMerge w:val="continue"/>
            <w:shd w:val="clear" w:color="auto" w:fill="auto"/>
            <w:vAlign w:val="center"/>
          </w:tcPr>
          <w:p w14:paraId="6A3DC4A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A63E8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合计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B69D8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一般公共预算财政拨款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48579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政府性基金预算财政拨款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0F100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国有资本经营预算财政拨款</w:t>
            </w:r>
          </w:p>
        </w:tc>
      </w:tr>
      <w:tr w14:paraId="6F9E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055A9A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栏次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3631049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20C7DD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2216" w:type="dxa"/>
            <w:shd w:val="clear" w:color="auto" w:fill="auto"/>
            <w:vAlign w:val="bottom"/>
          </w:tcPr>
          <w:p w14:paraId="3C8CFF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栏次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11791D3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3A0860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2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8E197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3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A4BD4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4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E3D41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5</w:t>
            </w:r>
          </w:p>
        </w:tc>
      </w:tr>
      <w:tr w14:paraId="61D2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0DD730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一、一般公共预算财政拨款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43DEA7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377EF7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  <w:lang w:val="en-US" w:eastAsia="zh-CN"/>
              </w:rPr>
              <w:t>7613.86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0A847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一、一般公共服务支出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06A60D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33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86C48F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16591D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9FBCC3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46216BD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17EE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693522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二、政府性基金预算财政拨款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2E0F57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2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C45D80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2972E4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二、外交支出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19CB74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34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5A97B4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92ACF0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7F09230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45CD93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7D36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220975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三、国有资本经营预算财政拨款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148987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3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4FDF20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6910A3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三、国防支出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7FB596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35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49FBB5B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438673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AE85BD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745573A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078C1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3AA2700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2422BA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4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DE55C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441908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四、公共安全支出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0D261D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36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927AB5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B1E2D6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6FE027C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5258D2F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419D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1F2B54B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13DBEA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5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FDCDDD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2247B3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五、教育支出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6D80C8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37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7677DD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  <w:lang w:val="en-US" w:eastAsia="zh-CN"/>
              </w:rPr>
              <w:t>7100.36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2BCD3B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  <w:lang w:val="en-US" w:eastAsia="zh-CN"/>
              </w:rPr>
              <w:t>7100.36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E67A1C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20EA6C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6736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69DA7EA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3274E5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6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B0B14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5D12D1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六、科学技术支出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2B077C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38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C18E39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33ACD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25DA8D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5C8EB9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3FD2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7080F71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2ADBF1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7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C66D0A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08CBEB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七、文化旅游体育与传媒支出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63751F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39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4EA4B3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F1827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1BAC1C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8C6B43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0868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1234F8A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5F274C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8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1104B4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09F3B3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八、社会保障和就业支出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094634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40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FC057D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  <w:lang w:val="en-US" w:eastAsia="zh-CN"/>
              </w:rPr>
              <w:t>513.50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20CCB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  <w:lang w:val="en-US" w:eastAsia="zh-CN"/>
              </w:rPr>
              <w:t>513.50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CDEA19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9CFA1C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35E6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5C4C396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171A4A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9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DB0734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283307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九、卫生健康支出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1988E2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41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52225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8A07C5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9FFDBE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5208793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2AD5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5CD0C6E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798FB4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10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1C7EC6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2F8BE2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十、节能环保支出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1D2EB0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42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CEFA98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EBA9AE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1A58883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3B5DEE1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646D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4B3E0B5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489D89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11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F97B9B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357FCD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十一、城乡社区支出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640082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43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43AE61A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4D0EC3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B8FD97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A81900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605B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5F3855C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54CC16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12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F65A2B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00EB1D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十二、农林水支出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500C65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44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BF2EBB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B2B94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8F673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564841B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4454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393094E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5CC476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13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9EB3BF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4EC94C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十三、交通运输支出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495AFA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45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482AA6D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247173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6A8CDB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2BF2F8A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60C6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7564A69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797698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14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8F344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2C2471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十四、资源勘探工业信息等支出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400B475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46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40F835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461DB2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71A8F46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7640E1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17B0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02F6A0B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55A621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15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57495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23A577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十五、商业服务业等支出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6779D9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47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0307FB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AC229B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C55D0E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4F23661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17D5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6B69E7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040DB4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16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445FE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7F85D9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十六、金融支出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5342C5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48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16BAFC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94AF2A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62A02C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9FC29A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0CB9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2E195E4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7D61C9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17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DFD89A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457823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十七、援助其他地区支出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2EFA03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49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1C713C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5C4225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EB7E7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570D455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3023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7824564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3A541C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18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3EAAFD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39F40D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十八、自然资源海洋气象等支出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179861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50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4B57E33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1D3F64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74297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D78B9C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61AF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2401AEE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3821D6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19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BFAC1D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068407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十九、住房保障支出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051189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51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0E27B4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638DC7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F9F6B2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40AC6CB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5022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182300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658026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20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EA245D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2EB2F7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二十、粮油物资储备支出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545B69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52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E5B42C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7F90CB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7D86229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5DCE78C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4FE0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712075D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244E93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21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F05598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19C078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二十一、国有资本经营预算支出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0DEAD3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53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2A1409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E7A373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390A2E4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3F8CB40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5E59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10B0F5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37A765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22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E64484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439E17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二十二、灾害防治及应急管理支出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5C8BB6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54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63AA70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B304E9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6501A69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028295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6E55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4D9A5F8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24E75F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23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88689A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164747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二十三、其他支出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78663C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55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459EF5A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B580CC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759CA48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D1155C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509F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5B2FCEE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66C4FA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24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E13E7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6F0D04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二十四、债务还本支出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2F6848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56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9F8CA0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8430B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7332AF9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D0B29E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4C62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4BF04A7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736909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25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5FAB41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148E68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二十五、债务付息支出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1B225D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57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6B10DF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D6B466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0AA45A5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4A911C5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3651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5385298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36EBBA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26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F05BD8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41D107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二十六、抗疫特别国债安排的支出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100A6E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58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48D4340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6336D9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5B066A4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4DB210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3BA4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11591A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本年收入合计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54FDB0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27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38199A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  <w:lang w:val="en-US" w:eastAsia="zh-CN"/>
              </w:rPr>
              <w:t>7613.86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919C7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本年支出合计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09BAA7C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59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F0B6AE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2BBA770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62960B3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084AC45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5CD0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2CBD48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年初财政拨款结转和结余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185F85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28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AD232A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58DC18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年末财政拨款结转和结余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0E8BAE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60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FFAFF6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13AAA4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6144563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42AF0EA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2758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7A77CE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40EA97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29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F15EE0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170B89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B0863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61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64C216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07685E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2BF5D20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11D458A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7EFC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577CB7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7D3605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30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5007C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27FEC58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2373D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62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3E1569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627165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15C977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81C8C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06C8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40F318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239883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31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F92A9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506FB3C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F5355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63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DA0635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CC38EE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4E1D7F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7C9E9D0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  <w:tr w14:paraId="0F3D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665" w:type="dxa"/>
            <w:shd w:val="clear" w:color="auto" w:fill="auto"/>
            <w:vAlign w:val="center"/>
          </w:tcPr>
          <w:p w14:paraId="2B7C94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总计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745BC3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32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AF104D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  <w:lang w:val="en-US" w:eastAsia="zh-CN"/>
              </w:rPr>
              <w:t>7613.86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D9902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总计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1BB2F2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 w:color="auto"/>
                <w:lang w:val="en-US" w:eastAsia="zh-CN" w:bidi="ar"/>
              </w:rPr>
              <w:t>64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02857AF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FEEB9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1E5938F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384D1DC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 w:color="auto"/>
              </w:rPr>
            </w:pPr>
          </w:p>
        </w:tc>
      </w:tr>
    </w:tbl>
    <w:p w14:paraId="136BD8C7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u w:val="none" w:color="auto"/>
          <w:lang w:val="en-US" w:eastAsia="zh-CN" w:bidi="ar-SA"/>
        </w:rPr>
        <w:t>注 ：本表反映部门本年度一般公共预算财政拨款 、政府性基金预算财政拨款和国有资本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u w:val="none" w:color="auto"/>
          <w:lang w:val="en-US" w:eastAsia="zh-CN" w:bidi="ar-SA"/>
        </w:rPr>
        <w:t>经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u w:val="none" w:color="auto"/>
          <w:lang w:val="en-US" w:eastAsia="zh-CN" w:bidi="ar-SA"/>
        </w:rPr>
        <w:t>营预算财政拨款的总收支和年末结转结余情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u w:val="none" w:color="auto"/>
          <w:lang w:val="en-US" w:eastAsia="zh-CN" w:bidi="ar-SA"/>
        </w:rPr>
        <w:t>况。</w:t>
      </w:r>
    </w:p>
    <w:p w14:paraId="21D8D30A">
      <w:pPr>
        <w:pStyle w:val="6"/>
        <w:rPr>
          <w:rFonts w:hint="default"/>
          <w:u w:val="none" w:color="auto"/>
          <w:lang w:val="en-US" w:eastAsia="zh-CN"/>
        </w:rPr>
      </w:pPr>
    </w:p>
    <w:p w14:paraId="22F28C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年度一般公共预算财政拨款支出决算表</w:t>
      </w:r>
    </w:p>
    <w:p w14:paraId="500DE20F">
      <w:pPr>
        <w:pStyle w:val="7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公开05表</w:t>
      </w:r>
    </w:p>
    <w:p w14:paraId="0C058769">
      <w:pPr>
        <w:pStyle w:val="7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武汉市光谷第一小学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       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    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 单位：万元</w:t>
      </w:r>
    </w:p>
    <w:tbl>
      <w:tblPr>
        <w:tblStyle w:val="8"/>
        <w:tblW w:w="915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528"/>
        <w:gridCol w:w="492"/>
        <w:gridCol w:w="3288"/>
        <w:gridCol w:w="1464"/>
        <w:gridCol w:w="1452"/>
        <w:gridCol w:w="1400"/>
      </w:tblGrid>
      <w:tr w14:paraId="66E0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843" w:type="dxa"/>
            <w:gridSpan w:val="4"/>
            <w:shd w:val="clear" w:color="auto" w:fill="auto"/>
            <w:vAlign w:val="center"/>
          </w:tcPr>
          <w:p w14:paraId="7CF5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项   目</w:t>
            </w:r>
          </w:p>
        </w:tc>
        <w:tc>
          <w:tcPr>
            <w:tcW w:w="4316" w:type="dxa"/>
            <w:gridSpan w:val="3"/>
            <w:shd w:val="clear" w:color="auto" w:fill="auto"/>
            <w:vAlign w:val="center"/>
          </w:tcPr>
          <w:p w14:paraId="6E29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本年支出</w:t>
            </w:r>
          </w:p>
        </w:tc>
      </w:tr>
      <w:tr w14:paraId="1A22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555" w:type="dxa"/>
            <w:gridSpan w:val="3"/>
            <w:vMerge w:val="restart"/>
            <w:shd w:val="clear" w:color="auto" w:fill="auto"/>
            <w:vAlign w:val="center"/>
          </w:tcPr>
          <w:p w14:paraId="1549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功能分类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科目编码</w:t>
            </w:r>
          </w:p>
        </w:tc>
        <w:tc>
          <w:tcPr>
            <w:tcW w:w="3288" w:type="dxa"/>
            <w:vMerge w:val="restart"/>
            <w:shd w:val="clear" w:color="auto" w:fill="auto"/>
            <w:vAlign w:val="center"/>
          </w:tcPr>
          <w:p w14:paraId="0B41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科目名称</w:t>
            </w:r>
          </w:p>
        </w:tc>
        <w:tc>
          <w:tcPr>
            <w:tcW w:w="1464" w:type="dxa"/>
            <w:vMerge w:val="restart"/>
            <w:shd w:val="clear" w:color="auto" w:fill="auto"/>
            <w:vAlign w:val="center"/>
          </w:tcPr>
          <w:p w14:paraId="5E1A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小计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14:paraId="4149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基本支出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14:paraId="2EBA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项目支出</w:t>
            </w:r>
          </w:p>
        </w:tc>
      </w:tr>
      <w:tr w14:paraId="2273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55" w:type="dxa"/>
            <w:gridSpan w:val="3"/>
            <w:vMerge w:val="continue"/>
            <w:shd w:val="clear" w:color="auto" w:fill="auto"/>
            <w:vAlign w:val="center"/>
          </w:tcPr>
          <w:p w14:paraId="7FA8E7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288" w:type="dxa"/>
            <w:vMerge w:val="continue"/>
            <w:shd w:val="clear" w:color="auto" w:fill="auto"/>
            <w:vAlign w:val="center"/>
          </w:tcPr>
          <w:p w14:paraId="65B84B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 w14:paraId="30E562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452" w:type="dxa"/>
            <w:vMerge w:val="continue"/>
            <w:shd w:val="clear" w:color="auto" w:fill="auto"/>
            <w:vAlign w:val="center"/>
          </w:tcPr>
          <w:p w14:paraId="7A2FA0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400" w:type="dxa"/>
            <w:vMerge w:val="continue"/>
            <w:shd w:val="clear" w:color="auto" w:fill="auto"/>
            <w:vAlign w:val="center"/>
          </w:tcPr>
          <w:p w14:paraId="424DA5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239B7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555" w:type="dxa"/>
            <w:gridSpan w:val="3"/>
            <w:vMerge w:val="continue"/>
            <w:shd w:val="clear" w:color="auto" w:fill="auto"/>
            <w:vAlign w:val="center"/>
          </w:tcPr>
          <w:p w14:paraId="207A8E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288" w:type="dxa"/>
            <w:vMerge w:val="continue"/>
            <w:shd w:val="clear" w:color="auto" w:fill="auto"/>
            <w:vAlign w:val="center"/>
          </w:tcPr>
          <w:p w14:paraId="071DA6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464" w:type="dxa"/>
            <w:vMerge w:val="continue"/>
            <w:shd w:val="clear" w:color="auto" w:fill="auto"/>
            <w:vAlign w:val="center"/>
          </w:tcPr>
          <w:p w14:paraId="74F1EF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452" w:type="dxa"/>
            <w:vMerge w:val="continue"/>
            <w:shd w:val="clear" w:color="auto" w:fill="auto"/>
            <w:vAlign w:val="center"/>
          </w:tcPr>
          <w:p w14:paraId="65E9BE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1400" w:type="dxa"/>
            <w:vMerge w:val="continue"/>
            <w:shd w:val="clear" w:color="auto" w:fill="auto"/>
            <w:vAlign w:val="center"/>
          </w:tcPr>
          <w:p w14:paraId="3C85A1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1301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4389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类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14:paraId="2B59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款</w:t>
            </w:r>
          </w:p>
        </w:tc>
        <w:tc>
          <w:tcPr>
            <w:tcW w:w="492" w:type="dxa"/>
            <w:vMerge w:val="restart"/>
            <w:shd w:val="clear" w:color="auto" w:fill="auto"/>
            <w:vAlign w:val="center"/>
          </w:tcPr>
          <w:p w14:paraId="0B66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项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4855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栏次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D2A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1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A12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894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</w:t>
            </w:r>
          </w:p>
        </w:tc>
      </w:tr>
      <w:tr w14:paraId="5F15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35" w:type="dxa"/>
            <w:vMerge w:val="continue"/>
            <w:shd w:val="clear" w:color="auto" w:fill="auto"/>
            <w:vAlign w:val="center"/>
          </w:tcPr>
          <w:p w14:paraId="6EF887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528" w:type="dxa"/>
            <w:vMerge w:val="continue"/>
            <w:shd w:val="clear" w:color="auto" w:fill="auto"/>
            <w:vAlign w:val="center"/>
          </w:tcPr>
          <w:p w14:paraId="268759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492" w:type="dxa"/>
            <w:vMerge w:val="continue"/>
            <w:shd w:val="clear" w:color="auto" w:fill="auto"/>
            <w:vAlign w:val="center"/>
          </w:tcPr>
          <w:p w14:paraId="160A8A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14:paraId="4AC1C2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合计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76EC39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7613.86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F24AA2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7299.80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74208A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314.06</w:t>
            </w:r>
          </w:p>
        </w:tc>
      </w:tr>
      <w:tr w14:paraId="4E4B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55" w:type="dxa"/>
            <w:gridSpan w:val="3"/>
            <w:shd w:val="clear" w:color="auto" w:fill="auto"/>
            <w:vAlign w:val="center"/>
          </w:tcPr>
          <w:p w14:paraId="4EA696FD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2050202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738DD469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小学教育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02BBE6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7100.36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0EB8D3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6786.30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7180A9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314.06</w:t>
            </w:r>
          </w:p>
        </w:tc>
      </w:tr>
      <w:tr w14:paraId="2558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55" w:type="dxa"/>
            <w:gridSpan w:val="3"/>
            <w:shd w:val="clear" w:color="auto" w:fill="auto"/>
            <w:vAlign w:val="center"/>
          </w:tcPr>
          <w:p w14:paraId="20E041B8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2080505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75A4F740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机关事业单位基本养老保险缴费支出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89A4D6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465.50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47B7D3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465.50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CB9AC5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  <w:tr w14:paraId="09E0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55" w:type="dxa"/>
            <w:gridSpan w:val="3"/>
            <w:shd w:val="clear" w:color="auto" w:fill="auto"/>
            <w:vAlign w:val="center"/>
          </w:tcPr>
          <w:p w14:paraId="0BD4136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2080506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24B67457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机关事业单位职业年金缴费支出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5BF494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48.00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D6BAB5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  <w:lang w:val="en-US" w:eastAsia="zh-CN"/>
              </w:rPr>
              <w:t>48.00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FAF967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 w:color="auto"/>
              </w:rPr>
            </w:pPr>
          </w:p>
        </w:tc>
      </w:tr>
    </w:tbl>
    <w:p w14:paraId="61656926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注：本表反映部门本年度一般公共预算财政拨款支出情况。 </w:t>
      </w:r>
    </w:p>
    <w:p w14:paraId="212FCC54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br w:type="page"/>
      </w:r>
    </w:p>
    <w:p w14:paraId="228915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年度一般公共预算财政拨款基本支出决算明细表</w:t>
      </w:r>
    </w:p>
    <w:p w14:paraId="7A677106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公开06表</w:t>
      </w:r>
    </w:p>
    <w:p w14:paraId="7EDEC751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武汉市光谷第一小学</w:t>
      </w:r>
      <w:r>
        <w:rPr>
          <w:rFonts w:hint="default" w:ascii="Times New Roman" w:hAnsi="Times New Roman" w:eastAsia="微软雅黑" w:cs="Times New Roman"/>
          <w:spacing w:val="-1"/>
          <w:sz w:val="18"/>
          <w:szCs w:val="18"/>
          <w:u w:val="none" w:color="auto"/>
          <w:lang w:val="en-US" w:eastAsia="zh-CN"/>
        </w:rPr>
        <w:t xml:space="preserve">           </w:t>
      </w:r>
      <w:r>
        <w:rPr>
          <w:rFonts w:hint="eastAsia" w:ascii="Times New Roman" w:hAnsi="Times New Roman" w:eastAsia="微软雅黑" w:cs="Times New Roman"/>
          <w:spacing w:val="-1"/>
          <w:sz w:val="18"/>
          <w:szCs w:val="18"/>
          <w:u w:val="none" w:color="auto"/>
          <w:lang w:val="en-US" w:eastAsia="zh-CN"/>
        </w:rPr>
        <w:t xml:space="preserve">                     </w:t>
      </w:r>
      <w:r>
        <w:rPr>
          <w:rFonts w:hint="default" w:ascii="Times New Roman" w:hAnsi="Times New Roman" w:eastAsia="微软雅黑" w:cs="Times New Roman"/>
          <w:spacing w:val="-1"/>
          <w:sz w:val="18"/>
          <w:szCs w:val="18"/>
          <w:u w:val="none" w:color="auto"/>
          <w:lang w:val="en-US" w:eastAsia="zh-CN"/>
        </w:rPr>
        <w:t xml:space="preserve">             </w:t>
      </w:r>
      <w:r>
        <w:rPr>
          <w:rFonts w:hint="default" w:ascii="Times New Roman" w:hAnsi="Times New Roman" w:eastAsia="微软雅黑" w:cs="Times New Roman"/>
          <w:spacing w:val="-1"/>
          <w:sz w:val="18"/>
          <w:szCs w:val="18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单位： 万元</w:t>
      </w:r>
    </w:p>
    <w:tbl>
      <w:tblPr>
        <w:tblStyle w:val="11"/>
        <w:tblW w:w="10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057"/>
        <w:gridCol w:w="864"/>
        <w:gridCol w:w="768"/>
        <w:gridCol w:w="1524"/>
        <w:gridCol w:w="766"/>
        <w:gridCol w:w="851"/>
        <w:gridCol w:w="2055"/>
        <w:gridCol w:w="948"/>
      </w:tblGrid>
      <w:tr w14:paraId="3D9E9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667" w:type="dxa"/>
            <w:gridSpan w:val="3"/>
            <w:vAlign w:val="center"/>
          </w:tcPr>
          <w:p w14:paraId="23CC4651">
            <w:pPr>
              <w:spacing w:before="80" w:line="177" w:lineRule="auto"/>
              <w:ind w:left="114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pacing w:val="4"/>
                <w:sz w:val="21"/>
                <w:szCs w:val="21"/>
                <w:u w:val="none" w:color="auto"/>
              </w:rPr>
              <w:t>人员经费</w:t>
            </w:r>
          </w:p>
        </w:tc>
        <w:tc>
          <w:tcPr>
            <w:tcW w:w="6912" w:type="dxa"/>
            <w:gridSpan w:val="6"/>
            <w:vAlign w:val="center"/>
          </w:tcPr>
          <w:p w14:paraId="0B8846E8">
            <w:pPr>
              <w:spacing w:before="80" w:line="177" w:lineRule="auto"/>
              <w:ind w:left="2488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pacing w:val="2"/>
                <w:sz w:val="21"/>
                <w:szCs w:val="21"/>
                <w:u w:val="none" w:color="auto"/>
              </w:rPr>
              <w:t>公用经费</w:t>
            </w:r>
          </w:p>
        </w:tc>
      </w:tr>
      <w:tr w14:paraId="108EC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746" w:type="dxa"/>
            <w:vAlign w:val="center"/>
          </w:tcPr>
          <w:p w14:paraId="4BA2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经济分类科目编码</w:t>
            </w:r>
          </w:p>
        </w:tc>
        <w:tc>
          <w:tcPr>
            <w:tcW w:w="2057" w:type="dxa"/>
            <w:vAlign w:val="center"/>
          </w:tcPr>
          <w:p w14:paraId="5A5A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科目名称</w:t>
            </w:r>
          </w:p>
        </w:tc>
        <w:tc>
          <w:tcPr>
            <w:tcW w:w="864" w:type="dxa"/>
            <w:vAlign w:val="center"/>
          </w:tcPr>
          <w:p w14:paraId="5359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决算数</w:t>
            </w:r>
          </w:p>
        </w:tc>
        <w:tc>
          <w:tcPr>
            <w:tcW w:w="768" w:type="dxa"/>
            <w:vAlign w:val="center"/>
          </w:tcPr>
          <w:p w14:paraId="0DEF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经济分</w:t>
            </w:r>
          </w:p>
          <w:p w14:paraId="2F6B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类科目</w:t>
            </w:r>
          </w:p>
          <w:p w14:paraId="3827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编码</w:t>
            </w:r>
          </w:p>
        </w:tc>
        <w:tc>
          <w:tcPr>
            <w:tcW w:w="1524" w:type="dxa"/>
            <w:vAlign w:val="center"/>
          </w:tcPr>
          <w:p w14:paraId="019F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科目名称</w:t>
            </w:r>
          </w:p>
        </w:tc>
        <w:tc>
          <w:tcPr>
            <w:tcW w:w="766" w:type="dxa"/>
            <w:vAlign w:val="center"/>
          </w:tcPr>
          <w:p w14:paraId="77E8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决算 数</w:t>
            </w:r>
          </w:p>
        </w:tc>
        <w:tc>
          <w:tcPr>
            <w:tcW w:w="851" w:type="dxa"/>
            <w:vAlign w:val="center"/>
          </w:tcPr>
          <w:p w14:paraId="5D77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经济分</w:t>
            </w:r>
          </w:p>
          <w:p w14:paraId="74CB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类科目</w:t>
            </w:r>
          </w:p>
          <w:p w14:paraId="166F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编码</w:t>
            </w:r>
          </w:p>
        </w:tc>
        <w:tc>
          <w:tcPr>
            <w:tcW w:w="2055" w:type="dxa"/>
            <w:vAlign w:val="center"/>
          </w:tcPr>
          <w:p w14:paraId="12BF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科目名称</w:t>
            </w:r>
          </w:p>
        </w:tc>
        <w:tc>
          <w:tcPr>
            <w:tcW w:w="948" w:type="dxa"/>
            <w:vAlign w:val="center"/>
          </w:tcPr>
          <w:p w14:paraId="5ADE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决算数</w:t>
            </w:r>
          </w:p>
        </w:tc>
      </w:tr>
      <w:tr w14:paraId="4FB57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 w14:paraId="4D2BD5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301</w:t>
            </w:r>
          </w:p>
        </w:tc>
        <w:tc>
          <w:tcPr>
            <w:tcW w:w="2057" w:type="dxa"/>
            <w:vAlign w:val="center"/>
          </w:tcPr>
          <w:p w14:paraId="64D5C1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工资福利支出</w:t>
            </w:r>
          </w:p>
        </w:tc>
        <w:tc>
          <w:tcPr>
            <w:tcW w:w="864" w:type="dxa"/>
            <w:vAlign w:val="center"/>
          </w:tcPr>
          <w:p w14:paraId="637187D3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6290.83</w:t>
            </w:r>
          </w:p>
        </w:tc>
        <w:tc>
          <w:tcPr>
            <w:tcW w:w="768" w:type="dxa"/>
            <w:vAlign w:val="center"/>
          </w:tcPr>
          <w:p w14:paraId="2DCE8C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</w:t>
            </w:r>
          </w:p>
        </w:tc>
        <w:tc>
          <w:tcPr>
            <w:tcW w:w="1524" w:type="dxa"/>
            <w:vAlign w:val="center"/>
          </w:tcPr>
          <w:p w14:paraId="72E5B2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商品和服务支出</w:t>
            </w:r>
          </w:p>
        </w:tc>
        <w:tc>
          <w:tcPr>
            <w:tcW w:w="766" w:type="dxa"/>
            <w:vAlign w:val="center"/>
          </w:tcPr>
          <w:p w14:paraId="6F07558D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666.25</w:t>
            </w:r>
          </w:p>
        </w:tc>
        <w:tc>
          <w:tcPr>
            <w:tcW w:w="851" w:type="dxa"/>
            <w:vAlign w:val="center"/>
          </w:tcPr>
          <w:p w14:paraId="32B638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310</w:t>
            </w:r>
          </w:p>
        </w:tc>
        <w:tc>
          <w:tcPr>
            <w:tcW w:w="2055" w:type="dxa"/>
            <w:vAlign w:val="center"/>
          </w:tcPr>
          <w:p w14:paraId="5B0B4D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资本性支出</w:t>
            </w:r>
          </w:p>
        </w:tc>
        <w:tc>
          <w:tcPr>
            <w:tcW w:w="948" w:type="dxa"/>
            <w:vAlign w:val="center"/>
          </w:tcPr>
          <w:p w14:paraId="01D0F777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71EF3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 w14:paraId="5A6FA9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30101</w:t>
            </w:r>
          </w:p>
        </w:tc>
        <w:tc>
          <w:tcPr>
            <w:tcW w:w="2057" w:type="dxa"/>
            <w:vAlign w:val="center"/>
          </w:tcPr>
          <w:p w14:paraId="7AF21C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基本工资</w:t>
            </w:r>
          </w:p>
        </w:tc>
        <w:tc>
          <w:tcPr>
            <w:tcW w:w="864" w:type="dxa"/>
            <w:vAlign w:val="center"/>
          </w:tcPr>
          <w:p w14:paraId="17712C81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1089.90</w:t>
            </w:r>
          </w:p>
        </w:tc>
        <w:tc>
          <w:tcPr>
            <w:tcW w:w="768" w:type="dxa"/>
            <w:vAlign w:val="center"/>
          </w:tcPr>
          <w:p w14:paraId="488006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30201</w:t>
            </w:r>
          </w:p>
        </w:tc>
        <w:tc>
          <w:tcPr>
            <w:tcW w:w="1524" w:type="dxa"/>
            <w:vAlign w:val="center"/>
          </w:tcPr>
          <w:p w14:paraId="554865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办公费</w:t>
            </w:r>
          </w:p>
        </w:tc>
        <w:tc>
          <w:tcPr>
            <w:tcW w:w="766" w:type="dxa"/>
            <w:vAlign w:val="center"/>
          </w:tcPr>
          <w:p w14:paraId="1785490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35.89</w:t>
            </w:r>
          </w:p>
        </w:tc>
        <w:tc>
          <w:tcPr>
            <w:tcW w:w="851" w:type="dxa"/>
            <w:vAlign w:val="center"/>
          </w:tcPr>
          <w:p w14:paraId="57C7E1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31002</w:t>
            </w:r>
          </w:p>
        </w:tc>
        <w:tc>
          <w:tcPr>
            <w:tcW w:w="2055" w:type="dxa"/>
            <w:vAlign w:val="center"/>
          </w:tcPr>
          <w:p w14:paraId="2F98AE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办公设备购置</w:t>
            </w:r>
          </w:p>
        </w:tc>
        <w:tc>
          <w:tcPr>
            <w:tcW w:w="948" w:type="dxa"/>
            <w:vAlign w:val="center"/>
          </w:tcPr>
          <w:p w14:paraId="474401DF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38D8D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 w14:paraId="0D2EE9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30102</w:t>
            </w:r>
          </w:p>
        </w:tc>
        <w:tc>
          <w:tcPr>
            <w:tcW w:w="2057" w:type="dxa"/>
            <w:vAlign w:val="center"/>
          </w:tcPr>
          <w:p w14:paraId="0F16F4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津贴补贴</w:t>
            </w:r>
          </w:p>
        </w:tc>
        <w:tc>
          <w:tcPr>
            <w:tcW w:w="864" w:type="dxa"/>
            <w:vAlign w:val="center"/>
          </w:tcPr>
          <w:p w14:paraId="102E2F0B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263.82</w:t>
            </w:r>
          </w:p>
        </w:tc>
        <w:tc>
          <w:tcPr>
            <w:tcW w:w="768" w:type="dxa"/>
            <w:vAlign w:val="center"/>
          </w:tcPr>
          <w:p w14:paraId="5E32CE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30202</w:t>
            </w:r>
          </w:p>
        </w:tc>
        <w:tc>
          <w:tcPr>
            <w:tcW w:w="1524" w:type="dxa"/>
            <w:vAlign w:val="center"/>
          </w:tcPr>
          <w:p w14:paraId="191ECE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印刷费</w:t>
            </w:r>
          </w:p>
        </w:tc>
        <w:tc>
          <w:tcPr>
            <w:tcW w:w="766" w:type="dxa"/>
            <w:vAlign w:val="center"/>
          </w:tcPr>
          <w:p w14:paraId="2F8F432A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59.98</w:t>
            </w:r>
          </w:p>
        </w:tc>
        <w:tc>
          <w:tcPr>
            <w:tcW w:w="851" w:type="dxa"/>
            <w:vAlign w:val="center"/>
          </w:tcPr>
          <w:p w14:paraId="081801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31003</w:t>
            </w:r>
          </w:p>
        </w:tc>
        <w:tc>
          <w:tcPr>
            <w:tcW w:w="2055" w:type="dxa"/>
            <w:vAlign w:val="center"/>
          </w:tcPr>
          <w:p w14:paraId="5415EC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专用设备购置</w:t>
            </w:r>
          </w:p>
        </w:tc>
        <w:tc>
          <w:tcPr>
            <w:tcW w:w="948" w:type="dxa"/>
            <w:vAlign w:val="center"/>
          </w:tcPr>
          <w:p w14:paraId="61C05EFB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0ECDA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46" w:type="dxa"/>
            <w:vAlign w:val="center"/>
          </w:tcPr>
          <w:p w14:paraId="4FB3A9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30103</w:t>
            </w:r>
          </w:p>
        </w:tc>
        <w:tc>
          <w:tcPr>
            <w:tcW w:w="2057" w:type="dxa"/>
            <w:vAlign w:val="center"/>
          </w:tcPr>
          <w:p w14:paraId="754A33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奖金</w:t>
            </w:r>
          </w:p>
        </w:tc>
        <w:tc>
          <w:tcPr>
            <w:tcW w:w="864" w:type="dxa"/>
            <w:vAlign w:val="center"/>
          </w:tcPr>
          <w:p w14:paraId="6E8EF6E6">
            <w:pPr>
              <w:pStyle w:val="12"/>
              <w:spacing w:line="2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768" w:type="dxa"/>
            <w:vAlign w:val="center"/>
          </w:tcPr>
          <w:p w14:paraId="70612A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30203</w:t>
            </w:r>
          </w:p>
        </w:tc>
        <w:tc>
          <w:tcPr>
            <w:tcW w:w="1524" w:type="dxa"/>
            <w:vAlign w:val="center"/>
          </w:tcPr>
          <w:p w14:paraId="01BBDB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咨询费</w:t>
            </w:r>
          </w:p>
        </w:tc>
        <w:tc>
          <w:tcPr>
            <w:tcW w:w="766" w:type="dxa"/>
            <w:vAlign w:val="center"/>
          </w:tcPr>
          <w:p w14:paraId="2DC6F4D6">
            <w:pPr>
              <w:pStyle w:val="12"/>
              <w:spacing w:line="2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851" w:type="dxa"/>
            <w:vAlign w:val="center"/>
          </w:tcPr>
          <w:p w14:paraId="688A05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31007</w:t>
            </w:r>
          </w:p>
        </w:tc>
        <w:tc>
          <w:tcPr>
            <w:tcW w:w="2055" w:type="dxa"/>
            <w:vAlign w:val="center"/>
          </w:tcPr>
          <w:p w14:paraId="1C1F8E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信息网络及软件购置更新</w:t>
            </w:r>
          </w:p>
        </w:tc>
        <w:tc>
          <w:tcPr>
            <w:tcW w:w="948" w:type="dxa"/>
            <w:vAlign w:val="center"/>
          </w:tcPr>
          <w:p w14:paraId="5D124423">
            <w:pPr>
              <w:pStyle w:val="12"/>
              <w:spacing w:line="20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28C94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 w14:paraId="7DC3EE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30106</w:t>
            </w:r>
          </w:p>
        </w:tc>
        <w:tc>
          <w:tcPr>
            <w:tcW w:w="2057" w:type="dxa"/>
            <w:vAlign w:val="center"/>
          </w:tcPr>
          <w:p w14:paraId="210EE3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伙食补助费</w:t>
            </w:r>
          </w:p>
        </w:tc>
        <w:tc>
          <w:tcPr>
            <w:tcW w:w="864" w:type="dxa"/>
            <w:vAlign w:val="center"/>
          </w:tcPr>
          <w:p w14:paraId="588D53D1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768" w:type="dxa"/>
            <w:vAlign w:val="center"/>
          </w:tcPr>
          <w:p w14:paraId="6ADA88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30204</w:t>
            </w:r>
          </w:p>
        </w:tc>
        <w:tc>
          <w:tcPr>
            <w:tcW w:w="1524" w:type="dxa"/>
            <w:vAlign w:val="center"/>
          </w:tcPr>
          <w:p w14:paraId="5D7A7D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手续费</w:t>
            </w:r>
          </w:p>
        </w:tc>
        <w:tc>
          <w:tcPr>
            <w:tcW w:w="766" w:type="dxa"/>
            <w:vAlign w:val="center"/>
          </w:tcPr>
          <w:p w14:paraId="2F422D39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851" w:type="dxa"/>
            <w:vAlign w:val="center"/>
          </w:tcPr>
          <w:p w14:paraId="6E5143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31013</w:t>
            </w:r>
          </w:p>
        </w:tc>
        <w:tc>
          <w:tcPr>
            <w:tcW w:w="2055" w:type="dxa"/>
            <w:vAlign w:val="center"/>
          </w:tcPr>
          <w:p w14:paraId="178C35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公务用车购置</w:t>
            </w:r>
          </w:p>
        </w:tc>
        <w:tc>
          <w:tcPr>
            <w:tcW w:w="948" w:type="dxa"/>
            <w:vAlign w:val="center"/>
          </w:tcPr>
          <w:p w14:paraId="5A7250C4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44B8F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746" w:type="dxa"/>
            <w:vAlign w:val="center"/>
          </w:tcPr>
          <w:p w14:paraId="28A243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30107</w:t>
            </w:r>
          </w:p>
        </w:tc>
        <w:tc>
          <w:tcPr>
            <w:tcW w:w="2057" w:type="dxa"/>
            <w:vAlign w:val="center"/>
          </w:tcPr>
          <w:p w14:paraId="42FA2C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绩效工资</w:t>
            </w:r>
          </w:p>
        </w:tc>
        <w:tc>
          <w:tcPr>
            <w:tcW w:w="864" w:type="dxa"/>
            <w:vAlign w:val="center"/>
          </w:tcPr>
          <w:p w14:paraId="19515E09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3536.48</w:t>
            </w:r>
          </w:p>
        </w:tc>
        <w:tc>
          <w:tcPr>
            <w:tcW w:w="768" w:type="dxa"/>
            <w:vAlign w:val="center"/>
          </w:tcPr>
          <w:p w14:paraId="270956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30205</w:t>
            </w:r>
          </w:p>
        </w:tc>
        <w:tc>
          <w:tcPr>
            <w:tcW w:w="1524" w:type="dxa"/>
            <w:vAlign w:val="center"/>
          </w:tcPr>
          <w:p w14:paraId="5677F0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水费</w:t>
            </w:r>
          </w:p>
        </w:tc>
        <w:tc>
          <w:tcPr>
            <w:tcW w:w="766" w:type="dxa"/>
            <w:vAlign w:val="center"/>
          </w:tcPr>
          <w:p w14:paraId="6F714FBA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7.27</w:t>
            </w:r>
          </w:p>
        </w:tc>
        <w:tc>
          <w:tcPr>
            <w:tcW w:w="851" w:type="dxa"/>
            <w:vAlign w:val="center"/>
          </w:tcPr>
          <w:p w14:paraId="0939E8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31021</w:t>
            </w:r>
          </w:p>
        </w:tc>
        <w:tc>
          <w:tcPr>
            <w:tcW w:w="2055" w:type="dxa"/>
            <w:vAlign w:val="center"/>
          </w:tcPr>
          <w:p w14:paraId="5F0FCB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文物和陈列品购置</w:t>
            </w:r>
          </w:p>
        </w:tc>
        <w:tc>
          <w:tcPr>
            <w:tcW w:w="948" w:type="dxa"/>
            <w:vAlign w:val="center"/>
          </w:tcPr>
          <w:p w14:paraId="11345439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704F7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46" w:type="dxa"/>
            <w:vAlign w:val="center"/>
          </w:tcPr>
          <w:p w14:paraId="30CF28C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30108</w:t>
            </w:r>
          </w:p>
        </w:tc>
        <w:tc>
          <w:tcPr>
            <w:tcW w:w="2057" w:type="dxa"/>
            <w:vAlign w:val="center"/>
          </w:tcPr>
          <w:p w14:paraId="3CB07B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机关事业单位基本养老保险缴费</w:t>
            </w:r>
          </w:p>
        </w:tc>
        <w:tc>
          <w:tcPr>
            <w:tcW w:w="864" w:type="dxa"/>
            <w:vAlign w:val="center"/>
          </w:tcPr>
          <w:p w14:paraId="6C622FC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473.97</w:t>
            </w:r>
          </w:p>
        </w:tc>
        <w:tc>
          <w:tcPr>
            <w:tcW w:w="768" w:type="dxa"/>
            <w:vAlign w:val="center"/>
          </w:tcPr>
          <w:p w14:paraId="347E1B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30206</w:t>
            </w:r>
          </w:p>
        </w:tc>
        <w:tc>
          <w:tcPr>
            <w:tcW w:w="1524" w:type="dxa"/>
            <w:vAlign w:val="center"/>
          </w:tcPr>
          <w:p w14:paraId="51A8B7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电费</w:t>
            </w:r>
          </w:p>
        </w:tc>
        <w:tc>
          <w:tcPr>
            <w:tcW w:w="766" w:type="dxa"/>
            <w:vAlign w:val="center"/>
          </w:tcPr>
          <w:p w14:paraId="0E255F01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22.95</w:t>
            </w:r>
          </w:p>
        </w:tc>
        <w:tc>
          <w:tcPr>
            <w:tcW w:w="851" w:type="dxa"/>
            <w:vAlign w:val="center"/>
          </w:tcPr>
          <w:p w14:paraId="09CDBB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31022</w:t>
            </w:r>
          </w:p>
        </w:tc>
        <w:tc>
          <w:tcPr>
            <w:tcW w:w="2055" w:type="dxa"/>
            <w:vAlign w:val="center"/>
          </w:tcPr>
          <w:p w14:paraId="2F396D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无形资产购置</w:t>
            </w:r>
          </w:p>
        </w:tc>
        <w:tc>
          <w:tcPr>
            <w:tcW w:w="948" w:type="dxa"/>
            <w:vAlign w:val="center"/>
          </w:tcPr>
          <w:p w14:paraId="6EF97467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6987F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 w14:paraId="3B2BAB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30109</w:t>
            </w:r>
          </w:p>
        </w:tc>
        <w:tc>
          <w:tcPr>
            <w:tcW w:w="2057" w:type="dxa"/>
            <w:vAlign w:val="center"/>
          </w:tcPr>
          <w:p w14:paraId="5D21E8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职业年金缴费</w:t>
            </w:r>
          </w:p>
        </w:tc>
        <w:tc>
          <w:tcPr>
            <w:tcW w:w="864" w:type="dxa"/>
            <w:vAlign w:val="center"/>
          </w:tcPr>
          <w:p w14:paraId="63A49AD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31.99</w:t>
            </w:r>
          </w:p>
        </w:tc>
        <w:tc>
          <w:tcPr>
            <w:tcW w:w="768" w:type="dxa"/>
            <w:vAlign w:val="center"/>
          </w:tcPr>
          <w:p w14:paraId="77A5B2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30207</w:t>
            </w:r>
          </w:p>
        </w:tc>
        <w:tc>
          <w:tcPr>
            <w:tcW w:w="1524" w:type="dxa"/>
            <w:vAlign w:val="center"/>
          </w:tcPr>
          <w:p w14:paraId="63C188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邮电费</w:t>
            </w:r>
          </w:p>
        </w:tc>
        <w:tc>
          <w:tcPr>
            <w:tcW w:w="766" w:type="dxa"/>
            <w:vAlign w:val="center"/>
          </w:tcPr>
          <w:p w14:paraId="203247CC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1.97</w:t>
            </w:r>
          </w:p>
        </w:tc>
        <w:tc>
          <w:tcPr>
            <w:tcW w:w="851" w:type="dxa"/>
            <w:vAlign w:val="center"/>
          </w:tcPr>
          <w:p w14:paraId="25FE91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31099</w:t>
            </w:r>
          </w:p>
        </w:tc>
        <w:tc>
          <w:tcPr>
            <w:tcW w:w="2055" w:type="dxa"/>
            <w:vAlign w:val="center"/>
          </w:tcPr>
          <w:p w14:paraId="761B66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其他资本性支出</w:t>
            </w:r>
          </w:p>
        </w:tc>
        <w:tc>
          <w:tcPr>
            <w:tcW w:w="948" w:type="dxa"/>
            <w:vAlign w:val="center"/>
          </w:tcPr>
          <w:p w14:paraId="66DDA06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71418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746" w:type="dxa"/>
            <w:vAlign w:val="center"/>
          </w:tcPr>
          <w:p w14:paraId="58D2F0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30110</w:t>
            </w:r>
          </w:p>
        </w:tc>
        <w:tc>
          <w:tcPr>
            <w:tcW w:w="2057" w:type="dxa"/>
            <w:vAlign w:val="center"/>
          </w:tcPr>
          <w:p w14:paraId="6D15DA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职工基本医疗保险缴费</w:t>
            </w:r>
          </w:p>
        </w:tc>
        <w:tc>
          <w:tcPr>
            <w:tcW w:w="864" w:type="dxa"/>
            <w:vAlign w:val="center"/>
          </w:tcPr>
          <w:p w14:paraId="3CAD416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288.55</w:t>
            </w:r>
          </w:p>
        </w:tc>
        <w:tc>
          <w:tcPr>
            <w:tcW w:w="768" w:type="dxa"/>
            <w:vAlign w:val="center"/>
          </w:tcPr>
          <w:p w14:paraId="108295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30208</w:t>
            </w:r>
          </w:p>
        </w:tc>
        <w:tc>
          <w:tcPr>
            <w:tcW w:w="1524" w:type="dxa"/>
            <w:vAlign w:val="center"/>
          </w:tcPr>
          <w:p w14:paraId="389F1A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取暖费</w:t>
            </w:r>
          </w:p>
        </w:tc>
        <w:tc>
          <w:tcPr>
            <w:tcW w:w="766" w:type="dxa"/>
            <w:vAlign w:val="center"/>
          </w:tcPr>
          <w:p w14:paraId="0B372F4F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851" w:type="dxa"/>
            <w:vAlign w:val="center"/>
          </w:tcPr>
          <w:p w14:paraId="195A387A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055" w:type="dxa"/>
            <w:vAlign w:val="center"/>
          </w:tcPr>
          <w:p w14:paraId="1A8ED39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948" w:type="dxa"/>
            <w:vAlign w:val="center"/>
          </w:tcPr>
          <w:p w14:paraId="52880384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656A6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46" w:type="dxa"/>
            <w:vAlign w:val="center"/>
          </w:tcPr>
          <w:p w14:paraId="13CB5C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30111</w:t>
            </w:r>
          </w:p>
        </w:tc>
        <w:tc>
          <w:tcPr>
            <w:tcW w:w="2057" w:type="dxa"/>
            <w:vAlign w:val="center"/>
          </w:tcPr>
          <w:p w14:paraId="075D45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公务员医疗补助缴费</w:t>
            </w:r>
          </w:p>
        </w:tc>
        <w:tc>
          <w:tcPr>
            <w:tcW w:w="864" w:type="dxa"/>
            <w:vAlign w:val="center"/>
          </w:tcPr>
          <w:p w14:paraId="7BFBFDE7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103.29</w:t>
            </w:r>
          </w:p>
        </w:tc>
        <w:tc>
          <w:tcPr>
            <w:tcW w:w="768" w:type="dxa"/>
            <w:vAlign w:val="center"/>
          </w:tcPr>
          <w:p w14:paraId="6A5468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30209</w:t>
            </w:r>
          </w:p>
        </w:tc>
        <w:tc>
          <w:tcPr>
            <w:tcW w:w="1524" w:type="dxa"/>
            <w:vAlign w:val="center"/>
          </w:tcPr>
          <w:p w14:paraId="0D67ED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物业管理费</w:t>
            </w:r>
          </w:p>
        </w:tc>
        <w:tc>
          <w:tcPr>
            <w:tcW w:w="766" w:type="dxa"/>
            <w:vAlign w:val="center"/>
          </w:tcPr>
          <w:p w14:paraId="67EE253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59.26</w:t>
            </w:r>
          </w:p>
        </w:tc>
        <w:tc>
          <w:tcPr>
            <w:tcW w:w="851" w:type="dxa"/>
            <w:vAlign w:val="center"/>
          </w:tcPr>
          <w:p w14:paraId="389A536F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055" w:type="dxa"/>
            <w:vAlign w:val="center"/>
          </w:tcPr>
          <w:p w14:paraId="11556D2B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948" w:type="dxa"/>
            <w:vAlign w:val="center"/>
          </w:tcPr>
          <w:p w14:paraId="0D1E0313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0EAA4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 w14:paraId="7EF2EB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30112</w:t>
            </w:r>
          </w:p>
        </w:tc>
        <w:tc>
          <w:tcPr>
            <w:tcW w:w="2057" w:type="dxa"/>
            <w:vAlign w:val="center"/>
          </w:tcPr>
          <w:p w14:paraId="6B7ABD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其他社会保障缴费</w:t>
            </w:r>
          </w:p>
        </w:tc>
        <w:tc>
          <w:tcPr>
            <w:tcW w:w="864" w:type="dxa"/>
            <w:vAlign w:val="center"/>
          </w:tcPr>
          <w:p w14:paraId="51E84FAB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28.58</w:t>
            </w:r>
          </w:p>
        </w:tc>
        <w:tc>
          <w:tcPr>
            <w:tcW w:w="768" w:type="dxa"/>
            <w:vAlign w:val="center"/>
          </w:tcPr>
          <w:p w14:paraId="625DA7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30211</w:t>
            </w:r>
          </w:p>
        </w:tc>
        <w:tc>
          <w:tcPr>
            <w:tcW w:w="1524" w:type="dxa"/>
            <w:vAlign w:val="center"/>
          </w:tcPr>
          <w:p w14:paraId="0DB440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差旅费</w:t>
            </w:r>
          </w:p>
        </w:tc>
        <w:tc>
          <w:tcPr>
            <w:tcW w:w="766" w:type="dxa"/>
            <w:vAlign w:val="center"/>
          </w:tcPr>
          <w:p w14:paraId="4D22B7C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3.69</w:t>
            </w:r>
          </w:p>
        </w:tc>
        <w:tc>
          <w:tcPr>
            <w:tcW w:w="851" w:type="dxa"/>
            <w:vAlign w:val="center"/>
          </w:tcPr>
          <w:p w14:paraId="48008B38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055" w:type="dxa"/>
            <w:vAlign w:val="center"/>
          </w:tcPr>
          <w:p w14:paraId="28B6F5B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948" w:type="dxa"/>
            <w:vAlign w:val="center"/>
          </w:tcPr>
          <w:p w14:paraId="5252B9A3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1D1FE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46" w:type="dxa"/>
            <w:vAlign w:val="center"/>
          </w:tcPr>
          <w:p w14:paraId="238A13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30113</w:t>
            </w:r>
          </w:p>
        </w:tc>
        <w:tc>
          <w:tcPr>
            <w:tcW w:w="2057" w:type="dxa"/>
            <w:vAlign w:val="center"/>
          </w:tcPr>
          <w:p w14:paraId="57AA9D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住房公积金</w:t>
            </w:r>
          </w:p>
        </w:tc>
        <w:tc>
          <w:tcPr>
            <w:tcW w:w="864" w:type="dxa"/>
            <w:vAlign w:val="center"/>
          </w:tcPr>
          <w:p w14:paraId="4455303A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474.25</w:t>
            </w:r>
          </w:p>
        </w:tc>
        <w:tc>
          <w:tcPr>
            <w:tcW w:w="768" w:type="dxa"/>
            <w:vAlign w:val="center"/>
          </w:tcPr>
          <w:p w14:paraId="5FB100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30212</w:t>
            </w:r>
          </w:p>
        </w:tc>
        <w:tc>
          <w:tcPr>
            <w:tcW w:w="1524" w:type="dxa"/>
            <w:vAlign w:val="center"/>
          </w:tcPr>
          <w:p w14:paraId="12EA90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因公出国（境） 费用</w:t>
            </w:r>
          </w:p>
        </w:tc>
        <w:tc>
          <w:tcPr>
            <w:tcW w:w="766" w:type="dxa"/>
            <w:vAlign w:val="center"/>
          </w:tcPr>
          <w:p w14:paraId="2B8744AD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851" w:type="dxa"/>
            <w:vAlign w:val="center"/>
          </w:tcPr>
          <w:p w14:paraId="7A81943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055" w:type="dxa"/>
            <w:vAlign w:val="center"/>
          </w:tcPr>
          <w:p w14:paraId="4AFAE51F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948" w:type="dxa"/>
            <w:vAlign w:val="center"/>
          </w:tcPr>
          <w:p w14:paraId="32C521DD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7414C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46" w:type="dxa"/>
            <w:vAlign w:val="center"/>
          </w:tcPr>
          <w:p w14:paraId="6CBC71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30114</w:t>
            </w:r>
          </w:p>
        </w:tc>
        <w:tc>
          <w:tcPr>
            <w:tcW w:w="2057" w:type="dxa"/>
            <w:vAlign w:val="center"/>
          </w:tcPr>
          <w:p w14:paraId="7B07D0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医疗费</w:t>
            </w:r>
          </w:p>
        </w:tc>
        <w:tc>
          <w:tcPr>
            <w:tcW w:w="864" w:type="dxa"/>
            <w:vAlign w:val="center"/>
          </w:tcPr>
          <w:p w14:paraId="4C02B2F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768" w:type="dxa"/>
            <w:vAlign w:val="center"/>
          </w:tcPr>
          <w:p w14:paraId="530028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30213</w:t>
            </w:r>
          </w:p>
        </w:tc>
        <w:tc>
          <w:tcPr>
            <w:tcW w:w="1524" w:type="dxa"/>
            <w:vAlign w:val="center"/>
          </w:tcPr>
          <w:p w14:paraId="78DDEE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维修（护） 费</w:t>
            </w:r>
          </w:p>
        </w:tc>
        <w:tc>
          <w:tcPr>
            <w:tcW w:w="766" w:type="dxa"/>
            <w:vAlign w:val="center"/>
          </w:tcPr>
          <w:p w14:paraId="0085775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108.46</w:t>
            </w:r>
          </w:p>
        </w:tc>
        <w:tc>
          <w:tcPr>
            <w:tcW w:w="851" w:type="dxa"/>
            <w:vAlign w:val="center"/>
          </w:tcPr>
          <w:p w14:paraId="4F15D224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055" w:type="dxa"/>
            <w:vAlign w:val="center"/>
          </w:tcPr>
          <w:p w14:paraId="2E416B31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948" w:type="dxa"/>
            <w:vAlign w:val="center"/>
          </w:tcPr>
          <w:p w14:paraId="4A226031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4954A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746" w:type="dxa"/>
            <w:vAlign w:val="center"/>
          </w:tcPr>
          <w:p w14:paraId="59C5D6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30199</w:t>
            </w:r>
          </w:p>
        </w:tc>
        <w:tc>
          <w:tcPr>
            <w:tcW w:w="2057" w:type="dxa"/>
            <w:vAlign w:val="center"/>
          </w:tcPr>
          <w:p w14:paraId="6D5A15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其他工资福利支出</w:t>
            </w:r>
          </w:p>
        </w:tc>
        <w:tc>
          <w:tcPr>
            <w:tcW w:w="864" w:type="dxa"/>
            <w:vAlign w:val="center"/>
          </w:tcPr>
          <w:p w14:paraId="16FB1507">
            <w:pPr>
              <w:pStyle w:val="12"/>
              <w:spacing w:line="225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768" w:type="dxa"/>
            <w:vAlign w:val="center"/>
          </w:tcPr>
          <w:p w14:paraId="53BD63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30214</w:t>
            </w:r>
          </w:p>
        </w:tc>
        <w:tc>
          <w:tcPr>
            <w:tcW w:w="1524" w:type="dxa"/>
            <w:vAlign w:val="center"/>
          </w:tcPr>
          <w:p w14:paraId="46D1EC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租赁费</w:t>
            </w:r>
          </w:p>
        </w:tc>
        <w:tc>
          <w:tcPr>
            <w:tcW w:w="766" w:type="dxa"/>
            <w:vAlign w:val="center"/>
          </w:tcPr>
          <w:p w14:paraId="7306C762">
            <w:pPr>
              <w:pStyle w:val="12"/>
              <w:spacing w:line="225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2.41</w:t>
            </w:r>
          </w:p>
        </w:tc>
        <w:tc>
          <w:tcPr>
            <w:tcW w:w="851" w:type="dxa"/>
            <w:vAlign w:val="center"/>
          </w:tcPr>
          <w:p w14:paraId="03D84988">
            <w:pPr>
              <w:pStyle w:val="12"/>
              <w:spacing w:line="225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055" w:type="dxa"/>
            <w:vAlign w:val="center"/>
          </w:tcPr>
          <w:p w14:paraId="7B744B27">
            <w:pPr>
              <w:pStyle w:val="12"/>
              <w:spacing w:line="225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948" w:type="dxa"/>
            <w:vAlign w:val="center"/>
          </w:tcPr>
          <w:p w14:paraId="27437E83">
            <w:pPr>
              <w:pStyle w:val="12"/>
              <w:spacing w:line="225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3C270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46" w:type="dxa"/>
            <w:vAlign w:val="center"/>
          </w:tcPr>
          <w:p w14:paraId="09A48B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303</w:t>
            </w:r>
          </w:p>
        </w:tc>
        <w:tc>
          <w:tcPr>
            <w:tcW w:w="2057" w:type="dxa"/>
            <w:vAlign w:val="center"/>
          </w:tcPr>
          <w:p w14:paraId="785470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对个人和家庭的补助</w:t>
            </w:r>
          </w:p>
        </w:tc>
        <w:tc>
          <w:tcPr>
            <w:tcW w:w="864" w:type="dxa"/>
            <w:vAlign w:val="center"/>
          </w:tcPr>
          <w:p w14:paraId="630A361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342.72</w:t>
            </w:r>
          </w:p>
        </w:tc>
        <w:tc>
          <w:tcPr>
            <w:tcW w:w="768" w:type="dxa"/>
            <w:vAlign w:val="center"/>
          </w:tcPr>
          <w:p w14:paraId="1D7928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30215</w:t>
            </w:r>
          </w:p>
        </w:tc>
        <w:tc>
          <w:tcPr>
            <w:tcW w:w="1524" w:type="dxa"/>
            <w:vAlign w:val="center"/>
          </w:tcPr>
          <w:p w14:paraId="150EB5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会议费</w:t>
            </w:r>
          </w:p>
        </w:tc>
        <w:tc>
          <w:tcPr>
            <w:tcW w:w="766" w:type="dxa"/>
            <w:vAlign w:val="center"/>
          </w:tcPr>
          <w:p w14:paraId="7A6CA0CB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851" w:type="dxa"/>
            <w:vAlign w:val="center"/>
          </w:tcPr>
          <w:p w14:paraId="05045FED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055" w:type="dxa"/>
            <w:vAlign w:val="center"/>
          </w:tcPr>
          <w:p w14:paraId="3F9DCA2D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948" w:type="dxa"/>
            <w:vAlign w:val="center"/>
          </w:tcPr>
          <w:p w14:paraId="538E1D69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47897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46" w:type="dxa"/>
            <w:vAlign w:val="center"/>
          </w:tcPr>
          <w:p w14:paraId="5E7459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30301</w:t>
            </w:r>
          </w:p>
        </w:tc>
        <w:tc>
          <w:tcPr>
            <w:tcW w:w="2057" w:type="dxa"/>
            <w:vAlign w:val="center"/>
          </w:tcPr>
          <w:p w14:paraId="7263EE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离休费</w:t>
            </w:r>
          </w:p>
        </w:tc>
        <w:tc>
          <w:tcPr>
            <w:tcW w:w="864" w:type="dxa"/>
            <w:vAlign w:val="center"/>
          </w:tcPr>
          <w:p w14:paraId="7806401F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768" w:type="dxa"/>
            <w:vAlign w:val="center"/>
          </w:tcPr>
          <w:p w14:paraId="199D07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30216</w:t>
            </w:r>
          </w:p>
        </w:tc>
        <w:tc>
          <w:tcPr>
            <w:tcW w:w="1524" w:type="dxa"/>
            <w:vAlign w:val="center"/>
          </w:tcPr>
          <w:p w14:paraId="2D80E7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培训费</w:t>
            </w:r>
          </w:p>
        </w:tc>
        <w:tc>
          <w:tcPr>
            <w:tcW w:w="766" w:type="dxa"/>
            <w:vAlign w:val="center"/>
          </w:tcPr>
          <w:p w14:paraId="79148E19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8.34</w:t>
            </w:r>
          </w:p>
        </w:tc>
        <w:tc>
          <w:tcPr>
            <w:tcW w:w="851" w:type="dxa"/>
            <w:vAlign w:val="center"/>
          </w:tcPr>
          <w:p w14:paraId="142F77FB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055" w:type="dxa"/>
            <w:vAlign w:val="center"/>
          </w:tcPr>
          <w:p w14:paraId="411603D3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948" w:type="dxa"/>
            <w:vAlign w:val="center"/>
          </w:tcPr>
          <w:p w14:paraId="59C0F8D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6506D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46" w:type="dxa"/>
            <w:vAlign w:val="center"/>
          </w:tcPr>
          <w:p w14:paraId="3266F7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30302</w:t>
            </w:r>
          </w:p>
        </w:tc>
        <w:tc>
          <w:tcPr>
            <w:tcW w:w="2057" w:type="dxa"/>
            <w:vAlign w:val="center"/>
          </w:tcPr>
          <w:p w14:paraId="150289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退休费</w:t>
            </w:r>
          </w:p>
        </w:tc>
        <w:tc>
          <w:tcPr>
            <w:tcW w:w="864" w:type="dxa"/>
            <w:vAlign w:val="center"/>
          </w:tcPr>
          <w:p w14:paraId="4355E89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287.34</w:t>
            </w:r>
          </w:p>
        </w:tc>
        <w:tc>
          <w:tcPr>
            <w:tcW w:w="768" w:type="dxa"/>
            <w:vAlign w:val="center"/>
          </w:tcPr>
          <w:p w14:paraId="697F3F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30217</w:t>
            </w:r>
          </w:p>
        </w:tc>
        <w:tc>
          <w:tcPr>
            <w:tcW w:w="1524" w:type="dxa"/>
            <w:vAlign w:val="center"/>
          </w:tcPr>
          <w:p w14:paraId="13E1F0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公务接待费</w:t>
            </w:r>
          </w:p>
        </w:tc>
        <w:tc>
          <w:tcPr>
            <w:tcW w:w="766" w:type="dxa"/>
            <w:vAlign w:val="center"/>
          </w:tcPr>
          <w:p w14:paraId="1BC55DEF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851" w:type="dxa"/>
            <w:vAlign w:val="center"/>
          </w:tcPr>
          <w:p w14:paraId="221754F8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055" w:type="dxa"/>
            <w:vAlign w:val="center"/>
          </w:tcPr>
          <w:p w14:paraId="4138F039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948" w:type="dxa"/>
            <w:vAlign w:val="center"/>
          </w:tcPr>
          <w:p w14:paraId="1A974DCC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7C591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 w14:paraId="7B3EB1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30303</w:t>
            </w:r>
          </w:p>
        </w:tc>
        <w:tc>
          <w:tcPr>
            <w:tcW w:w="2057" w:type="dxa"/>
            <w:vAlign w:val="center"/>
          </w:tcPr>
          <w:p w14:paraId="617829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退职（役）费</w:t>
            </w:r>
          </w:p>
        </w:tc>
        <w:tc>
          <w:tcPr>
            <w:tcW w:w="864" w:type="dxa"/>
            <w:vAlign w:val="center"/>
          </w:tcPr>
          <w:p w14:paraId="75EF618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768" w:type="dxa"/>
            <w:vAlign w:val="center"/>
          </w:tcPr>
          <w:p w14:paraId="01F0F4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30218</w:t>
            </w:r>
          </w:p>
        </w:tc>
        <w:tc>
          <w:tcPr>
            <w:tcW w:w="1524" w:type="dxa"/>
            <w:vAlign w:val="center"/>
          </w:tcPr>
          <w:p w14:paraId="251889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专用材料费</w:t>
            </w:r>
          </w:p>
        </w:tc>
        <w:tc>
          <w:tcPr>
            <w:tcW w:w="766" w:type="dxa"/>
            <w:vAlign w:val="center"/>
          </w:tcPr>
          <w:p w14:paraId="5B4948E9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45.30</w:t>
            </w:r>
          </w:p>
        </w:tc>
        <w:tc>
          <w:tcPr>
            <w:tcW w:w="851" w:type="dxa"/>
            <w:vAlign w:val="center"/>
          </w:tcPr>
          <w:p w14:paraId="6E180C5B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055" w:type="dxa"/>
            <w:vAlign w:val="center"/>
          </w:tcPr>
          <w:p w14:paraId="5836F9D8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948" w:type="dxa"/>
            <w:vAlign w:val="center"/>
          </w:tcPr>
          <w:p w14:paraId="1CE995A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4942F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 w14:paraId="493DA1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30304</w:t>
            </w:r>
          </w:p>
        </w:tc>
        <w:tc>
          <w:tcPr>
            <w:tcW w:w="2057" w:type="dxa"/>
            <w:vAlign w:val="center"/>
          </w:tcPr>
          <w:p w14:paraId="031763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抚恤金</w:t>
            </w:r>
          </w:p>
        </w:tc>
        <w:tc>
          <w:tcPr>
            <w:tcW w:w="864" w:type="dxa"/>
            <w:vAlign w:val="center"/>
          </w:tcPr>
          <w:p w14:paraId="1921469B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5.31</w:t>
            </w:r>
          </w:p>
        </w:tc>
        <w:tc>
          <w:tcPr>
            <w:tcW w:w="768" w:type="dxa"/>
            <w:vAlign w:val="center"/>
          </w:tcPr>
          <w:p w14:paraId="6788D5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30224</w:t>
            </w:r>
          </w:p>
        </w:tc>
        <w:tc>
          <w:tcPr>
            <w:tcW w:w="1524" w:type="dxa"/>
            <w:vAlign w:val="center"/>
          </w:tcPr>
          <w:p w14:paraId="32766D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被装购置费</w:t>
            </w:r>
          </w:p>
        </w:tc>
        <w:tc>
          <w:tcPr>
            <w:tcW w:w="766" w:type="dxa"/>
            <w:vAlign w:val="center"/>
          </w:tcPr>
          <w:p w14:paraId="19ADA20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851" w:type="dxa"/>
            <w:vAlign w:val="center"/>
          </w:tcPr>
          <w:p w14:paraId="35FDE5A1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055" w:type="dxa"/>
            <w:vAlign w:val="center"/>
          </w:tcPr>
          <w:p w14:paraId="440DEB04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948" w:type="dxa"/>
            <w:vAlign w:val="center"/>
          </w:tcPr>
          <w:p w14:paraId="3CE6C4F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183DA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 w14:paraId="06B66F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30305</w:t>
            </w:r>
          </w:p>
        </w:tc>
        <w:tc>
          <w:tcPr>
            <w:tcW w:w="2057" w:type="dxa"/>
            <w:vAlign w:val="center"/>
          </w:tcPr>
          <w:p w14:paraId="1D0745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生活补助</w:t>
            </w:r>
          </w:p>
        </w:tc>
        <w:tc>
          <w:tcPr>
            <w:tcW w:w="864" w:type="dxa"/>
            <w:vAlign w:val="center"/>
          </w:tcPr>
          <w:p w14:paraId="485D15C4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1.59</w:t>
            </w:r>
          </w:p>
        </w:tc>
        <w:tc>
          <w:tcPr>
            <w:tcW w:w="768" w:type="dxa"/>
            <w:vAlign w:val="center"/>
          </w:tcPr>
          <w:p w14:paraId="3D14E2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30225</w:t>
            </w:r>
          </w:p>
        </w:tc>
        <w:tc>
          <w:tcPr>
            <w:tcW w:w="1524" w:type="dxa"/>
            <w:vAlign w:val="center"/>
          </w:tcPr>
          <w:p w14:paraId="328624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专用燃料费</w:t>
            </w:r>
          </w:p>
        </w:tc>
        <w:tc>
          <w:tcPr>
            <w:tcW w:w="766" w:type="dxa"/>
            <w:vAlign w:val="center"/>
          </w:tcPr>
          <w:p w14:paraId="0A11894C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851" w:type="dxa"/>
            <w:vAlign w:val="center"/>
          </w:tcPr>
          <w:p w14:paraId="369D3EEA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055" w:type="dxa"/>
            <w:vAlign w:val="center"/>
          </w:tcPr>
          <w:p w14:paraId="1EE2BDB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948" w:type="dxa"/>
            <w:vAlign w:val="center"/>
          </w:tcPr>
          <w:p w14:paraId="196BA69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05390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 w14:paraId="6E4841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30306</w:t>
            </w:r>
          </w:p>
        </w:tc>
        <w:tc>
          <w:tcPr>
            <w:tcW w:w="2057" w:type="dxa"/>
            <w:vAlign w:val="center"/>
          </w:tcPr>
          <w:p w14:paraId="541FF8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救济费</w:t>
            </w:r>
          </w:p>
        </w:tc>
        <w:tc>
          <w:tcPr>
            <w:tcW w:w="864" w:type="dxa"/>
            <w:vAlign w:val="center"/>
          </w:tcPr>
          <w:p w14:paraId="672673E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768" w:type="dxa"/>
            <w:vAlign w:val="center"/>
          </w:tcPr>
          <w:p w14:paraId="4877B7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30226</w:t>
            </w:r>
          </w:p>
        </w:tc>
        <w:tc>
          <w:tcPr>
            <w:tcW w:w="1524" w:type="dxa"/>
            <w:vAlign w:val="center"/>
          </w:tcPr>
          <w:p w14:paraId="4FF1A9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劳务费</w:t>
            </w:r>
          </w:p>
        </w:tc>
        <w:tc>
          <w:tcPr>
            <w:tcW w:w="766" w:type="dxa"/>
            <w:vAlign w:val="center"/>
          </w:tcPr>
          <w:p w14:paraId="06E241D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113.96</w:t>
            </w:r>
          </w:p>
        </w:tc>
        <w:tc>
          <w:tcPr>
            <w:tcW w:w="851" w:type="dxa"/>
            <w:vAlign w:val="center"/>
          </w:tcPr>
          <w:p w14:paraId="422FE67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055" w:type="dxa"/>
            <w:vAlign w:val="center"/>
          </w:tcPr>
          <w:p w14:paraId="59C0887C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948" w:type="dxa"/>
            <w:vAlign w:val="center"/>
          </w:tcPr>
          <w:p w14:paraId="11C58BB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236A5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 w14:paraId="3143FB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30307</w:t>
            </w:r>
          </w:p>
        </w:tc>
        <w:tc>
          <w:tcPr>
            <w:tcW w:w="2057" w:type="dxa"/>
            <w:vAlign w:val="center"/>
          </w:tcPr>
          <w:p w14:paraId="3C3687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医疗费补助</w:t>
            </w:r>
          </w:p>
        </w:tc>
        <w:tc>
          <w:tcPr>
            <w:tcW w:w="864" w:type="dxa"/>
            <w:vAlign w:val="center"/>
          </w:tcPr>
          <w:p w14:paraId="2D60E4EA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41.83</w:t>
            </w:r>
          </w:p>
        </w:tc>
        <w:tc>
          <w:tcPr>
            <w:tcW w:w="768" w:type="dxa"/>
            <w:vAlign w:val="center"/>
          </w:tcPr>
          <w:p w14:paraId="013CDD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30227</w:t>
            </w:r>
          </w:p>
        </w:tc>
        <w:tc>
          <w:tcPr>
            <w:tcW w:w="1524" w:type="dxa"/>
            <w:vAlign w:val="center"/>
          </w:tcPr>
          <w:p w14:paraId="54761B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委托业务费</w:t>
            </w:r>
          </w:p>
        </w:tc>
        <w:tc>
          <w:tcPr>
            <w:tcW w:w="766" w:type="dxa"/>
            <w:vAlign w:val="center"/>
          </w:tcPr>
          <w:p w14:paraId="2E730E61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48.20</w:t>
            </w:r>
          </w:p>
        </w:tc>
        <w:tc>
          <w:tcPr>
            <w:tcW w:w="851" w:type="dxa"/>
            <w:vAlign w:val="center"/>
          </w:tcPr>
          <w:p w14:paraId="7976A86B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055" w:type="dxa"/>
            <w:vAlign w:val="center"/>
          </w:tcPr>
          <w:p w14:paraId="1F4EA9F3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948" w:type="dxa"/>
            <w:vAlign w:val="center"/>
          </w:tcPr>
          <w:p w14:paraId="2F38B813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67411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 w14:paraId="04A84C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30308</w:t>
            </w:r>
          </w:p>
        </w:tc>
        <w:tc>
          <w:tcPr>
            <w:tcW w:w="2057" w:type="dxa"/>
            <w:vAlign w:val="center"/>
          </w:tcPr>
          <w:p w14:paraId="38A41A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助学金</w:t>
            </w:r>
          </w:p>
        </w:tc>
        <w:tc>
          <w:tcPr>
            <w:tcW w:w="864" w:type="dxa"/>
            <w:vAlign w:val="center"/>
          </w:tcPr>
          <w:p w14:paraId="5C043B8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768" w:type="dxa"/>
            <w:vAlign w:val="center"/>
          </w:tcPr>
          <w:p w14:paraId="0B4022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30228</w:t>
            </w:r>
          </w:p>
        </w:tc>
        <w:tc>
          <w:tcPr>
            <w:tcW w:w="1524" w:type="dxa"/>
            <w:vAlign w:val="center"/>
          </w:tcPr>
          <w:p w14:paraId="09E3A1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工会经费</w:t>
            </w:r>
          </w:p>
        </w:tc>
        <w:tc>
          <w:tcPr>
            <w:tcW w:w="766" w:type="dxa"/>
            <w:vAlign w:val="center"/>
          </w:tcPr>
          <w:p w14:paraId="52B14BB1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12.83</w:t>
            </w:r>
          </w:p>
        </w:tc>
        <w:tc>
          <w:tcPr>
            <w:tcW w:w="851" w:type="dxa"/>
            <w:vAlign w:val="center"/>
          </w:tcPr>
          <w:p w14:paraId="11AAD704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055" w:type="dxa"/>
            <w:vAlign w:val="center"/>
          </w:tcPr>
          <w:p w14:paraId="3D3A7D2B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948" w:type="dxa"/>
            <w:vAlign w:val="center"/>
          </w:tcPr>
          <w:p w14:paraId="6D26BA89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7159F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46" w:type="dxa"/>
            <w:vAlign w:val="center"/>
          </w:tcPr>
          <w:p w14:paraId="4FB9E6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30309</w:t>
            </w:r>
          </w:p>
        </w:tc>
        <w:tc>
          <w:tcPr>
            <w:tcW w:w="2057" w:type="dxa"/>
            <w:vAlign w:val="center"/>
          </w:tcPr>
          <w:p w14:paraId="4DECE1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奖励金</w:t>
            </w:r>
          </w:p>
        </w:tc>
        <w:tc>
          <w:tcPr>
            <w:tcW w:w="864" w:type="dxa"/>
            <w:vAlign w:val="center"/>
          </w:tcPr>
          <w:p w14:paraId="1BB39011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768" w:type="dxa"/>
            <w:vAlign w:val="center"/>
          </w:tcPr>
          <w:p w14:paraId="3B21B5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30229</w:t>
            </w:r>
          </w:p>
        </w:tc>
        <w:tc>
          <w:tcPr>
            <w:tcW w:w="1524" w:type="dxa"/>
            <w:vAlign w:val="center"/>
          </w:tcPr>
          <w:p w14:paraId="4E9D5D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福利费</w:t>
            </w:r>
          </w:p>
        </w:tc>
        <w:tc>
          <w:tcPr>
            <w:tcW w:w="766" w:type="dxa"/>
            <w:vAlign w:val="center"/>
          </w:tcPr>
          <w:p w14:paraId="60C5CC98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16.02</w:t>
            </w:r>
          </w:p>
        </w:tc>
        <w:tc>
          <w:tcPr>
            <w:tcW w:w="851" w:type="dxa"/>
            <w:vAlign w:val="center"/>
          </w:tcPr>
          <w:p w14:paraId="6419CF5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055" w:type="dxa"/>
            <w:vAlign w:val="center"/>
          </w:tcPr>
          <w:p w14:paraId="06BD5AF8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948" w:type="dxa"/>
            <w:vAlign w:val="center"/>
          </w:tcPr>
          <w:p w14:paraId="1445A3C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22BF2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46" w:type="dxa"/>
            <w:vAlign w:val="center"/>
          </w:tcPr>
          <w:p w14:paraId="25FE55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30310</w:t>
            </w:r>
          </w:p>
        </w:tc>
        <w:tc>
          <w:tcPr>
            <w:tcW w:w="2057" w:type="dxa"/>
            <w:vAlign w:val="center"/>
          </w:tcPr>
          <w:p w14:paraId="239A67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个人农业生产补贴</w:t>
            </w:r>
          </w:p>
        </w:tc>
        <w:tc>
          <w:tcPr>
            <w:tcW w:w="864" w:type="dxa"/>
            <w:vAlign w:val="center"/>
          </w:tcPr>
          <w:p w14:paraId="3CDE2614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768" w:type="dxa"/>
            <w:vAlign w:val="center"/>
          </w:tcPr>
          <w:p w14:paraId="1309E0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30231</w:t>
            </w:r>
          </w:p>
        </w:tc>
        <w:tc>
          <w:tcPr>
            <w:tcW w:w="1524" w:type="dxa"/>
            <w:vAlign w:val="center"/>
          </w:tcPr>
          <w:p w14:paraId="4F54A7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公务用车运行维 护费</w:t>
            </w:r>
          </w:p>
        </w:tc>
        <w:tc>
          <w:tcPr>
            <w:tcW w:w="766" w:type="dxa"/>
            <w:vAlign w:val="center"/>
          </w:tcPr>
          <w:p w14:paraId="7BE105C3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851" w:type="dxa"/>
            <w:vAlign w:val="center"/>
          </w:tcPr>
          <w:p w14:paraId="071F5C59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055" w:type="dxa"/>
            <w:vAlign w:val="center"/>
          </w:tcPr>
          <w:p w14:paraId="53F198A1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948" w:type="dxa"/>
            <w:vAlign w:val="center"/>
          </w:tcPr>
          <w:p w14:paraId="140A5B27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2AC70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46" w:type="dxa"/>
            <w:vAlign w:val="center"/>
          </w:tcPr>
          <w:p w14:paraId="58936E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30311</w:t>
            </w:r>
          </w:p>
        </w:tc>
        <w:tc>
          <w:tcPr>
            <w:tcW w:w="2057" w:type="dxa"/>
            <w:vAlign w:val="center"/>
          </w:tcPr>
          <w:p w14:paraId="323080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代缴社会保险费</w:t>
            </w:r>
          </w:p>
        </w:tc>
        <w:tc>
          <w:tcPr>
            <w:tcW w:w="864" w:type="dxa"/>
            <w:vAlign w:val="center"/>
          </w:tcPr>
          <w:p w14:paraId="2C35D30D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768" w:type="dxa"/>
            <w:vAlign w:val="center"/>
          </w:tcPr>
          <w:p w14:paraId="075111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30239</w:t>
            </w:r>
          </w:p>
        </w:tc>
        <w:tc>
          <w:tcPr>
            <w:tcW w:w="1524" w:type="dxa"/>
            <w:vAlign w:val="center"/>
          </w:tcPr>
          <w:p w14:paraId="20D665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其他交通费用</w:t>
            </w:r>
          </w:p>
        </w:tc>
        <w:tc>
          <w:tcPr>
            <w:tcW w:w="766" w:type="dxa"/>
            <w:vAlign w:val="center"/>
          </w:tcPr>
          <w:p w14:paraId="00023DC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4.84</w:t>
            </w:r>
          </w:p>
        </w:tc>
        <w:tc>
          <w:tcPr>
            <w:tcW w:w="851" w:type="dxa"/>
            <w:vAlign w:val="center"/>
          </w:tcPr>
          <w:p w14:paraId="4CC16CE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055" w:type="dxa"/>
            <w:vAlign w:val="center"/>
          </w:tcPr>
          <w:p w14:paraId="7BB5160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948" w:type="dxa"/>
            <w:vAlign w:val="center"/>
          </w:tcPr>
          <w:p w14:paraId="201FFF0F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5FFA3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46" w:type="dxa"/>
            <w:vAlign w:val="center"/>
          </w:tcPr>
          <w:p w14:paraId="513D36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30399</w:t>
            </w:r>
          </w:p>
        </w:tc>
        <w:tc>
          <w:tcPr>
            <w:tcW w:w="2057" w:type="dxa"/>
            <w:vAlign w:val="center"/>
          </w:tcPr>
          <w:p w14:paraId="032C7E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其他对个人和家庭的补助</w:t>
            </w:r>
          </w:p>
        </w:tc>
        <w:tc>
          <w:tcPr>
            <w:tcW w:w="864" w:type="dxa"/>
            <w:vAlign w:val="center"/>
          </w:tcPr>
          <w:p w14:paraId="59110C63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6.65</w:t>
            </w:r>
          </w:p>
        </w:tc>
        <w:tc>
          <w:tcPr>
            <w:tcW w:w="768" w:type="dxa"/>
            <w:vAlign w:val="center"/>
          </w:tcPr>
          <w:p w14:paraId="3BB728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30240</w:t>
            </w:r>
          </w:p>
        </w:tc>
        <w:tc>
          <w:tcPr>
            <w:tcW w:w="1524" w:type="dxa"/>
            <w:vAlign w:val="center"/>
          </w:tcPr>
          <w:p w14:paraId="2AE0C0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税金及附加费用</w:t>
            </w:r>
          </w:p>
        </w:tc>
        <w:tc>
          <w:tcPr>
            <w:tcW w:w="766" w:type="dxa"/>
            <w:vAlign w:val="center"/>
          </w:tcPr>
          <w:p w14:paraId="700A0DA3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851" w:type="dxa"/>
            <w:vAlign w:val="center"/>
          </w:tcPr>
          <w:p w14:paraId="586E50D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055" w:type="dxa"/>
            <w:vAlign w:val="center"/>
          </w:tcPr>
          <w:p w14:paraId="66600F34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948" w:type="dxa"/>
            <w:vAlign w:val="center"/>
          </w:tcPr>
          <w:p w14:paraId="20C00AE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554CD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46" w:type="dxa"/>
            <w:vAlign w:val="center"/>
          </w:tcPr>
          <w:p w14:paraId="01E4AC77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057" w:type="dxa"/>
            <w:vAlign w:val="center"/>
          </w:tcPr>
          <w:p w14:paraId="6628C60B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864" w:type="dxa"/>
            <w:vAlign w:val="center"/>
          </w:tcPr>
          <w:p w14:paraId="6BBEBEDB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768" w:type="dxa"/>
            <w:vAlign w:val="center"/>
          </w:tcPr>
          <w:p w14:paraId="2FB8BB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30299</w:t>
            </w:r>
          </w:p>
        </w:tc>
        <w:tc>
          <w:tcPr>
            <w:tcW w:w="1524" w:type="dxa"/>
            <w:vAlign w:val="center"/>
          </w:tcPr>
          <w:p w14:paraId="30ED23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其他商品和服务支出</w:t>
            </w:r>
          </w:p>
        </w:tc>
        <w:tc>
          <w:tcPr>
            <w:tcW w:w="766" w:type="dxa"/>
            <w:vAlign w:val="center"/>
          </w:tcPr>
          <w:p w14:paraId="293E1C53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114.88</w:t>
            </w:r>
          </w:p>
        </w:tc>
        <w:tc>
          <w:tcPr>
            <w:tcW w:w="851" w:type="dxa"/>
            <w:vAlign w:val="center"/>
          </w:tcPr>
          <w:p w14:paraId="3956703A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055" w:type="dxa"/>
            <w:vAlign w:val="center"/>
          </w:tcPr>
          <w:p w14:paraId="5C83F68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948" w:type="dxa"/>
            <w:vAlign w:val="center"/>
          </w:tcPr>
          <w:p w14:paraId="2567510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5F4AE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803" w:type="dxa"/>
            <w:gridSpan w:val="2"/>
            <w:vAlign w:val="center"/>
          </w:tcPr>
          <w:p w14:paraId="7EC706E1">
            <w:pPr>
              <w:spacing w:before="107" w:line="187" w:lineRule="auto"/>
              <w:ind w:left="718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pacing w:val="4"/>
                <w:sz w:val="21"/>
                <w:szCs w:val="21"/>
                <w:u w:val="none" w:color="auto"/>
              </w:rPr>
              <w:t>人员经费合计</w:t>
            </w:r>
          </w:p>
        </w:tc>
        <w:tc>
          <w:tcPr>
            <w:tcW w:w="864" w:type="dxa"/>
            <w:vAlign w:val="center"/>
          </w:tcPr>
          <w:p w14:paraId="373D516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6633.55</w:t>
            </w:r>
          </w:p>
        </w:tc>
        <w:tc>
          <w:tcPr>
            <w:tcW w:w="5964" w:type="dxa"/>
            <w:gridSpan w:val="5"/>
            <w:vAlign w:val="center"/>
          </w:tcPr>
          <w:p w14:paraId="008F1FAA">
            <w:pPr>
              <w:spacing w:before="108" w:line="187" w:lineRule="auto"/>
              <w:ind w:left="204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pacing w:val="4"/>
                <w:sz w:val="21"/>
                <w:szCs w:val="21"/>
                <w:u w:val="none" w:color="auto"/>
              </w:rPr>
              <w:t>公用经费合计</w:t>
            </w:r>
          </w:p>
        </w:tc>
        <w:tc>
          <w:tcPr>
            <w:tcW w:w="948" w:type="dxa"/>
            <w:vAlign w:val="center"/>
          </w:tcPr>
          <w:p w14:paraId="440D8303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none" w:color="auto"/>
                <w:lang w:val="en-US" w:eastAsia="zh-CN"/>
              </w:rPr>
              <w:t>666.25</w:t>
            </w:r>
          </w:p>
        </w:tc>
      </w:tr>
    </w:tbl>
    <w:p w14:paraId="62FFB891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注 ：本表反映部门本年度一般公共预算财政拨款基本支出明细情况。</w:t>
      </w:r>
    </w:p>
    <w:p w14:paraId="28A943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年度政府性基金预算财政拨款收入支出决算表</w:t>
      </w:r>
    </w:p>
    <w:p w14:paraId="0877D18C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公开07表</w:t>
      </w:r>
    </w:p>
    <w:p w14:paraId="5CDB7755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武汉市光谷第一小学</w:t>
      </w:r>
      <w:r>
        <w:rPr>
          <w:rFonts w:hint="default" w:ascii="Times New Roman" w:hAnsi="Times New Roman" w:eastAsia="微软雅黑" w:cs="Times New Roman"/>
          <w:spacing w:val="-1"/>
          <w:sz w:val="18"/>
          <w:szCs w:val="18"/>
          <w:u w:val="none" w:color="auto"/>
          <w:lang w:val="en-US" w:eastAsia="zh-CN"/>
        </w:rPr>
        <w:t xml:space="preserve"> </w:t>
      </w:r>
      <w:r>
        <w:rPr>
          <w:rFonts w:hint="eastAsia" w:ascii="Times New Roman" w:hAnsi="Times New Roman" w:eastAsia="微软雅黑" w:cs="Times New Roman"/>
          <w:spacing w:val="-1"/>
          <w:sz w:val="18"/>
          <w:szCs w:val="18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单位：万元</w:t>
      </w:r>
    </w:p>
    <w:tbl>
      <w:tblPr>
        <w:tblStyle w:val="11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"/>
        <w:gridCol w:w="317"/>
        <w:gridCol w:w="319"/>
        <w:gridCol w:w="1169"/>
        <w:gridCol w:w="1167"/>
        <w:gridCol w:w="1167"/>
        <w:gridCol w:w="1167"/>
        <w:gridCol w:w="1167"/>
        <w:gridCol w:w="1171"/>
        <w:gridCol w:w="1173"/>
      </w:tblGrid>
      <w:tr w14:paraId="0AEF6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2126" w:type="dxa"/>
            <w:gridSpan w:val="4"/>
            <w:vAlign w:val="center"/>
          </w:tcPr>
          <w:p w14:paraId="592C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项     目</w:t>
            </w:r>
          </w:p>
        </w:tc>
        <w:tc>
          <w:tcPr>
            <w:tcW w:w="1167" w:type="dxa"/>
            <w:vMerge w:val="restart"/>
            <w:vAlign w:val="center"/>
          </w:tcPr>
          <w:p w14:paraId="13B2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年初结转和 结余</w:t>
            </w:r>
          </w:p>
        </w:tc>
        <w:tc>
          <w:tcPr>
            <w:tcW w:w="1167" w:type="dxa"/>
            <w:vMerge w:val="restart"/>
            <w:vAlign w:val="center"/>
          </w:tcPr>
          <w:p w14:paraId="1BE9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本年收入</w:t>
            </w:r>
          </w:p>
        </w:tc>
        <w:tc>
          <w:tcPr>
            <w:tcW w:w="3505" w:type="dxa"/>
            <w:gridSpan w:val="3"/>
            <w:vAlign w:val="center"/>
          </w:tcPr>
          <w:p w14:paraId="59E5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本年支出</w:t>
            </w:r>
          </w:p>
        </w:tc>
        <w:tc>
          <w:tcPr>
            <w:tcW w:w="1173" w:type="dxa"/>
            <w:vMerge w:val="restart"/>
            <w:vAlign w:val="center"/>
          </w:tcPr>
          <w:p w14:paraId="080D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年末结转和 结余</w:t>
            </w:r>
          </w:p>
        </w:tc>
      </w:tr>
      <w:tr w14:paraId="4EB2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957" w:type="dxa"/>
            <w:gridSpan w:val="3"/>
            <w:vAlign w:val="center"/>
          </w:tcPr>
          <w:p w14:paraId="1B44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功能分类 科目编码</w:t>
            </w:r>
          </w:p>
        </w:tc>
        <w:tc>
          <w:tcPr>
            <w:tcW w:w="1169" w:type="dxa"/>
            <w:vAlign w:val="center"/>
          </w:tcPr>
          <w:p w14:paraId="013D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科目名称</w:t>
            </w:r>
          </w:p>
        </w:tc>
        <w:tc>
          <w:tcPr>
            <w:tcW w:w="1167" w:type="dxa"/>
            <w:vMerge w:val="continue"/>
            <w:vAlign w:val="center"/>
          </w:tcPr>
          <w:p w14:paraId="724C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</w:p>
        </w:tc>
        <w:tc>
          <w:tcPr>
            <w:tcW w:w="1167" w:type="dxa"/>
            <w:vMerge w:val="continue"/>
            <w:vAlign w:val="center"/>
          </w:tcPr>
          <w:p w14:paraId="5684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</w:p>
        </w:tc>
        <w:tc>
          <w:tcPr>
            <w:tcW w:w="1167" w:type="dxa"/>
            <w:vAlign w:val="center"/>
          </w:tcPr>
          <w:p w14:paraId="423F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小计</w:t>
            </w:r>
          </w:p>
        </w:tc>
        <w:tc>
          <w:tcPr>
            <w:tcW w:w="1167" w:type="dxa"/>
            <w:vAlign w:val="center"/>
          </w:tcPr>
          <w:p w14:paraId="0C0F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基本支出</w:t>
            </w:r>
          </w:p>
        </w:tc>
        <w:tc>
          <w:tcPr>
            <w:tcW w:w="1171" w:type="dxa"/>
            <w:vAlign w:val="center"/>
          </w:tcPr>
          <w:p w14:paraId="2641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  <w:t>项目支出</w:t>
            </w:r>
          </w:p>
        </w:tc>
        <w:tc>
          <w:tcPr>
            <w:tcW w:w="1173" w:type="dxa"/>
            <w:vMerge w:val="continue"/>
            <w:vAlign w:val="center"/>
          </w:tcPr>
          <w:p w14:paraId="58FC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 w:color="auto"/>
                <w:lang w:val="en-US" w:eastAsia="zh-CN" w:bidi="ar"/>
              </w:rPr>
            </w:pPr>
          </w:p>
        </w:tc>
      </w:tr>
      <w:tr w14:paraId="7944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321" w:type="dxa"/>
            <w:vMerge w:val="restart"/>
            <w:vAlign w:val="top"/>
          </w:tcPr>
          <w:p w14:paraId="3BB874E5">
            <w:pPr>
              <w:spacing w:before="194" w:line="188" w:lineRule="auto"/>
              <w:ind w:left="50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类</w:t>
            </w:r>
          </w:p>
        </w:tc>
        <w:tc>
          <w:tcPr>
            <w:tcW w:w="317" w:type="dxa"/>
            <w:vMerge w:val="restart"/>
            <w:vAlign w:val="top"/>
          </w:tcPr>
          <w:p w14:paraId="075E8DF6">
            <w:pPr>
              <w:spacing w:before="194" w:line="189" w:lineRule="auto"/>
              <w:ind w:left="47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款</w:t>
            </w:r>
          </w:p>
        </w:tc>
        <w:tc>
          <w:tcPr>
            <w:tcW w:w="319" w:type="dxa"/>
            <w:vMerge w:val="restart"/>
            <w:vAlign w:val="top"/>
          </w:tcPr>
          <w:p w14:paraId="42CC7431">
            <w:pPr>
              <w:spacing w:before="195" w:line="187" w:lineRule="auto"/>
              <w:ind w:left="49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项</w:t>
            </w:r>
          </w:p>
        </w:tc>
        <w:tc>
          <w:tcPr>
            <w:tcW w:w="1169" w:type="dxa"/>
            <w:vAlign w:val="top"/>
          </w:tcPr>
          <w:p w14:paraId="16575259">
            <w:pPr>
              <w:spacing w:before="46" w:line="230" w:lineRule="exact"/>
              <w:ind w:left="344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w w:val="96"/>
                <w:position w:val="-1"/>
                <w:sz w:val="21"/>
                <w:szCs w:val="21"/>
                <w:u w:val="none" w:color="auto"/>
              </w:rPr>
              <w:t>栏次</w:t>
            </w:r>
          </w:p>
        </w:tc>
        <w:tc>
          <w:tcPr>
            <w:tcW w:w="1167" w:type="dxa"/>
            <w:vAlign w:val="top"/>
          </w:tcPr>
          <w:p w14:paraId="6237CA97">
            <w:pPr>
              <w:spacing w:before="80" w:line="196" w:lineRule="exact"/>
              <w:ind w:left="509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  <w:u w:val="none" w:color="auto"/>
              </w:rPr>
              <w:t>1</w:t>
            </w:r>
          </w:p>
        </w:tc>
        <w:tc>
          <w:tcPr>
            <w:tcW w:w="1167" w:type="dxa"/>
            <w:vAlign w:val="top"/>
          </w:tcPr>
          <w:p w14:paraId="29FA1731">
            <w:pPr>
              <w:spacing w:before="81" w:line="195" w:lineRule="exact"/>
              <w:ind w:left="498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  <w:u w:val="none" w:color="auto"/>
              </w:rPr>
              <w:t>2</w:t>
            </w:r>
          </w:p>
        </w:tc>
        <w:tc>
          <w:tcPr>
            <w:tcW w:w="1167" w:type="dxa"/>
            <w:vAlign w:val="top"/>
          </w:tcPr>
          <w:p w14:paraId="458608CB">
            <w:pPr>
              <w:spacing w:before="81" w:line="195" w:lineRule="exact"/>
              <w:ind w:left="501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  <w:u w:val="none" w:color="auto"/>
              </w:rPr>
              <w:t>3</w:t>
            </w:r>
          </w:p>
        </w:tc>
        <w:tc>
          <w:tcPr>
            <w:tcW w:w="1167" w:type="dxa"/>
            <w:vAlign w:val="top"/>
          </w:tcPr>
          <w:p w14:paraId="6F05B7F3">
            <w:pPr>
              <w:spacing w:before="81" w:line="195" w:lineRule="exact"/>
              <w:ind w:left="497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  <w:u w:val="none" w:color="auto"/>
              </w:rPr>
              <w:t>4</w:t>
            </w:r>
          </w:p>
        </w:tc>
        <w:tc>
          <w:tcPr>
            <w:tcW w:w="1171" w:type="dxa"/>
            <w:vAlign w:val="top"/>
          </w:tcPr>
          <w:p w14:paraId="455737B0">
            <w:pPr>
              <w:spacing w:before="83" w:line="193" w:lineRule="exact"/>
              <w:ind w:left="503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  <w:u w:val="none" w:color="auto"/>
              </w:rPr>
              <w:t>5</w:t>
            </w:r>
          </w:p>
        </w:tc>
        <w:tc>
          <w:tcPr>
            <w:tcW w:w="1173" w:type="dxa"/>
            <w:vAlign w:val="top"/>
          </w:tcPr>
          <w:p w14:paraId="3B6595D6">
            <w:pPr>
              <w:spacing w:before="81" w:line="195" w:lineRule="exact"/>
              <w:ind w:left="50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position w:val="-4"/>
                <w:sz w:val="21"/>
                <w:szCs w:val="21"/>
                <w:u w:val="none" w:color="auto"/>
              </w:rPr>
              <w:t>6</w:t>
            </w:r>
          </w:p>
        </w:tc>
      </w:tr>
      <w:tr w14:paraId="7DB5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321" w:type="dxa"/>
            <w:vMerge w:val="continue"/>
            <w:vAlign w:val="top"/>
          </w:tcPr>
          <w:p w14:paraId="6DA6610B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317" w:type="dxa"/>
            <w:vMerge w:val="continue"/>
            <w:vAlign w:val="top"/>
          </w:tcPr>
          <w:p w14:paraId="4D82AA5B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319" w:type="dxa"/>
            <w:vMerge w:val="continue"/>
            <w:vAlign w:val="top"/>
          </w:tcPr>
          <w:p w14:paraId="3AB0C0B8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9" w:type="dxa"/>
            <w:vAlign w:val="top"/>
          </w:tcPr>
          <w:p w14:paraId="3A715252">
            <w:pPr>
              <w:spacing w:before="51" w:line="226" w:lineRule="exact"/>
              <w:ind w:left="344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pacing w:val="-5"/>
                <w:w w:val="96"/>
                <w:position w:val="-1"/>
                <w:sz w:val="21"/>
                <w:szCs w:val="21"/>
                <w:u w:val="none" w:color="auto"/>
              </w:rPr>
              <w:t>合计</w:t>
            </w:r>
          </w:p>
        </w:tc>
        <w:tc>
          <w:tcPr>
            <w:tcW w:w="1167" w:type="dxa"/>
            <w:vAlign w:val="top"/>
          </w:tcPr>
          <w:p w14:paraId="690739C5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10BBFD2C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2BC0994E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6C894C14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71" w:type="dxa"/>
            <w:vAlign w:val="top"/>
          </w:tcPr>
          <w:p w14:paraId="2F1A44BB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73" w:type="dxa"/>
            <w:vAlign w:val="top"/>
          </w:tcPr>
          <w:p w14:paraId="12AD6F13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3359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957" w:type="dxa"/>
            <w:gridSpan w:val="3"/>
            <w:vAlign w:val="top"/>
          </w:tcPr>
          <w:p w14:paraId="7EFEF625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9" w:type="dxa"/>
            <w:vAlign w:val="top"/>
          </w:tcPr>
          <w:p w14:paraId="70C5C281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000167CB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6DE6F4C6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0F3548EB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21BCD435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71" w:type="dxa"/>
            <w:vAlign w:val="top"/>
          </w:tcPr>
          <w:p w14:paraId="5ED357EC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73" w:type="dxa"/>
            <w:vAlign w:val="top"/>
          </w:tcPr>
          <w:p w14:paraId="0DBA5089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41EE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57" w:type="dxa"/>
            <w:gridSpan w:val="3"/>
            <w:vAlign w:val="top"/>
          </w:tcPr>
          <w:p w14:paraId="74DADBBE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9" w:type="dxa"/>
            <w:vAlign w:val="top"/>
          </w:tcPr>
          <w:p w14:paraId="4A9AA15A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1AB8D044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6EA2C1C3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39892885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19D529FF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71" w:type="dxa"/>
            <w:vAlign w:val="top"/>
          </w:tcPr>
          <w:p w14:paraId="16E6EEBC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73" w:type="dxa"/>
            <w:vAlign w:val="top"/>
          </w:tcPr>
          <w:p w14:paraId="781632E9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661C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57" w:type="dxa"/>
            <w:gridSpan w:val="3"/>
            <w:vAlign w:val="top"/>
          </w:tcPr>
          <w:p w14:paraId="30E646B0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9" w:type="dxa"/>
            <w:vAlign w:val="top"/>
          </w:tcPr>
          <w:p w14:paraId="6E46D9BC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5D831794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33E047E5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4C7CED83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7F888531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71" w:type="dxa"/>
            <w:vAlign w:val="top"/>
          </w:tcPr>
          <w:p w14:paraId="7B84FE7C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73" w:type="dxa"/>
            <w:vAlign w:val="top"/>
          </w:tcPr>
          <w:p w14:paraId="4F4B3C56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2FD3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57" w:type="dxa"/>
            <w:gridSpan w:val="3"/>
            <w:vAlign w:val="top"/>
          </w:tcPr>
          <w:p w14:paraId="2353AA83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9" w:type="dxa"/>
            <w:vAlign w:val="top"/>
          </w:tcPr>
          <w:p w14:paraId="6E619BA9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4E325ECB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0FAED4FB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750A5ABB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2AD0278B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71" w:type="dxa"/>
            <w:vAlign w:val="top"/>
          </w:tcPr>
          <w:p w14:paraId="267F3DA9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73" w:type="dxa"/>
            <w:vAlign w:val="top"/>
          </w:tcPr>
          <w:p w14:paraId="11C68633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214D9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957" w:type="dxa"/>
            <w:gridSpan w:val="3"/>
            <w:vAlign w:val="top"/>
          </w:tcPr>
          <w:p w14:paraId="5DCFBD72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9" w:type="dxa"/>
            <w:vAlign w:val="top"/>
          </w:tcPr>
          <w:p w14:paraId="6E06FF10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6FF18F0F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70DA4811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6B114F29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052E2AA4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71" w:type="dxa"/>
            <w:vAlign w:val="top"/>
          </w:tcPr>
          <w:p w14:paraId="37ED07D7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73" w:type="dxa"/>
            <w:vAlign w:val="top"/>
          </w:tcPr>
          <w:p w14:paraId="5E6A961B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0EFB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57" w:type="dxa"/>
            <w:gridSpan w:val="3"/>
            <w:vAlign w:val="top"/>
          </w:tcPr>
          <w:p w14:paraId="4E1758F9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9" w:type="dxa"/>
            <w:vAlign w:val="top"/>
          </w:tcPr>
          <w:p w14:paraId="698CBB15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4BB95921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38B30C1E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1428CD2F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67" w:type="dxa"/>
            <w:vAlign w:val="top"/>
          </w:tcPr>
          <w:p w14:paraId="38D725AD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71" w:type="dxa"/>
            <w:vAlign w:val="top"/>
          </w:tcPr>
          <w:p w14:paraId="1BA8D354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73" w:type="dxa"/>
            <w:vAlign w:val="top"/>
          </w:tcPr>
          <w:p w14:paraId="55F48236">
            <w:pPr>
              <w:pStyle w:val="12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</w:tbl>
    <w:p w14:paraId="4A377925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注 ：本表反映部门本年度政府性基金预算财政拨款收入、支出及结转和结余情况。 </w:t>
      </w:r>
    </w:p>
    <w:p w14:paraId="657E0E67"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br w:type="page"/>
      </w:r>
    </w:p>
    <w:p w14:paraId="4BAD11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年度国有资本经营预算财政拨款支出决算表</w:t>
      </w:r>
    </w:p>
    <w:p w14:paraId="4E27F911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公开08表</w:t>
      </w:r>
    </w:p>
    <w:p w14:paraId="07706A8B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武汉市光谷第一小学</w:t>
      </w:r>
      <w:r>
        <w:rPr>
          <w:rFonts w:hint="default" w:ascii="Times New Roman" w:hAnsi="Times New Roman" w:eastAsia="微软雅黑" w:cs="Times New Roman"/>
          <w:spacing w:val="-1"/>
          <w:sz w:val="18"/>
          <w:szCs w:val="18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                 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   单位：万元</w:t>
      </w:r>
    </w:p>
    <w:tbl>
      <w:tblPr>
        <w:tblStyle w:val="11"/>
        <w:tblW w:w="8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392"/>
        <w:gridCol w:w="410"/>
        <w:gridCol w:w="1128"/>
        <w:gridCol w:w="2129"/>
        <w:gridCol w:w="2272"/>
        <w:gridCol w:w="2188"/>
      </w:tblGrid>
      <w:tr w14:paraId="52B89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410" w:type="dxa"/>
            <w:gridSpan w:val="4"/>
            <w:vAlign w:val="center"/>
          </w:tcPr>
          <w:p w14:paraId="3CD66338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项       目</w:t>
            </w:r>
          </w:p>
        </w:tc>
        <w:tc>
          <w:tcPr>
            <w:tcW w:w="6589" w:type="dxa"/>
            <w:gridSpan w:val="3"/>
            <w:vAlign w:val="center"/>
          </w:tcPr>
          <w:p w14:paraId="3F86EDE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本年支出</w:t>
            </w:r>
          </w:p>
        </w:tc>
      </w:tr>
      <w:tr w14:paraId="1FE2C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282" w:type="dxa"/>
            <w:gridSpan w:val="3"/>
            <w:vAlign w:val="center"/>
          </w:tcPr>
          <w:p w14:paraId="3FBA7DA9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功能分类</w:t>
            </w:r>
          </w:p>
          <w:p w14:paraId="0128B87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科目编码</w:t>
            </w:r>
          </w:p>
        </w:tc>
        <w:tc>
          <w:tcPr>
            <w:tcW w:w="1128" w:type="dxa"/>
            <w:vAlign w:val="center"/>
          </w:tcPr>
          <w:p w14:paraId="15F737D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科目名称</w:t>
            </w:r>
          </w:p>
        </w:tc>
        <w:tc>
          <w:tcPr>
            <w:tcW w:w="2129" w:type="dxa"/>
            <w:vAlign w:val="center"/>
          </w:tcPr>
          <w:p w14:paraId="6AD5B9E1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合计</w:t>
            </w:r>
          </w:p>
        </w:tc>
        <w:tc>
          <w:tcPr>
            <w:tcW w:w="2272" w:type="dxa"/>
            <w:vAlign w:val="center"/>
          </w:tcPr>
          <w:p w14:paraId="0F7C125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基本支出</w:t>
            </w:r>
          </w:p>
        </w:tc>
        <w:tc>
          <w:tcPr>
            <w:tcW w:w="2188" w:type="dxa"/>
            <w:vAlign w:val="center"/>
          </w:tcPr>
          <w:p w14:paraId="247EC69C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项目支出</w:t>
            </w:r>
          </w:p>
        </w:tc>
      </w:tr>
      <w:tr w14:paraId="36037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80" w:type="dxa"/>
            <w:vMerge w:val="restart"/>
            <w:tcBorders>
              <w:bottom w:val="nil"/>
            </w:tcBorders>
            <w:vAlign w:val="center"/>
          </w:tcPr>
          <w:p w14:paraId="7B809127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类</w:t>
            </w:r>
          </w:p>
        </w:tc>
        <w:tc>
          <w:tcPr>
            <w:tcW w:w="392" w:type="dxa"/>
            <w:vMerge w:val="restart"/>
            <w:tcBorders>
              <w:bottom w:val="nil"/>
            </w:tcBorders>
            <w:vAlign w:val="center"/>
          </w:tcPr>
          <w:p w14:paraId="132CB70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款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center"/>
          </w:tcPr>
          <w:p w14:paraId="2712A7B7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项</w:t>
            </w:r>
          </w:p>
        </w:tc>
        <w:tc>
          <w:tcPr>
            <w:tcW w:w="1128" w:type="dxa"/>
            <w:vAlign w:val="center"/>
          </w:tcPr>
          <w:p w14:paraId="5B284BC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栏次</w:t>
            </w:r>
          </w:p>
        </w:tc>
        <w:tc>
          <w:tcPr>
            <w:tcW w:w="2129" w:type="dxa"/>
            <w:vAlign w:val="center"/>
          </w:tcPr>
          <w:p w14:paraId="73DB5F0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1</w:t>
            </w:r>
          </w:p>
        </w:tc>
        <w:tc>
          <w:tcPr>
            <w:tcW w:w="2272" w:type="dxa"/>
            <w:vAlign w:val="center"/>
          </w:tcPr>
          <w:p w14:paraId="177A730D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2</w:t>
            </w:r>
          </w:p>
        </w:tc>
        <w:tc>
          <w:tcPr>
            <w:tcW w:w="2188" w:type="dxa"/>
            <w:vAlign w:val="center"/>
          </w:tcPr>
          <w:p w14:paraId="68239A0F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3</w:t>
            </w:r>
          </w:p>
        </w:tc>
      </w:tr>
      <w:tr w14:paraId="7E9C5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80" w:type="dxa"/>
            <w:vMerge w:val="continue"/>
            <w:tcBorders>
              <w:top w:val="nil"/>
            </w:tcBorders>
            <w:vAlign w:val="center"/>
          </w:tcPr>
          <w:p w14:paraId="75EC4E5C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392" w:type="dxa"/>
            <w:vMerge w:val="continue"/>
            <w:tcBorders>
              <w:top w:val="nil"/>
            </w:tcBorders>
            <w:vAlign w:val="center"/>
          </w:tcPr>
          <w:p w14:paraId="1AA120A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410" w:type="dxa"/>
            <w:vMerge w:val="continue"/>
            <w:tcBorders>
              <w:top w:val="nil"/>
            </w:tcBorders>
            <w:vAlign w:val="center"/>
          </w:tcPr>
          <w:p w14:paraId="5D0D1DAD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28" w:type="dxa"/>
            <w:vAlign w:val="center"/>
          </w:tcPr>
          <w:p w14:paraId="3C607931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合计</w:t>
            </w:r>
          </w:p>
        </w:tc>
        <w:tc>
          <w:tcPr>
            <w:tcW w:w="2129" w:type="dxa"/>
            <w:vAlign w:val="center"/>
          </w:tcPr>
          <w:p w14:paraId="7DFE136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272" w:type="dxa"/>
            <w:vAlign w:val="center"/>
          </w:tcPr>
          <w:p w14:paraId="7938AF1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2188" w:type="dxa"/>
            <w:vAlign w:val="center"/>
          </w:tcPr>
          <w:p w14:paraId="7F4D74E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28551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82" w:type="dxa"/>
            <w:gridSpan w:val="3"/>
            <w:vAlign w:val="top"/>
          </w:tcPr>
          <w:p w14:paraId="7322BF52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128" w:type="dxa"/>
            <w:vAlign w:val="top"/>
          </w:tcPr>
          <w:p w14:paraId="0D00D6B8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2129" w:type="dxa"/>
            <w:vAlign w:val="top"/>
          </w:tcPr>
          <w:p w14:paraId="244B18F5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2272" w:type="dxa"/>
            <w:vAlign w:val="top"/>
          </w:tcPr>
          <w:p w14:paraId="2387984F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2188" w:type="dxa"/>
            <w:vAlign w:val="top"/>
          </w:tcPr>
          <w:p w14:paraId="1C1299F2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</w:tr>
      <w:tr w14:paraId="1ED99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82" w:type="dxa"/>
            <w:gridSpan w:val="3"/>
            <w:vAlign w:val="top"/>
          </w:tcPr>
          <w:p w14:paraId="205BEECB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128" w:type="dxa"/>
            <w:vAlign w:val="top"/>
          </w:tcPr>
          <w:p w14:paraId="3CDE775C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2129" w:type="dxa"/>
            <w:vAlign w:val="top"/>
          </w:tcPr>
          <w:p w14:paraId="29A21C4A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2272" w:type="dxa"/>
            <w:vAlign w:val="top"/>
          </w:tcPr>
          <w:p w14:paraId="640C3BF2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2188" w:type="dxa"/>
            <w:vAlign w:val="top"/>
          </w:tcPr>
          <w:p w14:paraId="260B2235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</w:tr>
      <w:tr w14:paraId="3C529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82" w:type="dxa"/>
            <w:gridSpan w:val="3"/>
            <w:vAlign w:val="top"/>
          </w:tcPr>
          <w:p w14:paraId="5E997CEC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128" w:type="dxa"/>
            <w:vAlign w:val="top"/>
          </w:tcPr>
          <w:p w14:paraId="151488F1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2129" w:type="dxa"/>
            <w:vAlign w:val="top"/>
          </w:tcPr>
          <w:p w14:paraId="15DFB323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2272" w:type="dxa"/>
            <w:vAlign w:val="top"/>
          </w:tcPr>
          <w:p w14:paraId="3F1F642A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2188" w:type="dxa"/>
            <w:vAlign w:val="top"/>
          </w:tcPr>
          <w:p w14:paraId="609AE76C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</w:tr>
      <w:tr w14:paraId="02DB3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82" w:type="dxa"/>
            <w:gridSpan w:val="3"/>
            <w:vAlign w:val="top"/>
          </w:tcPr>
          <w:p w14:paraId="5D7DFD73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128" w:type="dxa"/>
            <w:vAlign w:val="top"/>
          </w:tcPr>
          <w:p w14:paraId="4A661507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2129" w:type="dxa"/>
            <w:vAlign w:val="top"/>
          </w:tcPr>
          <w:p w14:paraId="5F705D23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2272" w:type="dxa"/>
            <w:vAlign w:val="top"/>
          </w:tcPr>
          <w:p w14:paraId="32BF0B9E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2188" w:type="dxa"/>
            <w:vAlign w:val="top"/>
          </w:tcPr>
          <w:p w14:paraId="4A52F953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</w:tr>
      <w:tr w14:paraId="54CE0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82" w:type="dxa"/>
            <w:gridSpan w:val="3"/>
            <w:vAlign w:val="top"/>
          </w:tcPr>
          <w:p w14:paraId="19B8602B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128" w:type="dxa"/>
            <w:vAlign w:val="top"/>
          </w:tcPr>
          <w:p w14:paraId="76D7BC9F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2129" w:type="dxa"/>
            <w:vAlign w:val="top"/>
          </w:tcPr>
          <w:p w14:paraId="25C9E741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2272" w:type="dxa"/>
            <w:vAlign w:val="top"/>
          </w:tcPr>
          <w:p w14:paraId="5CC7391C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2188" w:type="dxa"/>
            <w:vAlign w:val="top"/>
          </w:tcPr>
          <w:p w14:paraId="38F15AF5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</w:tr>
      <w:tr w14:paraId="65A47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282" w:type="dxa"/>
            <w:gridSpan w:val="3"/>
            <w:vAlign w:val="top"/>
          </w:tcPr>
          <w:p w14:paraId="592E269E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1128" w:type="dxa"/>
            <w:vAlign w:val="top"/>
          </w:tcPr>
          <w:p w14:paraId="6D09DB57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2129" w:type="dxa"/>
            <w:vAlign w:val="top"/>
          </w:tcPr>
          <w:p w14:paraId="3FF0DBB5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2272" w:type="dxa"/>
            <w:vAlign w:val="top"/>
          </w:tcPr>
          <w:p w14:paraId="7719F364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  <w:tc>
          <w:tcPr>
            <w:tcW w:w="2188" w:type="dxa"/>
            <w:vAlign w:val="top"/>
          </w:tcPr>
          <w:p w14:paraId="0853B6D1">
            <w:pPr>
              <w:pStyle w:val="12"/>
              <w:rPr>
                <w:rFonts w:hint="default" w:ascii="Times New Roman" w:hAnsi="Times New Roman" w:cs="Times New Roman"/>
                <w:u w:val="none" w:color="auto"/>
              </w:rPr>
            </w:pPr>
          </w:p>
        </w:tc>
      </w:tr>
    </w:tbl>
    <w:p w14:paraId="4935A6F3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注：本表反映部门本年度国有资本经营预算财政拨款支出情况。</w:t>
      </w:r>
    </w:p>
    <w:p w14:paraId="159B839E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</w:p>
    <w:p w14:paraId="07686226">
      <w:pPr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  <w:u w:val="none" w:color="auto"/>
        </w:rPr>
      </w:pPr>
      <w:r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  <w:u w:val="none" w:color="auto"/>
        </w:rPr>
        <w:br w:type="page"/>
      </w:r>
    </w:p>
    <w:p w14:paraId="511495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none" w:color="auto"/>
          <w:lang w:val="en-US" w:eastAsia="zh-CN"/>
        </w:rPr>
        <w:t>年度财政拨款“ 三公 ”经费支出决算表</w:t>
      </w:r>
    </w:p>
    <w:p w14:paraId="1840EBDE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公开09表</w:t>
      </w:r>
    </w:p>
    <w:p w14:paraId="4A6563BF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部门： 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武汉市光谷第一小学</w:t>
      </w:r>
      <w:r>
        <w:rPr>
          <w:rFonts w:hint="default" w:ascii="Times New Roman" w:hAnsi="Times New Roman" w:eastAsia="微软雅黑" w:cs="Times New Roman"/>
          <w:spacing w:val="-1"/>
          <w:sz w:val="18"/>
          <w:szCs w:val="18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 xml:space="preserve">                           单位：万元</w:t>
      </w:r>
    </w:p>
    <w:tbl>
      <w:tblPr>
        <w:tblStyle w:val="11"/>
        <w:tblW w:w="99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061"/>
        <w:gridCol w:w="453"/>
        <w:gridCol w:w="1193"/>
        <w:gridCol w:w="1159"/>
        <w:gridCol w:w="634"/>
        <w:gridCol w:w="450"/>
        <w:gridCol w:w="970"/>
        <w:gridCol w:w="641"/>
        <w:gridCol w:w="887"/>
        <w:gridCol w:w="1181"/>
        <w:gridCol w:w="707"/>
      </w:tblGrid>
      <w:tr w14:paraId="77AC0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130" w:type="dxa"/>
            <w:gridSpan w:val="6"/>
            <w:vAlign w:val="center"/>
          </w:tcPr>
          <w:p w14:paraId="30C30E7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预算数</w:t>
            </w:r>
          </w:p>
        </w:tc>
        <w:tc>
          <w:tcPr>
            <w:tcW w:w="4836" w:type="dxa"/>
            <w:gridSpan w:val="6"/>
            <w:vAlign w:val="center"/>
          </w:tcPr>
          <w:p w14:paraId="693F710C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决算数</w:t>
            </w:r>
          </w:p>
        </w:tc>
      </w:tr>
      <w:tr w14:paraId="2A787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630" w:type="dxa"/>
            <w:vMerge w:val="restart"/>
            <w:tcBorders>
              <w:bottom w:val="nil"/>
            </w:tcBorders>
            <w:vAlign w:val="center"/>
          </w:tcPr>
          <w:p w14:paraId="78E3613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  <w:p w14:paraId="72C5E3FC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合计</w:t>
            </w:r>
          </w:p>
        </w:tc>
        <w:tc>
          <w:tcPr>
            <w:tcW w:w="1061" w:type="dxa"/>
            <w:vMerge w:val="restart"/>
            <w:tcBorders>
              <w:bottom w:val="nil"/>
            </w:tcBorders>
            <w:vAlign w:val="center"/>
          </w:tcPr>
          <w:p w14:paraId="7AD32928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  <w:p w14:paraId="6C153CC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因公出国 （境）费</w:t>
            </w:r>
          </w:p>
        </w:tc>
        <w:tc>
          <w:tcPr>
            <w:tcW w:w="2805" w:type="dxa"/>
            <w:gridSpan w:val="3"/>
            <w:vAlign w:val="center"/>
          </w:tcPr>
          <w:p w14:paraId="2B94C76F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公务用车购置及运行维护费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center"/>
          </w:tcPr>
          <w:p w14:paraId="31F67E8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  <w:p w14:paraId="21A1D21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公务接待费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center"/>
          </w:tcPr>
          <w:p w14:paraId="0D180383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  <w:p w14:paraId="786EBF1A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合计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vAlign w:val="center"/>
          </w:tcPr>
          <w:p w14:paraId="702120F8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  <w:p w14:paraId="3FA89F14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因公出国 （境）费</w:t>
            </w:r>
          </w:p>
        </w:tc>
        <w:tc>
          <w:tcPr>
            <w:tcW w:w="2709" w:type="dxa"/>
            <w:gridSpan w:val="3"/>
            <w:vAlign w:val="center"/>
          </w:tcPr>
          <w:p w14:paraId="7A35F09A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公务用车购置及运行维护费</w:t>
            </w:r>
          </w:p>
        </w:tc>
        <w:tc>
          <w:tcPr>
            <w:tcW w:w="707" w:type="dxa"/>
            <w:vMerge w:val="restart"/>
            <w:tcBorders>
              <w:bottom w:val="nil"/>
            </w:tcBorders>
            <w:vAlign w:val="center"/>
          </w:tcPr>
          <w:p w14:paraId="421122F4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  <w:p w14:paraId="6D7A596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公务接 待费</w:t>
            </w:r>
          </w:p>
        </w:tc>
      </w:tr>
      <w:tr w14:paraId="5DB38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630" w:type="dxa"/>
            <w:vMerge w:val="continue"/>
            <w:tcBorders>
              <w:top w:val="nil"/>
            </w:tcBorders>
            <w:vAlign w:val="center"/>
          </w:tcPr>
          <w:p w14:paraId="3A1F469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061" w:type="dxa"/>
            <w:vMerge w:val="continue"/>
            <w:tcBorders>
              <w:top w:val="nil"/>
            </w:tcBorders>
            <w:vAlign w:val="center"/>
          </w:tcPr>
          <w:p w14:paraId="4CA3257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453" w:type="dxa"/>
            <w:vAlign w:val="center"/>
          </w:tcPr>
          <w:p w14:paraId="11D9D61B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小计</w:t>
            </w:r>
          </w:p>
        </w:tc>
        <w:tc>
          <w:tcPr>
            <w:tcW w:w="1193" w:type="dxa"/>
            <w:vAlign w:val="center"/>
          </w:tcPr>
          <w:p w14:paraId="775BB5D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公务用车</w:t>
            </w:r>
          </w:p>
          <w:p w14:paraId="56E75CB4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购置费</w:t>
            </w:r>
          </w:p>
        </w:tc>
        <w:tc>
          <w:tcPr>
            <w:tcW w:w="1159" w:type="dxa"/>
            <w:vAlign w:val="center"/>
          </w:tcPr>
          <w:p w14:paraId="34E6260F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公务用车</w:t>
            </w:r>
          </w:p>
          <w:p w14:paraId="3941966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运行维护费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center"/>
          </w:tcPr>
          <w:p w14:paraId="0F094A27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center"/>
          </w:tcPr>
          <w:p w14:paraId="71399E5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center"/>
          </w:tcPr>
          <w:p w14:paraId="12578A00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641" w:type="dxa"/>
            <w:vAlign w:val="center"/>
          </w:tcPr>
          <w:p w14:paraId="05A2A8FB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小计</w:t>
            </w:r>
          </w:p>
        </w:tc>
        <w:tc>
          <w:tcPr>
            <w:tcW w:w="887" w:type="dxa"/>
            <w:vAlign w:val="center"/>
          </w:tcPr>
          <w:p w14:paraId="2CE9B1B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公务用车 购置费</w:t>
            </w:r>
          </w:p>
        </w:tc>
        <w:tc>
          <w:tcPr>
            <w:tcW w:w="1181" w:type="dxa"/>
            <w:vAlign w:val="center"/>
          </w:tcPr>
          <w:p w14:paraId="36467B2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公务用车   运行维护费</w:t>
            </w:r>
          </w:p>
        </w:tc>
        <w:tc>
          <w:tcPr>
            <w:tcW w:w="707" w:type="dxa"/>
            <w:vMerge w:val="continue"/>
            <w:tcBorders>
              <w:top w:val="nil"/>
            </w:tcBorders>
            <w:vAlign w:val="center"/>
          </w:tcPr>
          <w:p w14:paraId="5FC09E01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  <w:tr w14:paraId="4FFC3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630" w:type="dxa"/>
            <w:vAlign w:val="center"/>
          </w:tcPr>
          <w:p w14:paraId="1E05AC07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1</w:t>
            </w:r>
          </w:p>
        </w:tc>
        <w:tc>
          <w:tcPr>
            <w:tcW w:w="1061" w:type="dxa"/>
            <w:vAlign w:val="center"/>
          </w:tcPr>
          <w:p w14:paraId="33A473A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2</w:t>
            </w:r>
          </w:p>
        </w:tc>
        <w:tc>
          <w:tcPr>
            <w:tcW w:w="453" w:type="dxa"/>
            <w:vAlign w:val="center"/>
          </w:tcPr>
          <w:p w14:paraId="4CFC72EB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3</w:t>
            </w:r>
          </w:p>
        </w:tc>
        <w:tc>
          <w:tcPr>
            <w:tcW w:w="1193" w:type="dxa"/>
            <w:vAlign w:val="center"/>
          </w:tcPr>
          <w:p w14:paraId="42CA7E4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4</w:t>
            </w:r>
          </w:p>
        </w:tc>
        <w:tc>
          <w:tcPr>
            <w:tcW w:w="1159" w:type="dxa"/>
            <w:vAlign w:val="center"/>
          </w:tcPr>
          <w:p w14:paraId="105B077A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5</w:t>
            </w:r>
          </w:p>
        </w:tc>
        <w:tc>
          <w:tcPr>
            <w:tcW w:w="634" w:type="dxa"/>
            <w:vAlign w:val="center"/>
          </w:tcPr>
          <w:p w14:paraId="682C399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6</w:t>
            </w:r>
          </w:p>
        </w:tc>
        <w:tc>
          <w:tcPr>
            <w:tcW w:w="450" w:type="dxa"/>
            <w:vAlign w:val="center"/>
          </w:tcPr>
          <w:p w14:paraId="171F5D24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7</w:t>
            </w:r>
          </w:p>
        </w:tc>
        <w:tc>
          <w:tcPr>
            <w:tcW w:w="970" w:type="dxa"/>
            <w:vAlign w:val="center"/>
          </w:tcPr>
          <w:p w14:paraId="6B7E3A5D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8</w:t>
            </w:r>
          </w:p>
        </w:tc>
        <w:tc>
          <w:tcPr>
            <w:tcW w:w="641" w:type="dxa"/>
            <w:vAlign w:val="center"/>
          </w:tcPr>
          <w:p w14:paraId="05BFE522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9</w:t>
            </w:r>
          </w:p>
        </w:tc>
        <w:tc>
          <w:tcPr>
            <w:tcW w:w="887" w:type="dxa"/>
            <w:vAlign w:val="center"/>
          </w:tcPr>
          <w:p w14:paraId="55575BB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10</w:t>
            </w:r>
          </w:p>
        </w:tc>
        <w:tc>
          <w:tcPr>
            <w:tcW w:w="1181" w:type="dxa"/>
            <w:vAlign w:val="center"/>
          </w:tcPr>
          <w:p w14:paraId="3254569A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11</w:t>
            </w:r>
          </w:p>
        </w:tc>
        <w:tc>
          <w:tcPr>
            <w:tcW w:w="707" w:type="dxa"/>
            <w:vAlign w:val="center"/>
          </w:tcPr>
          <w:p w14:paraId="3FDE3605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  <w:t>12</w:t>
            </w:r>
          </w:p>
        </w:tc>
      </w:tr>
      <w:tr w14:paraId="3A9A9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30" w:type="dxa"/>
            <w:vAlign w:val="center"/>
          </w:tcPr>
          <w:p w14:paraId="60030A9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061" w:type="dxa"/>
            <w:vAlign w:val="center"/>
          </w:tcPr>
          <w:p w14:paraId="2F8C9291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453" w:type="dxa"/>
            <w:vAlign w:val="center"/>
          </w:tcPr>
          <w:p w14:paraId="1130DB93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93" w:type="dxa"/>
            <w:vAlign w:val="center"/>
          </w:tcPr>
          <w:p w14:paraId="071EC9CC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59" w:type="dxa"/>
            <w:vAlign w:val="center"/>
          </w:tcPr>
          <w:p w14:paraId="6AC4E417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634" w:type="dxa"/>
            <w:vAlign w:val="center"/>
          </w:tcPr>
          <w:p w14:paraId="3E2690FB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450" w:type="dxa"/>
            <w:vAlign w:val="center"/>
          </w:tcPr>
          <w:p w14:paraId="38DCE39B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970" w:type="dxa"/>
            <w:vAlign w:val="center"/>
          </w:tcPr>
          <w:p w14:paraId="36F7E7D7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641" w:type="dxa"/>
            <w:vAlign w:val="center"/>
          </w:tcPr>
          <w:p w14:paraId="02271F3E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887" w:type="dxa"/>
            <w:vAlign w:val="center"/>
          </w:tcPr>
          <w:p w14:paraId="2C39CD2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1181" w:type="dxa"/>
            <w:vAlign w:val="center"/>
          </w:tcPr>
          <w:p w14:paraId="150DF863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  <w:tc>
          <w:tcPr>
            <w:tcW w:w="707" w:type="dxa"/>
            <w:vAlign w:val="center"/>
          </w:tcPr>
          <w:p w14:paraId="483939A6">
            <w:pPr>
              <w:pStyle w:val="1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 w:color="auto"/>
              </w:rPr>
            </w:pPr>
          </w:p>
        </w:tc>
      </w:tr>
    </w:tbl>
    <w:p w14:paraId="34AB6E17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t>注 ：本表反映部门本年度财政拨款“三公 ”经费支出预决算情况 。其中，预算数为“三公 ”经费全年预算数，反映按规定程序调整后的预算数 ；决算数是包括当年财政拨款和以前年度结转资金安排的实际支出。</w:t>
      </w:r>
    </w:p>
    <w:p w14:paraId="3D6C5AAB"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u w:val="none" w:color="auto"/>
          <w:lang w:val="en-US" w:eastAsia="zh-CN" w:bidi="ar-SA"/>
        </w:rPr>
        <w:br w:type="page"/>
      </w:r>
    </w:p>
    <w:p w14:paraId="2667E91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225" w:right="0" w:hanging="1225"/>
        <w:jc w:val="center"/>
        <w:textAlignment w:val="baseline"/>
        <w:rPr>
          <w:rFonts w:hint="default" w:ascii="Times New Roman" w:hAnsi="Times New Roman" w:eastAsia="方正小标宋_GBK" w:cs="Times New Roman"/>
          <w:spacing w:val="-23"/>
          <w:sz w:val="44"/>
          <w:szCs w:val="44"/>
          <w:u w:val="none" w:color="auto"/>
        </w:rPr>
      </w:pPr>
      <w:r>
        <w:rPr>
          <w:rFonts w:hint="eastAsia" w:ascii="Times New Roman" w:hAnsi="Times New Roman" w:eastAsia="方正小标宋_GBK" w:cs="Times New Roman"/>
          <w:spacing w:val="-23"/>
          <w:sz w:val="44"/>
          <w:szCs w:val="44"/>
          <w:u w:val="none" w:color="auto"/>
          <w:lang w:eastAsia="zh-CN"/>
        </w:rPr>
        <w:t>武汉市光谷第一小学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  <w:u w:val="none" w:color="auto"/>
        </w:rPr>
        <w:t xml:space="preserve"> 202</w:t>
      </w:r>
      <w:r>
        <w:rPr>
          <w:rFonts w:hint="eastAsia" w:ascii="Times New Roman" w:hAnsi="Times New Roman" w:eastAsia="方正小标宋_GBK" w:cs="Times New Roman"/>
          <w:spacing w:val="-23"/>
          <w:sz w:val="44"/>
          <w:szCs w:val="44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  <w:u w:val="none" w:color="auto"/>
        </w:rPr>
        <w:t>年度 部门决算情况说明</w:t>
      </w:r>
    </w:p>
    <w:p w14:paraId="4A7A33E4">
      <w:pPr>
        <w:rPr>
          <w:rFonts w:hint="default" w:ascii="Times New Roman" w:hAnsi="Times New Roman" w:cs="Times New Roman"/>
          <w:u w:val="none" w:color="auto"/>
        </w:rPr>
      </w:pPr>
    </w:p>
    <w:p w14:paraId="30409DD4">
      <w:pPr>
        <w:rPr>
          <w:rFonts w:hint="default" w:ascii="Times New Roman" w:hAnsi="Times New Roman" w:cs="Times New Roman"/>
          <w:u w:val="none" w:color="auto"/>
          <w:lang w:val="en-US" w:eastAsia="zh-CN"/>
        </w:rPr>
      </w:pPr>
    </w:p>
    <w:p w14:paraId="24B8FCAA">
      <w:pPr>
        <w:spacing w:before="104" w:line="222" w:lineRule="auto"/>
        <w:ind w:left="643"/>
        <w:rPr>
          <w:rFonts w:hint="default" w:ascii="Times New Roman" w:hAnsi="Times New Roman" w:eastAsia="黑体" w:cs="Times New Roman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  <w:u w:val="none" w:color="auto"/>
        </w:rPr>
        <w:t>一、收入支出决算总体情况说明</w:t>
      </w:r>
    </w:p>
    <w:p w14:paraId="40434E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0" w:firstLineChars="200"/>
        <w:textAlignment w:val="baseline"/>
        <w:rPr>
          <w:rFonts w:hint="default" w:ascii="Times New Roman" w:hAnsi="Times New Roman" w:eastAsia="仿宋_GB2312" w:cs="Times New Roman"/>
          <w:spacing w:val="-5"/>
          <w:u w:val="none" w:color="auto"/>
        </w:rPr>
      </w:pP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202</w:t>
      </w:r>
      <w:r>
        <w:rPr>
          <w:rFonts w:hint="eastAsia" w:ascii="Times New Roman" w:hAnsi="Times New Roman" w:eastAsia="仿宋_GB2312" w:cs="Times New Roman"/>
          <w:spacing w:val="-5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50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年度收、支总计</w:t>
      </w:r>
      <w:r>
        <w:rPr>
          <w:rFonts w:hint="eastAsia" w:ascii="Times New Roman" w:hAnsi="Times New Roman" w:eastAsia="仿宋_GB2312" w:cs="Times New Roman"/>
          <w:spacing w:val="-5"/>
          <w:u w:val="none" w:color="auto"/>
          <w:lang w:val="en-US" w:eastAsia="zh-CN"/>
        </w:rPr>
        <w:t>8156.03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万元。与</w:t>
      </w:r>
      <w:r>
        <w:rPr>
          <w:rFonts w:hint="default" w:ascii="Times New Roman" w:hAnsi="Times New Roman" w:eastAsia="仿宋_GB2312" w:cs="Times New Roman"/>
          <w:spacing w:val="-54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202</w:t>
      </w:r>
      <w:r>
        <w:rPr>
          <w:rFonts w:hint="eastAsia" w:ascii="Times New Roman" w:hAnsi="Times New Roman" w:eastAsia="仿宋_GB2312" w:cs="Times New Roman"/>
          <w:spacing w:val="-5"/>
          <w:u w:val="none" w:color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64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年度相比，收、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支总计各增加</w:t>
      </w:r>
      <w:r>
        <w:rPr>
          <w:rFonts w:hint="eastAsia" w:ascii="Times New Roman" w:hAnsi="Times New Roman" w:eastAsia="仿宋_GB2312" w:cs="Times New Roman"/>
          <w:spacing w:val="-1"/>
          <w:u w:val="none" w:color="auto"/>
          <w:lang w:val="en-US" w:eastAsia="zh-CN"/>
        </w:rPr>
        <w:t>970.18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万元，增长</w:t>
      </w:r>
      <w:r>
        <w:rPr>
          <w:rFonts w:hint="eastAsia" w:ascii="Times New Roman" w:hAnsi="Times New Roman" w:eastAsia="仿宋_GB2312" w:cs="Times New Roman"/>
          <w:spacing w:val="-1"/>
          <w:u w:val="none" w:color="auto"/>
          <w:lang w:val="en-US" w:eastAsia="zh-CN"/>
        </w:rPr>
        <w:t>13.50</w:t>
      </w:r>
      <w:r>
        <w:rPr>
          <w:rFonts w:hint="default" w:ascii="Times New Roman" w:hAnsi="Times New Roman" w:eastAsia="仿宋_GB2312" w:cs="Times New Roman"/>
          <w:spacing w:val="-143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%，主要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原因是202</w:t>
      </w:r>
      <w:r>
        <w:rPr>
          <w:rFonts w:hint="eastAsia" w:ascii="Times New Roman" w:hAnsi="Times New Roman" w:eastAsia="仿宋_GB2312" w:cs="Times New Roman"/>
          <w:spacing w:val="-5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年学生数和教师数的增加导致人员经费和公用经费等根据学生、教师人数测算的相关项目预算有所增加。</w:t>
      </w:r>
    </w:p>
    <w:p w14:paraId="0F87F42B">
      <w:pPr>
        <w:pStyle w:val="2"/>
        <w:spacing w:before="74" w:line="224" w:lineRule="auto"/>
        <w:jc w:val="center"/>
        <w:rPr>
          <w:rFonts w:hint="default" w:ascii="Times New Roman" w:hAnsi="Times New Roman" w:eastAsia="楷体_GB2312" w:cs="Times New Roman"/>
          <w:spacing w:val="3"/>
          <w:sz w:val="32"/>
          <w:szCs w:val="32"/>
          <w:u w:val="none" w:color="auto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  <w:u w:val="none" w:color="auto"/>
        </w:rPr>
        <w:t>图</w:t>
      </w:r>
      <w:r>
        <w:rPr>
          <w:rFonts w:hint="default" w:ascii="Times New Roman" w:hAnsi="Times New Roman" w:eastAsia="楷体_GB2312" w:cs="Times New Roman"/>
          <w:spacing w:val="-32"/>
          <w:sz w:val="32"/>
          <w:szCs w:val="32"/>
          <w:u w:val="none" w:color="auto"/>
        </w:rPr>
        <w:t xml:space="preserve"> </w:t>
      </w:r>
      <w:r>
        <w:rPr>
          <w:rFonts w:hint="default" w:ascii="Times New Roman" w:hAnsi="Times New Roman" w:eastAsia="楷体_GB2312" w:cs="Times New Roman"/>
          <w:spacing w:val="3"/>
          <w:sz w:val="32"/>
          <w:szCs w:val="32"/>
          <w:u w:val="none" w:color="auto"/>
        </w:rPr>
        <w:t>1：收、支决算总计变动情况</w:t>
      </w:r>
    </w:p>
    <w:p w14:paraId="63D5A978">
      <w:pPr>
        <w:pStyle w:val="2"/>
        <w:spacing w:before="74" w:line="224" w:lineRule="auto"/>
        <w:jc w:val="center"/>
        <w:rPr>
          <w:rFonts w:hint="default" w:ascii="Times New Roman" w:hAnsi="Times New Roman" w:eastAsia="楷体_GB2312" w:cs="Times New Roman"/>
          <w:spacing w:val="3"/>
          <w:sz w:val="32"/>
          <w:szCs w:val="32"/>
          <w:u w:val="none" w:color="auto"/>
        </w:rPr>
      </w:pPr>
    </w:p>
    <w:p w14:paraId="1971AC24">
      <w:pPr>
        <w:pStyle w:val="2"/>
        <w:spacing w:before="74" w:line="224" w:lineRule="auto"/>
        <w:jc w:val="center"/>
        <w:rPr>
          <w:rFonts w:hint="eastAsia" w:ascii="Times New Roman" w:hAnsi="Times New Roman" w:eastAsia="楷体_GB2312" w:cs="Times New Roman"/>
          <w:spacing w:val="3"/>
          <w:sz w:val="32"/>
          <w:szCs w:val="32"/>
          <w:u w:val="none" w:color="auto"/>
          <w:lang w:val="en-US" w:eastAsia="zh-CN"/>
        </w:rPr>
      </w:pPr>
    </w:p>
    <w:p w14:paraId="49EB178F">
      <w:pPr>
        <w:spacing w:before="60" w:line="3586" w:lineRule="exact"/>
        <w:jc w:val="center"/>
        <w:rPr>
          <w:rFonts w:hint="default" w:ascii="Times New Roman" w:hAnsi="Times New Roman" w:cs="Times New Roman"/>
          <w:u w:val="none" w:color="auto"/>
        </w:rPr>
      </w:pPr>
      <w:r>
        <w:drawing>
          <wp:inline distT="0" distB="0" distL="114300" distR="114300">
            <wp:extent cx="4002405" cy="2270760"/>
            <wp:effectExtent l="4445" t="4445" r="6350" b="10795"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A71AB57">
      <w:pPr>
        <w:spacing w:before="294" w:line="222" w:lineRule="auto"/>
        <w:ind w:left="643"/>
        <w:rPr>
          <w:rFonts w:hint="default" w:ascii="Times New Roman" w:hAnsi="Times New Roman" w:eastAsia="黑体" w:cs="Times New Roman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  <w:u w:val="none" w:color="auto"/>
        </w:rPr>
        <w:t>二、收入决算情况说明</w:t>
      </w:r>
    </w:p>
    <w:p w14:paraId="613228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hint="eastAsia" w:ascii="仿宋" w:hAnsi="仿宋" w:eastAsia="仿宋" w:cs="仿宋"/>
          <w:bCs/>
          <w:kern w:val="44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年度收入合计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8153.44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 w:color="auto"/>
          <w:lang w:val="en-US" w:eastAsia="zh-CN"/>
        </w:rPr>
        <w:t>与2023年度相比，收入合计增加1187.19万元，增长17.04%，主要原因是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202</w:t>
      </w:r>
      <w:r>
        <w:rPr>
          <w:rFonts w:hint="eastAsia" w:ascii="Times New Roman" w:hAnsi="Times New Roman" w:eastAsia="仿宋_GB2312" w:cs="Times New Roman"/>
          <w:spacing w:val="-5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年学生数和教师数的增加导致人员经费和公用经费等根据学生、教师人数测算的相关项目预算有所增加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 w:color="auto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其中：财政拨款收入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7613.86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93.38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%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其他收入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539.58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6.62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%。</w:t>
      </w:r>
    </w:p>
    <w:p w14:paraId="76C3980E">
      <w:pPr>
        <w:pStyle w:val="2"/>
        <w:spacing w:before="220" w:line="223" w:lineRule="auto"/>
        <w:jc w:val="center"/>
        <w:outlineLvl w:val="1"/>
        <w:rPr>
          <w:rFonts w:hint="default" w:ascii="Times New Roman" w:hAnsi="Times New Roman" w:eastAsia="仿宋_GB2312" w:cs="Times New Roman"/>
          <w:b/>
          <w:bCs/>
          <w:spacing w:val="-6"/>
          <w:u w:val="none" w:color="auto"/>
          <w:lang w:val="en-US" w:eastAsia="zh-CN"/>
        </w:rPr>
      </w:pPr>
    </w:p>
    <w:p w14:paraId="78E0F4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楷体_GB2312" w:cs="Times New Roman"/>
          <w:spacing w:val="3"/>
          <w:sz w:val="32"/>
          <w:szCs w:val="32"/>
          <w:u w:val="none" w:color="auto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  <w:u w:val="none" w:color="auto"/>
        </w:rPr>
        <w:t>图 2：收入决算结构</w:t>
      </w:r>
    </w:p>
    <w:p w14:paraId="06897692">
      <w:pPr>
        <w:spacing w:line="269" w:lineRule="auto"/>
        <w:jc w:val="center"/>
        <w:rPr>
          <w:rFonts w:hint="default" w:ascii="Times New Roman" w:hAnsi="Times New Roman" w:cs="Times New Roman"/>
          <w:sz w:val="21"/>
          <w:u w:val="none" w:color="auto"/>
        </w:rPr>
      </w:pPr>
    </w:p>
    <w:p w14:paraId="0F33E608">
      <w:pPr>
        <w:jc w:val="center"/>
        <w:rPr>
          <w:rFonts w:hint="default" w:ascii="Times New Roman" w:hAnsi="Times New Roman" w:cs="Times New Roman"/>
          <w:sz w:val="21"/>
          <w:u w:val="none" w:color="auto"/>
        </w:rPr>
      </w:pPr>
      <w:r>
        <w:drawing>
          <wp:inline distT="0" distB="0" distL="114300" distR="114300">
            <wp:extent cx="3543300" cy="2266950"/>
            <wp:effectExtent l="0" t="0" r="0" b="635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7C397">
      <w:pPr>
        <w:spacing w:line="241" w:lineRule="auto"/>
        <w:rPr>
          <w:rFonts w:hint="default" w:ascii="Times New Roman" w:hAnsi="Times New Roman" w:cs="Times New Roman"/>
          <w:sz w:val="21"/>
          <w:u w:val="none" w:color="auto"/>
        </w:rPr>
      </w:pPr>
    </w:p>
    <w:p w14:paraId="6616624B">
      <w:pPr>
        <w:spacing w:before="104" w:line="222" w:lineRule="auto"/>
        <w:ind w:left="642"/>
        <w:rPr>
          <w:rFonts w:hint="default" w:ascii="Times New Roman" w:hAnsi="Times New Roman" w:eastAsia="黑体" w:cs="Times New Roman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  <w:u w:val="none" w:color="auto"/>
        </w:rPr>
        <w:t>三、支出决算情况说明</w:t>
      </w:r>
    </w:p>
    <w:p w14:paraId="7DC646C2"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年度支出合计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8153.04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与2023年度相比，支出合计增加969.77万元，增长13.50%，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主要原因是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202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年学生数和教师数的增加导致人员经费和公用经费等根据学生、教师人数测算的相关项目预算有所增加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其中：基本支出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7648.98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万元，占本年支出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93.82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%；项目支出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504.06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万元，占本年支出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6.18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%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eastAsia="zh-CN"/>
        </w:rPr>
        <w:t>。</w:t>
      </w:r>
    </w:p>
    <w:p w14:paraId="0E58289E">
      <w:pPr>
        <w:rPr>
          <w:rFonts w:hint="default" w:ascii="Times New Roman" w:hAnsi="Times New Roman" w:cs="Times New Roman"/>
          <w:u w:val="none" w:color="auto"/>
          <w:lang w:val="en-US" w:eastAsia="zh-CN"/>
        </w:rPr>
      </w:pPr>
    </w:p>
    <w:p w14:paraId="43373DC4">
      <w:pPr>
        <w:pStyle w:val="2"/>
        <w:spacing w:before="220" w:line="223" w:lineRule="auto"/>
        <w:jc w:val="both"/>
        <w:outlineLvl w:val="1"/>
        <w:rPr>
          <w:rFonts w:hint="default" w:ascii="Times New Roman" w:hAnsi="Times New Roman" w:eastAsia="仿宋_GB2312" w:cs="Times New Roman"/>
          <w:b/>
          <w:bCs/>
          <w:spacing w:val="-6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u w:val="none" w:color="auto"/>
          <w:lang w:val="en-US" w:eastAsia="zh-CN"/>
        </w:rPr>
        <w:t xml:space="preserve"> </w:t>
      </w:r>
    </w:p>
    <w:p w14:paraId="029EA11B">
      <w:pPr>
        <w:pStyle w:val="2"/>
        <w:spacing w:before="220" w:line="223" w:lineRule="auto"/>
        <w:jc w:val="both"/>
        <w:outlineLvl w:val="1"/>
        <w:rPr>
          <w:rFonts w:hint="default" w:ascii="Times New Roman" w:hAnsi="Times New Roman" w:eastAsia="仿宋_GB2312" w:cs="Times New Roman"/>
          <w:b/>
          <w:bCs/>
          <w:spacing w:val="-6"/>
          <w:u w:val="none" w:color="auto"/>
          <w:lang w:val="en-US" w:eastAsia="zh-CN"/>
        </w:rPr>
      </w:pPr>
    </w:p>
    <w:p w14:paraId="25B89B43">
      <w:pPr>
        <w:pStyle w:val="2"/>
        <w:spacing w:before="220" w:line="223" w:lineRule="auto"/>
        <w:jc w:val="both"/>
        <w:outlineLvl w:val="1"/>
        <w:rPr>
          <w:rFonts w:hint="eastAsia" w:ascii="Times New Roman" w:hAnsi="Times New Roman" w:eastAsia="仿宋_GB2312" w:cs="Times New Roman"/>
          <w:b/>
          <w:bCs/>
          <w:spacing w:val="-6"/>
          <w:u w:val="none" w:color="auto"/>
          <w:lang w:val="en-US" w:eastAsia="zh-CN"/>
        </w:rPr>
      </w:pPr>
    </w:p>
    <w:p w14:paraId="23F5F0F8">
      <w:pPr>
        <w:pStyle w:val="2"/>
        <w:spacing w:before="220" w:line="223" w:lineRule="auto"/>
        <w:jc w:val="both"/>
        <w:outlineLvl w:val="1"/>
        <w:rPr>
          <w:rFonts w:hint="default" w:ascii="Times New Roman" w:hAnsi="Times New Roman" w:eastAsia="仿宋_GB2312" w:cs="Times New Roman"/>
          <w:b/>
          <w:bCs/>
          <w:spacing w:val="-6"/>
          <w:u w:val="none" w:color="auto"/>
          <w:lang w:eastAsia="zh-CN"/>
        </w:rPr>
      </w:pPr>
    </w:p>
    <w:p w14:paraId="5D2F8A7A">
      <w:pPr>
        <w:pStyle w:val="2"/>
        <w:spacing w:before="220" w:line="223" w:lineRule="auto"/>
        <w:jc w:val="both"/>
        <w:outlineLvl w:val="1"/>
        <w:rPr>
          <w:rFonts w:hint="default" w:ascii="Times New Roman" w:hAnsi="Times New Roman" w:eastAsia="仿宋_GB2312" w:cs="Times New Roman"/>
          <w:b/>
          <w:bCs/>
          <w:spacing w:val="-6"/>
          <w:u w:val="none" w:color="auto"/>
          <w:lang w:eastAsia="zh-CN"/>
        </w:rPr>
      </w:pPr>
    </w:p>
    <w:p w14:paraId="59FD6D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楷体_GB2312" w:cs="Times New Roman"/>
          <w:spacing w:val="3"/>
          <w:sz w:val="32"/>
          <w:szCs w:val="32"/>
          <w:u w:val="none" w:color="auto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  <w:u w:val="none" w:color="auto"/>
        </w:rPr>
        <w:t>图 3：支出决算结构</w:t>
      </w:r>
    </w:p>
    <w:p w14:paraId="73DD536D">
      <w:pPr>
        <w:spacing w:before="223" w:line="4723" w:lineRule="exact"/>
        <w:ind w:firstLine="819"/>
        <w:jc w:val="center"/>
        <w:rPr>
          <w:rFonts w:hint="default" w:ascii="Times New Roman" w:hAnsi="Times New Roman" w:cs="Times New Roman"/>
          <w:sz w:val="21"/>
          <w:u w:val="none" w:color="auto"/>
        </w:rPr>
      </w:pPr>
      <w:r>
        <w:drawing>
          <wp:inline distT="0" distB="0" distL="114300" distR="114300">
            <wp:extent cx="4495800" cy="2076450"/>
            <wp:effectExtent l="0" t="0" r="0" b="6350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7BD3C">
      <w:pPr>
        <w:rPr>
          <w:rFonts w:hint="default" w:ascii="Times New Roman" w:hAnsi="Times New Roman" w:cs="Times New Roman"/>
          <w:u w:val="none" w:color="auto"/>
        </w:rPr>
      </w:pPr>
    </w:p>
    <w:p w14:paraId="0DF4E4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  <w:u w:val="none" w:color="auto"/>
        </w:rPr>
        <w:t>四、财政拨款收入支出决算总体情况说明</w:t>
      </w:r>
    </w:p>
    <w:p w14:paraId="269D98F9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年度财政拨款收、支总计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7613.86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万元。与20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年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相比，财政拨款收、支总计各增加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917.23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万元，增长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13.70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%。主要原因是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202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年学生数和教师数的增加导致人员经费和公用经费等根据学生、教师人数测算的相关项目预算有所增加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。</w:t>
      </w:r>
    </w:p>
    <w:p w14:paraId="7A935E90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2024年度财政拨款收入中，一般公共预算财政拨款收入7613.86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eastAsia="zh-CN"/>
        </w:rPr>
        <w:t>，比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2023年度决算数增加917.23万元。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eastAsia="zh-CN"/>
        </w:rPr>
        <w:t>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主要原因是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202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年学生数和教师数的增加导致人员经费和公用经费等根据学生、教师人数测算的相关项目预算有所增加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。</w:t>
      </w:r>
    </w:p>
    <w:p w14:paraId="5200C7DE">
      <w:pPr>
        <w:pStyle w:val="6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</w:pPr>
    </w:p>
    <w:p w14:paraId="7D785785">
      <w:pP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</w:pPr>
    </w:p>
    <w:p w14:paraId="44F96EAF">
      <w:pPr>
        <w:pStyle w:val="6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</w:pPr>
    </w:p>
    <w:p w14:paraId="2C16B25D">
      <w:pPr>
        <w:rPr>
          <w:rFonts w:hint="default"/>
          <w:lang w:eastAsia="zh-CN"/>
        </w:rPr>
      </w:pPr>
    </w:p>
    <w:p w14:paraId="6D7C61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cs="Times New Roman"/>
          <w:u w:val="none" w:color="auto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  <w:u w:val="none" w:color="auto"/>
        </w:rPr>
        <w:t>图 4：财政拨款收、支决算总计变动情况</w:t>
      </w:r>
    </w:p>
    <w:p w14:paraId="0C0BB84C">
      <w:pPr>
        <w:jc w:val="center"/>
        <w:rPr>
          <w:rFonts w:hint="default" w:ascii="Times New Roman" w:hAnsi="Times New Roman" w:cs="Times New Roman"/>
          <w:u w:val="none" w:color="auto"/>
          <w:lang w:val="en-US" w:eastAsia="zh-CN"/>
        </w:rPr>
      </w:pPr>
      <w:r>
        <w:drawing>
          <wp:inline distT="0" distB="0" distL="114300" distR="114300">
            <wp:extent cx="4711700" cy="234315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871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left="0" w:firstLine="640" w:firstLineChars="200"/>
        <w:textAlignment w:val="baseline"/>
        <w:outlineLvl w:val="0"/>
        <w:rPr>
          <w:rFonts w:hint="default" w:ascii="Times New Roman" w:hAnsi="Times New Roman" w:eastAsia="黑体" w:cs="Times New Roman"/>
          <w:spacing w:val="0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u w:val="none" w:color="auto"/>
        </w:rPr>
        <w:t>五、一般公共预算财政拨款支出决算情况说明</w:t>
      </w:r>
    </w:p>
    <w:p w14:paraId="45D8AE7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lef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  <w:u w:val="none" w:color="auto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u w:val="none" w:color="auto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u w:val="none" w:color="auto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u w:val="none" w:color="auto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u w:val="none" w:color="auto"/>
        </w:rPr>
        <w:t>一般公共预算财政拨款支出决算总体情况</w:t>
      </w:r>
    </w:p>
    <w:p w14:paraId="2B8536B9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年度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财政拨款支出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7613.86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万元，占本年支出合计的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%。与20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年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相比，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财政拨款支出增加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917.23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万元，增长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13.70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%。主要原因是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202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年学生数和教师数的增加导致人员经费和公用经费等根据学生、教师人数测算的相关项目预算有所增加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。</w:t>
      </w:r>
    </w:p>
    <w:p w14:paraId="236C2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 w:color="auto"/>
          <w:lang w:val="en-US" w:eastAsia="zh-CN"/>
        </w:rPr>
        <w:t>(二)一般公共预算财政拨款支出决算结构情况</w:t>
      </w:r>
    </w:p>
    <w:p w14:paraId="3B4C9CC3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年度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财政拨款支出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7613.86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</w:rPr>
        <w:t>万元，主要用于以下方面：</w:t>
      </w:r>
      <w:bookmarkStart w:id="0" w:name="_GoBack"/>
      <w:bookmarkEnd w:id="0"/>
    </w:p>
    <w:p w14:paraId="1700335D"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none" w:color="auto"/>
          <w:lang w:val="en-US" w:eastAsia="zh-CN"/>
        </w:rPr>
        <w:t>教育支出7100.36万元，占93.26%；社会保障和就业支出513.50万元，占6.74%。</w:t>
      </w:r>
    </w:p>
    <w:p w14:paraId="49FBA8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u w:val="none" w:color="auto"/>
          <w:lang w:eastAsia="zh-CN"/>
        </w:rPr>
        <w:t>（三）一般公共预算财政拨款支出决算具体情况</w:t>
      </w:r>
    </w:p>
    <w:p w14:paraId="74077F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3"/>
          <w:highlight w:val="none"/>
          <w:u w:val="none" w:color="auto"/>
        </w:rPr>
        <w:t>202</w:t>
      </w:r>
      <w:r>
        <w:rPr>
          <w:rFonts w:hint="eastAsia" w:ascii="Times New Roman" w:hAnsi="Times New Roman" w:eastAsia="仿宋_GB2312" w:cs="Times New Roman"/>
          <w:spacing w:val="-3"/>
          <w:highlight w:val="none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3"/>
          <w:highlight w:val="none"/>
          <w:u w:val="none" w:color="auto"/>
        </w:rPr>
        <w:t>年度一般公共预算财政拨款支出年初预算为</w:t>
      </w:r>
      <w:r>
        <w:rPr>
          <w:rFonts w:hint="eastAsia" w:ascii="Times New Roman" w:hAnsi="Times New Roman" w:eastAsia="仿宋_GB2312" w:cs="Times New Roman"/>
          <w:spacing w:val="-6"/>
          <w:highlight w:val="none"/>
          <w:u w:val="none" w:color="auto"/>
          <w:lang w:val="en-US" w:eastAsia="zh-CN"/>
        </w:rPr>
        <w:t>7522.33</w:t>
      </w:r>
      <w:r>
        <w:rPr>
          <w:rFonts w:hint="default" w:ascii="Times New Roman" w:hAnsi="Times New Roman" w:eastAsia="仿宋_GB2312" w:cs="Times New Roman"/>
          <w:spacing w:val="-3"/>
          <w:highlight w:val="none"/>
          <w:u w:val="none" w:color="auto"/>
        </w:rPr>
        <w:t>万元，</w:t>
      </w:r>
      <w:r>
        <w:rPr>
          <w:rFonts w:hint="default" w:ascii="Times New Roman" w:hAnsi="Times New Roman" w:eastAsia="仿宋_GB2312" w:cs="Times New Roman"/>
          <w:highlight w:val="none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highlight w:val="none"/>
          <w:u w:val="none" w:color="auto"/>
        </w:rPr>
        <w:t>支出决算为</w:t>
      </w:r>
      <w:r>
        <w:rPr>
          <w:rFonts w:hint="eastAsia" w:ascii="Times New Roman" w:hAnsi="Times New Roman" w:eastAsia="仿宋_GB2312" w:cs="Times New Roman"/>
          <w:spacing w:val="-1"/>
          <w:highlight w:val="none"/>
          <w:u w:val="none" w:color="auto"/>
          <w:lang w:val="en-US" w:eastAsia="zh-CN"/>
        </w:rPr>
        <w:t>7613.86</w:t>
      </w:r>
      <w:r>
        <w:rPr>
          <w:rFonts w:hint="default" w:ascii="Times New Roman" w:hAnsi="Times New Roman" w:eastAsia="仿宋_GB2312" w:cs="Times New Roman"/>
          <w:spacing w:val="-1"/>
          <w:highlight w:val="none"/>
          <w:u w:val="none" w:color="auto"/>
        </w:rPr>
        <w:t>万元，完成年初预算的</w:t>
      </w:r>
      <w:r>
        <w:rPr>
          <w:rFonts w:hint="eastAsia" w:ascii="Times New Roman" w:hAnsi="Times New Roman" w:eastAsia="仿宋_GB2312" w:cs="Times New Roman"/>
          <w:spacing w:val="-1"/>
          <w:highlight w:val="none"/>
          <w:u w:val="none" w:color="auto"/>
          <w:lang w:val="en-US" w:eastAsia="zh-CN"/>
        </w:rPr>
        <w:t>102.22</w:t>
      </w:r>
      <w:r>
        <w:rPr>
          <w:rFonts w:hint="default" w:ascii="Times New Roman" w:hAnsi="Times New Roman" w:eastAsia="仿宋_GB2312" w:cs="Times New Roman"/>
          <w:spacing w:val="-148"/>
          <w:highlight w:val="none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highlight w:val="none"/>
          <w:u w:val="none" w:color="auto"/>
        </w:rPr>
        <w:t>%。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其中：基本支出</w:t>
      </w:r>
      <w:r>
        <w:rPr>
          <w:rFonts w:hint="eastAsia" w:ascii="Times New Roman" w:hAnsi="Times New Roman" w:eastAsia="仿宋_GB2312" w:cs="Times New Roman"/>
          <w:u w:val="none" w:color="auto"/>
          <w:lang w:val="en-US" w:eastAsia="zh-CN"/>
        </w:rPr>
        <w:t>7299.80</w:t>
      </w:r>
      <w:r>
        <w:rPr>
          <w:rFonts w:hint="default" w:ascii="Times New Roman" w:hAnsi="Times New Roman" w:eastAsia="仿宋_GB2312" w:cs="Times New Roman"/>
          <w:spacing w:val="-6"/>
          <w:u w:val="none" w:color="auto"/>
        </w:rPr>
        <w:t>万元，项目支出</w:t>
      </w:r>
      <w:r>
        <w:rPr>
          <w:rFonts w:hint="eastAsia" w:ascii="Times New Roman" w:hAnsi="Times New Roman" w:eastAsia="仿宋_GB2312" w:cs="Times New Roman"/>
          <w:spacing w:val="-6"/>
          <w:u w:val="none" w:color="auto"/>
          <w:lang w:val="en-US" w:eastAsia="zh-CN"/>
        </w:rPr>
        <w:t>314.06</w:t>
      </w:r>
      <w:r>
        <w:rPr>
          <w:rFonts w:hint="default" w:ascii="Times New Roman" w:hAnsi="Times New Roman" w:eastAsia="仿宋_GB2312" w:cs="Times New Roman"/>
          <w:spacing w:val="-6"/>
          <w:u w:val="none" w:color="auto"/>
        </w:rPr>
        <w:t>万元。项目支出主要用于</w:t>
      </w:r>
      <w:r>
        <w:rPr>
          <w:rFonts w:hint="eastAsia" w:ascii="Times New Roman" w:hAnsi="Times New Roman" w:eastAsia="仿宋_GB2312" w:cs="Times New Roman"/>
          <w:spacing w:val="-6"/>
          <w:u w:val="none" w:color="auto"/>
          <w:lang w:eastAsia="zh-CN"/>
        </w:rPr>
        <w:t>：</w:t>
      </w:r>
    </w:p>
    <w:p w14:paraId="342B92E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8" w:firstLineChars="200"/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val="en-US" w:eastAsia="zh-CN"/>
        </w:rPr>
        <w:t>城乡义务教育补助经费</w:t>
      </w: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 xml:space="preserve">219.59万元，对学校公用经费的补充，保障学校正常运转。 </w:t>
      </w:r>
    </w:p>
    <w:p w14:paraId="076220F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8" w:firstLineChars="200"/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val="en-US" w:eastAsia="zh-CN"/>
        </w:rPr>
        <w:t>城乡义务教育经费保障机制省级资金</w:t>
      </w: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86.35万元，对学校公用经费的补充，重点用于教师各级各类培训。</w:t>
      </w:r>
    </w:p>
    <w:p w14:paraId="0C47E67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8" w:firstLineChars="200"/>
        <w:rPr>
          <w:rFonts w:hint="default" w:ascii="Times New Roman" w:hAnsi="Times New Roman" w:eastAsia="仿宋_GB2312" w:cs="Times New Roman"/>
          <w:spacing w:val="-8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val="en-US" w:eastAsia="zh-CN"/>
        </w:rPr>
        <w:t>教育事业发展专项</w:t>
      </w: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8.12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 xml:space="preserve">，对学校公用经费的补充，保障学校正常运转。 </w:t>
      </w:r>
    </w:p>
    <w:p w14:paraId="5FD60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  <w:u w:val="none" w:color="auto"/>
        </w:rPr>
        <w:t>六、一般公共预算财政拨款基本支出决算情况说明</w:t>
      </w:r>
    </w:p>
    <w:p w14:paraId="197ED6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12" w:firstLineChars="200"/>
        <w:jc w:val="both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202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7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年度一般公共预算财政拨款基本支出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val="en-US" w:eastAsia="zh-CN"/>
        </w:rPr>
        <w:t>7299.80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万元，其中：</w:t>
      </w:r>
      <w:r>
        <w:rPr>
          <w:rFonts w:hint="default" w:ascii="Times New Roman" w:hAnsi="Times New Roman" w:eastAsia="仿宋_GB2312" w:cs="Times New Roman"/>
          <w:spacing w:val="-13"/>
          <w:u w:val="none" w:color="auto"/>
        </w:rPr>
        <w:t>人员经费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val="en-US" w:eastAsia="zh-CN"/>
        </w:rPr>
        <w:t>6633.55</w:t>
      </w:r>
      <w:r>
        <w:rPr>
          <w:rFonts w:hint="default" w:ascii="Times New Roman" w:hAnsi="Times New Roman" w:eastAsia="仿宋_GB2312" w:cs="Times New Roman"/>
          <w:spacing w:val="-13"/>
          <w:u w:val="none" w:color="auto"/>
        </w:rPr>
        <w:t>万元，主要包括：基本工资、津贴补贴、</w:t>
      </w:r>
      <w:r>
        <w:rPr>
          <w:rFonts w:hint="default" w:ascii="Times New Roman" w:hAnsi="Times New Roman" w:eastAsia="仿宋_GB2312" w:cs="Times New Roman"/>
          <w:spacing w:val="-14"/>
          <w:u w:val="none" w:color="auto"/>
        </w:rPr>
        <w:t>奖金、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伙食补助费、绩效工资、机关事业单位基本养老保险缴费、职业年金缴费、职工基本医疗保险缴费、公务员医疗补助缴费、其他社会保障缴费、住房公积金、医疗费、其他工资福利支出、离休费、退休费、退职</w:t>
      </w:r>
      <w:r>
        <w:rPr>
          <w:rFonts w:hint="eastAsia" w:ascii="Times New Roman" w:hAnsi="Times New Roman" w:eastAsia="仿宋_GB2312" w:cs="Times New Roman"/>
          <w:spacing w:val="-5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役</w:t>
      </w:r>
      <w:r>
        <w:rPr>
          <w:rFonts w:hint="eastAsia" w:ascii="Times New Roman" w:hAnsi="Times New Roman" w:eastAsia="仿宋_GB2312" w:cs="Times New Roman"/>
          <w:spacing w:val="-5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费、抚恤金、生活补助</w:t>
      </w:r>
      <w:r>
        <w:rPr>
          <w:rFonts w:hint="default" w:ascii="Times New Roman" w:hAnsi="Times New Roman" w:eastAsia="仿宋_GB2312" w:cs="Times New Roman"/>
          <w:spacing w:val="-6"/>
          <w:u w:val="none" w:color="auto"/>
        </w:rPr>
        <w:t>、救济费、医疗费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补助、助学金、奖励金、个人农业生产补贴、代缴社会保险费、</w:t>
      </w:r>
      <w:r>
        <w:rPr>
          <w:rFonts w:hint="default" w:ascii="Times New Roman" w:hAnsi="Times New Roman" w:eastAsia="仿宋_GB2312" w:cs="Times New Roman"/>
          <w:spacing w:val="12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其他对个人和家庭的补助。</w:t>
      </w:r>
    </w:p>
    <w:p w14:paraId="7B697B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6"/>
          <w:u w:val="none" w:color="auto"/>
        </w:rPr>
        <w:t>公用经费</w:t>
      </w:r>
      <w:r>
        <w:rPr>
          <w:rFonts w:hint="eastAsia" w:ascii="Times New Roman" w:hAnsi="Times New Roman" w:eastAsia="仿宋_GB2312" w:cs="Times New Roman"/>
          <w:spacing w:val="-6"/>
          <w:u w:val="none" w:color="auto"/>
          <w:lang w:val="en-US" w:eastAsia="zh-CN"/>
        </w:rPr>
        <w:t>666.25</w:t>
      </w:r>
      <w:r>
        <w:rPr>
          <w:rFonts w:hint="default" w:ascii="Times New Roman" w:hAnsi="Times New Roman" w:eastAsia="仿宋_GB2312" w:cs="Times New Roman"/>
          <w:spacing w:val="-6"/>
          <w:u w:val="none" w:color="auto"/>
        </w:rPr>
        <w:t>万元，主要包括：办公费、</w:t>
      </w:r>
      <w:r>
        <w:rPr>
          <w:rFonts w:hint="default" w:ascii="Times New Roman" w:hAnsi="Times New Roman" w:eastAsia="仿宋_GB2312" w:cs="Times New Roman"/>
          <w:spacing w:val="-93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u w:val="none" w:color="auto"/>
        </w:rPr>
        <w:t>印刷费、咨询费、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手续费、水费、电费、邮电费、取暖费、物业管理费、差旅费、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因公出国</w:t>
      </w:r>
      <w:r>
        <w:rPr>
          <w:rFonts w:hint="default" w:ascii="Times New Roman" w:hAnsi="Times New Roman" w:eastAsia="仿宋_GB2312" w:cs="Times New Roman"/>
          <w:spacing w:val="-75"/>
          <w:u w:val="non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境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费用、维修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护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费、租赁费、会议费、培训费、公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务接待费、专用材料费、被装购置费、专用燃料费、劳务费、委托业务费、工会经费、福利费、公务用车运行维护费、其他交通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费用、税金及附加费用、其他商品和服务支出、办公设备购置、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专用设备购置、信息网络及软件购置更新、公务用车购置、文物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和陈列品购置、无形资产购置、其他资本性支出。</w:t>
      </w:r>
    </w:p>
    <w:p w14:paraId="5E391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default" w:ascii="Times New Roman" w:hAnsi="Times New Roman" w:eastAsia="黑体" w:cs="Times New Roman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 w:color="auto"/>
        </w:rPr>
        <w:t>七、政府性基金预算财政拨款收入支出决算情</w:t>
      </w:r>
      <w:r>
        <w:rPr>
          <w:rFonts w:hint="default" w:ascii="Times New Roman" w:hAnsi="Times New Roman" w:eastAsia="黑体" w:cs="Times New Roman"/>
          <w:spacing w:val="-1"/>
          <w:sz w:val="32"/>
          <w:szCs w:val="32"/>
          <w:u w:val="none" w:color="auto"/>
        </w:rPr>
        <w:t>况说明</w:t>
      </w:r>
    </w:p>
    <w:p w14:paraId="6A7B0D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eastAsia" w:ascii="Times New Roman" w:hAnsi="Times New Roman" w:eastAsia="仿宋_GB2312" w:cs="Times New Roman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u w:val="none" w:color="auto"/>
          <w:lang w:val="en-US" w:eastAsia="zh-CN"/>
        </w:rPr>
        <w:t>本部门当年无政府性基金预算财政拨款支出。</w:t>
      </w:r>
    </w:p>
    <w:p w14:paraId="282452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pacing w:val="-1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  <w:u w:val="none" w:color="auto"/>
        </w:rPr>
        <w:t>国有资本经营预算财政拨款支出决算情况说明</w:t>
      </w:r>
    </w:p>
    <w:p w14:paraId="41456242">
      <w:pPr>
        <w:pStyle w:val="6"/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u w:val="none" w:color="auto"/>
          <w:lang w:val="en-US" w:eastAsia="zh-CN"/>
        </w:rPr>
        <w:t>本部门当年无国有资本经营预算财政拨款支出。</w:t>
      </w:r>
    </w:p>
    <w:p w14:paraId="6168E12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6" w:firstLineChars="200"/>
        <w:rPr>
          <w:rFonts w:hint="default" w:ascii="Times New Roman" w:hAnsi="Times New Roman" w:eastAsia="黑体" w:cs="Times New Roman"/>
          <w:spacing w:val="-1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  <w:u w:val="none" w:color="auto"/>
        </w:rPr>
        <w:t>九、财政拨款“三公”经费支出决算情况说明</w:t>
      </w:r>
    </w:p>
    <w:p w14:paraId="518DF4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rPr>
          <w:rFonts w:hint="default" w:ascii="Times New Roman" w:hAnsi="Times New Roman" w:eastAsia="仿宋_GB2312" w:cs="Times New Roman"/>
          <w:spacing w:val="1"/>
          <w:u w:val="none" w:color="auto"/>
          <w:lang w:eastAsia="zh-CN"/>
        </w:rPr>
      </w:pPr>
      <w:r>
        <w:rPr>
          <w:rFonts w:hint="eastAsia" w:ascii="Times New Roman" w:hAnsi="Times New Roman" w:eastAsia="仿宋_GB2312" w:cs="Times New Roman"/>
          <w:spacing w:val="1"/>
          <w:u w:val="none" w:color="auto"/>
          <w:lang w:val="en-US" w:eastAsia="zh-CN"/>
        </w:rPr>
        <w:t>2024年度“三公”经费财政拨款支出全年预算为</w:t>
      </w:r>
      <w:r>
        <w:rPr>
          <w:rFonts w:hint="eastAsia" w:ascii="Times New Roman" w:hAnsi="Times New Roman" w:eastAsia="仿宋_GB2312" w:cs="Times New Roman"/>
          <w:spacing w:val="-5"/>
          <w:u w:val="none" w:color="auto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pacing w:val="1"/>
          <w:u w:val="none" w:color="auto"/>
          <w:lang w:val="en-US" w:eastAsia="zh-CN"/>
        </w:rPr>
        <w:t>万元，支出决算为</w:t>
      </w:r>
      <w:r>
        <w:rPr>
          <w:rFonts w:hint="eastAsia" w:ascii="Times New Roman" w:hAnsi="Times New Roman" w:eastAsia="仿宋_GB2312" w:cs="Times New Roman"/>
          <w:spacing w:val="-5"/>
          <w:u w:val="none" w:color="auto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pacing w:val="1"/>
          <w:u w:val="none" w:color="auto"/>
          <w:lang w:val="en-US" w:eastAsia="zh-CN"/>
        </w:rPr>
        <w:t>万元，完成全年预算的</w:t>
      </w:r>
      <w:r>
        <w:rPr>
          <w:rFonts w:hint="eastAsia" w:ascii="Times New Roman" w:hAnsi="Times New Roman" w:eastAsia="仿宋_GB2312" w:cs="Times New Roman"/>
          <w:spacing w:val="-5"/>
          <w:u w:val="none" w:color="auto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pacing w:val="1"/>
          <w:u w:val="none" w:color="auto"/>
          <w:lang w:val="en-US" w:eastAsia="zh-CN"/>
        </w:rPr>
        <w:t>%。较上年增加(减少)0万元，增长(下降)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5"/>
          <w:u w:val="none" w:color="auto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pacing w:val="1"/>
          <w:u w:val="none" w:color="auto"/>
          <w:lang w:val="en-US" w:eastAsia="zh-CN"/>
        </w:rPr>
        <w:t>%。</w:t>
      </w:r>
    </w:p>
    <w:p w14:paraId="5F1CF0E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u w:val="none" w:color="auto"/>
          <w:lang w:eastAsia="zh-CN"/>
        </w:rPr>
        <w:t>（二）“三公”经费财政拨款支出决算具体情况说明。</w:t>
      </w:r>
    </w:p>
    <w:p w14:paraId="78799F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1.因公出国</w:t>
      </w:r>
      <w:r>
        <w:rPr>
          <w:rFonts w:hint="default" w:ascii="Times New Roman" w:hAnsi="Times New Roman" w:eastAsia="仿宋_GB2312" w:cs="Times New Roman"/>
          <w:spacing w:val="-80"/>
          <w:u w:val="non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境</w:t>
      </w:r>
      <w:r>
        <w:rPr>
          <w:rFonts w:hint="eastAsia" w:ascii="Times New Roman" w:hAnsi="Times New Roman" w:eastAsia="仿宋_GB2312" w:cs="Times New Roman"/>
          <w:spacing w:val="-4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费</w:t>
      </w:r>
      <w:r>
        <w:rPr>
          <w:rFonts w:hint="eastAsia" w:ascii="Times New Roman" w:hAnsi="Times New Roman" w:eastAsia="仿宋_GB2312" w:cs="Times New Roman"/>
          <w:spacing w:val="-4"/>
          <w:u w:val="none" w:color="auto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预算为</w:t>
      </w:r>
      <w:r>
        <w:rPr>
          <w:rFonts w:hint="eastAsia" w:ascii="Times New Roman" w:hAnsi="Times New Roman" w:eastAsia="仿宋_GB2312" w:cs="Times New Roman"/>
          <w:spacing w:val="-4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万元，支出决算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为</w:t>
      </w:r>
      <w:r>
        <w:rPr>
          <w:rFonts w:hint="eastAsia" w:ascii="Times New Roman" w:hAnsi="Times New Roman" w:eastAsia="仿宋_GB2312" w:cs="Times New Roman"/>
          <w:spacing w:val="-5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万元，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  <w:u w:val="none" w:color="auto"/>
        </w:rPr>
        <w:t>完成</w:t>
      </w:r>
      <w:r>
        <w:rPr>
          <w:rFonts w:hint="eastAsia" w:ascii="Times New Roman" w:hAnsi="Times New Roman" w:eastAsia="仿宋_GB2312" w:cs="Times New Roman"/>
          <w:spacing w:val="11"/>
          <w:u w:val="none" w:color="auto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spacing w:val="11"/>
          <w:u w:val="none" w:color="auto"/>
        </w:rPr>
        <w:t>预算的</w:t>
      </w:r>
      <w:r>
        <w:rPr>
          <w:rFonts w:hint="default" w:ascii="Times New Roman" w:hAnsi="Times New Roman" w:eastAsia="仿宋_GB2312" w:cs="Times New Roman"/>
          <w:spacing w:val="-145"/>
          <w:u w:val="non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17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45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  <w:u w:val="none" w:color="auto"/>
        </w:rPr>
        <w:t>%，</w:t>
      </w:r>
      <w:r>
        <w:rPr>
          <w:rFonts w:hint="default" w:ascii="Times New Roman" w:hAnsi="Times New Roman" w:eastAsia="仿宋_GB2312" w:cs="Times New Roman"/>
          <w:spacing w:val="-78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  <w:u w:val="none" w:color="auto"/>
        </w:rPr>
        <w:t>比</w:t>
      </w:r>
      <w:r>
        <w:rPr>
          <w:rFonts w:hint="eastAsia" w:ascii="Times New Roman" w:hAnsi="Times New Roman" w:eastAsia="仿宋_GB2312" w:cs="Times New Roman"/>
          <w:spacing w:val="11"/>
          <w:u w:val="none" w:color="auto"/>
          <w:lang w:eastAsia="zh-CN"/>
        </w:rPr>
        <w:t>上年</w:t>
      </w:r>
      <w:r>
        <w:rPr>
          <w:rFonts w:hint="default" w:ascii="Times New Roman" w:hAnsi="Times New Roman" w:eastAsia="仿宋_GB2312" w:cs="Times New Roman"/>
          <w:spacing w:val="11"/>
          <w:u w:val="none" w:color="auto"/>
        </w:rPr>
        <w:t>增加</w:t>
      </w:r>
      <w:r>
        <w:rPr>
          <w:rFonts w:hint="eastAsia" w:ascii="Times New Roman" w:hAnsi="Times New Roman" w:eastAsia="仿宋_GB2312" w:cs="Times New Roman"/>
          <w:spacing w:val="11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1"/>
          <w:u w:val="none" w:color="auto"/>
        </w:rPr>
        <w:t>减少</w:t>
      </w:r>
      <w:r>
        <w:rPr>
          <w:rFonts w:hint="eastAsia" w:ascii="Times New Roman" w:hAnsi="Times New Roman" w:eastAsia="仿宋_GB2312" w:cs="Times New Roman"/>
          <w:spacing w:val="11"/>
          <w:u w:val="none" w:color="auto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11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1"/>
          <w:u w:val="none" w:color="auto"/>
        </w:rPr>
        <w:t>万</w:t>
      </w:r>
      <w:r>
        <w:rPr>
          <w:rFonts w:hint="default" w:ascii="Times New Roman" w:hAnsi="Times New Roman" w:eastAsia="仿宋_GB2312" w:cs="Times New Roman"/>
          <w:spacing w:val="10"/>
          <w:u w:val="none" w:color="auto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增长(下降)0%。</w:t>
      </w:r>
      <w:r>
        <w:rPr>
          <w:rFonts w:hint="default" w:ascii="Times New Roman" w:hAnsi="Times New Roman" w:eastAsia="仿宋_GB2312" w:cs="Times New Roman"/>
          <w:spacing w:val="-108"/>
          <w:u w:val="none" w:color="auto"/>
        </w:rPr>
        <w:t xml:space="preserve"> </w:t>
      </w:r>
    </w:p>
    <w:p w14:paraId="08D2F7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rPr>
          <w:rFonts w:hint="eastAsia" w:ascii="Times New Roman" w:hAnsi="Times New Roman" w:eastAsia="仿宋_GB2312" w:cs="Times New Roman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全年支出涉及出国（境）团组</w:t>
      </w:r>
      <w:r>
        <w:rPr>
          <w:rFonts w:hint="eastAsia" w:ascii="Times New Roman" w:hAnsi="Times New Roman" w:eastAsia="仿宋_GB2312" w:cs="Times New Roman"/>
          <w:spacing w:val="-5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个，累计</w:t>
      </w:r>
      <w:r>
        <w:rPr>
          <w:rFonts w:hint="eastAsia" w:ascii="Times New Roman" w:hAnsi="Times New Roman" w:eastAsia="仿宋_GB2312" w:cs="Times New Roman"/>
          <w:spacing w:val="-5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6"/>
          <w:u w:val="none" w:color="auto"/>
        </w:rPr>
        <w:t>人次</w:t>
      </w:r>
      <w:r>
        <w:rPr>
          <w:rFonts w:hint="eastAsia" w:ascii="Times New Roman" w:hAnsi="Times New Roman" w:eastAsia="仿宋_GB2312" w:cs="Times New Roman"/>
          <w:spacing w:val="-6"/>
          <w:u w:val="none" w:color="auto"/>
          <w:lang w:eastAsia="zh-CN"/>
        </w:rPr>
        <w:t>。</w:t>
      </w:r>
    </w:p>
    <w:p w14:paraId="65E152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6"/>
          <w:u w:val="none" w:color="auto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eastAsia="zh-CN"/>
        </w:rPr>
        <w:t>预算为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</w:rPr>
        <w:t>支出决算为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</w:rPr>
        <w:t>万元，完成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</w:rPr>
        <w:t>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 w:color="auto"/>
        </w:rPr>
        <w:t xml:space="preserve"> %；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较上年增加(减少)0万元，增长(下降)0%。</w:t>
      </w:r>
    </w:p>
    <w:p w14:paraId="4A13C7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eastAsia" w:ascii="Times New Roman" w:hAnsi="Times New Roman" w:eastAsia="仿宋_GB2312" w:cs="Times New Roman"/>
          <w:spacing w:val="-7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1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公务用车购置费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万元，完成年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初预算的</w:t>
      </w: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8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%，比年</w:t>
      </w:r>
      <w:r>
        <w:rPr>
          <w:rFonts w:hint="default" w:ascii="Times New Roman" w:hAnsi="Times New Roman" w:eastAsia="仿宋_GB2312" w:cs="Times New Roman"/>
          <w:spacing w:val="-2"/>
          <w:u w:val="none" w:color="auto"/>
        </w:rPr>
        <w:t>初预算增加</w:t>
      </w:r>
      <w:r>
        <w:rPr>
          <w:rFonts w:hint="eastAsia" w:ascii="Times New Roman" w:hAnsi="Times New Roman" w:eastAsia="仿宋_GB2312" w:cs="Times New Roman"/>
          <w:spacing w:val="-2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  <w:u w:val="none" w:color="auto"/>
        </w:rPr>
        <w:t>减少</w:t>
      </w:r>
      <w:r>
        <w:rPr>
          <w:rFonts w:hint="eastAsia" w:ascii="Times New Roman" w:hAnsi="Times New Roman" w:eastAsia="仿宋_GB2312" w:cs="Times New Roman"/>
          <w:spacing w:val="-2"/>
          <w:u w:val="none" w:color="auto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-2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2"/>
          <w:u w:val="none" w:color="auto"/>
        </w:rPr>
        <w:t>万元</w:t>
      </w:r>
      <w:r>
        <w:rPr>
          <w:rFonts w:hint="eastAsia" w:ascii="Times New Roman" w:hAnsi="Times New Roman" w:eastAsia="仿宋_GB2312" w:cs="Times New Roman"/>
          <w:spacing w:val="-2"/>
          <w:u w:val="none" w:color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2"/>
          <w:u w:val="none" w:color="auto"/>
        </w:rPr>
        <w:t>本年度购置</w:t>
      </w:r>
      <w:r>
        <w:rPr>
          <w:rFonts w:hint="eastAsia" w:ascii="Times New Roman" w:hAnsi="Times New Roman" w:eastAsia="仿宋_GB2312" w:cs="Times New Roman"/>
          <w:spacing w:val="-2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  <w:u w:val="none" w:color="auto"/>
        </w:rPr>
        <w:t>更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u w:val="none" w:color="auto"/>
        </w:rPr>
        <w:t>新</w:t>
      </w:r>
      <w:r>
        <w:rPr>
          <w:rFonts w:hint="eastAsia" w:ascii="Times New Roman" w:hAnsi="Times New Roman" w:eastAsia="仿宋_GB2312" w:cs="Times New Roman"/>
          <w:spacing w:val="-2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"/>
          <w:u w:val="none" w:color="auto"/>
        </w:rPr>
        <w:t>公务用车</w:t>
      </w:r>
      <w:r>
        <w:rPr>
          <w:rFonts w:hint="eastAsia" w:ascii="Times New Roman" w:hAnsi="Times New Roman" w:eastAsia="仿宋_GB2312" w:cs="Times New Roman"/>
          <w:spacing w:val="-2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2"/>
          <w:u w:val="none" w:color="auto"/>
        </w:rPr>
        <w:t>辆。</w:t>
      </w:r>
    </w:p>
    <w:p w14:paraId="0121B1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eastAsia" w:ascii="Times New Roman" w:hAnsi="Times New Roman" w:eastAsia="仿宋_GB2312" w:cs="Times New Roman"/>
          <w:spacing w:val="-7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2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公务用车运行费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万元，完成年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初预算的</w:t>
      </w: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48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%，比年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初预算增加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减少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21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万元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9"/>
          <w:u w:val="none" w:color="auto"/>
        </w:rPr>
        <w:t>截至</w:t>
      </w:r>
      <w:r>
        <w:rPr>
          <w:rFonts w:hint="default" w:ascii="Times New Roman" w:hAnsi="Times New Roman" w:eastAsia="仿宋_GB2312" w:cs="Times New Roman"/>
          <w:spacing w:val="-9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u w:val="none" w:color="auto"/>
        </w:rPr>
        <w:t>202</w:t>
      </w:r>
      <w:r>
        <w:rPr>
          <w:rFonts w:hint="eastAsia" w:ascii="Times New Roman" w:hAnsi="Times New Roman" w:eastAsia="仿宋_GB2312" w:cs="Times New Roman"/>
          <w:spacing w:val="9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39"/>
          <w:u w:val="none" w:color="auto"/>
        </w:rPr>
        <w:t xml:space="preserve"> </w:t>
      </w:r>
      <w:r>
        <w:rPr>
          <w:rFonts w:hint="default" w:ascii="Times New Roman" w:hAnsi="Times New Roman" w:eastAsia="微软雅黑" w:cs="Times New Roman"/>
          <w:spacing w:val="9"/>
          <w:u w:val="none" w:color="auto"/>
        </w:rPr>
        <w:t>年</w:t>
      </w:r>
      <w:r>
        <w:rPr>
          <w:rFonts w:hint="default" w:ascii="Times New Roman" w:hAnsi="Times New Roman" w:eastAsia="微软雅黑" w:cs="Times New Roman"/>
          <w:spacing w:val="49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u w:val="none" w:color="auto"/>
        </w:rPr>
        <w:t>12</w:t>
      </w:r>
      <w:r>
        <w:rPr>
          <w:rFonts w:hint="default" w:ascii="Times New Roman" w:hAnsi="Times New Roman" w:eastAsia="仿宋_GB2312" w:cs="Times New Roman"/>
          <w:spacing w:val="-23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u w:val="none" w:color="auto"/>
        </w:rPr>
        <w:t>月 31 日，开支财政拨款的公务用车保有量</w:t>
      </w: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6"/>
          <w:u w:val="none" w:color="auto"/>
        </w:rPr>
        <w:t>辆。</w:t>
      </w:r>
    </w:p>
    <w:p w14:paraId="211600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jc w:val="both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3.</w:t>
      </w:r>
      <w:r>
        <w:rPr>
          <w:rFonts w:hint="eastAsia" w:ascii="Times New Roman" w:hAnsi="Times New Roman" w:eastAsia="仿宋_GB2312" w:cs="Times New Roman"/>
          <w:spacing w:val="-7"/>
          <w:u w:val="none" w:color="auto"/>
        </w:rPr>
        <w:t>公务接待费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val="en-US" w:eastAsia="zh-CN"/>
        </w:rPr>
        <w:t>全年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eastAsia="zh-CN"/>
        </w:rPr>
        <w:t>预算为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pacing w:val="-7"/>
          <w:u w:val="none" w:color="auto"/>
        </w:rPr>
        <w:t>万元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-7"/>
          <w:u w:val="none" w:color="auto"/>
        </w:rPr>
        <w:t>支出决算为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pacing w:val="-7"/>
          <w:u w:val="none" w:color="auto"/>
        </w:rPr>
        <w:t>万元，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eastAsia="zh-CN"/>
        </w:rPr>
        <w:t>完成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val="en-US" w:eastAsia="zh-CN"/>
        </w:rPr>
        <w:t>全年</w:t>
      </w:r>
      <w:r>
        <w:rPr>
          <w:rFonts w:hint="eastAsia" w:ascii="Times New Roman" w:hAnsi="Times New Roman" w:eastAsia="仿宋_GB2312" w:cs="Times New Roman"/>
          <w:spacing w:val="-7"/>
          <w:u w:val="none" w:color="auto"/>
        </w:rPr>
        <w:t>预算的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pacing w:val="-7"/>
          <w:u w:val="none" w:color="auto"/>
        </w:rPr>
        <w:t>%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val="en-US" w:eastAsia="zh-CN"/>
        </w:rPr>
        <w:t>较上年增加(减少) 0万元，增长(下降)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30"/>
          <w:u w:val="non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val="en-US" w:eastAsia="zh-CN"/>
        </w:rPr>
        <w:t>%。</w:t>
      </w:r>
    </w:p>
    <w:p w14:paraId="34CEA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  <w:u w:val="none" w:color="auto"/>
        </w:rPr>
        <w:t>十、机关运行经费支出说明</w:t>
      </w:r>
    </w:p>
    <w:p w14:paraId="258C38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rPr>
          <w:rFonts w:hint="default" w:ascii="Times New Roman" w:hAnsi="Times New Roman" w:eastAsia="仿宋_GB2312" w:cs="Times New Roman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u w:val="none" w:color="auto"/>
        </w:rPr>
        <w:t>202</w:t>
      </w:r>
      <w:r>
        <w:rPr>
          <w:rFonts w:hint="eastAsia" w:ascii="Times New Roman" w:hAnsi="Times New Roman" w:eastAsia="仿宋_GB2312" w:cs="Times New Roman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u w:val="none" w:color="auto"/>
        </w:rPr>
        <w:t>年度</w:t>
      </w:r>
      <w:r>
        <w:rPr>
          <w:rFonts w:hint="eastAsia" w:ascii="Times New Roman" w:hAnsi="Times New Roman" w:eastAsia="仿宋_GB2312" w:cs="Times New Roman"/>
          <w:u w:val="none" w:color="auto"/>
          <w:lang w:eastAsia="zh-CN"/>
        </w:rPr>
        <w:t>武汉市光谷第一小学</w:t>
      </w:r>
      <w:r>
        <w:rPr>
          <w:rFonts w:hint="default" w:ascii="Times New Roman" w:hAnsi="Times New Roman" w:eastAsia="仿宋_GB2312" w:cs="Times New Roman"/>
          <w:u w:val="none" w:color="auto"/>
        </w:rPr>
        <w:t>机关运行经费支出</w:t>
      </w:r>
      <w:r>
        <w:rPr>
          <w:rFonts w:hint="eastAsia" w:ascii="Times New Roman" w:hAnsi="Times New Roman" w:eastAsia="仿宋_GB2312" w:cs="Times New Roman"/>
          <w:spacing w:val="50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u w:val="none" w:color="auto"/>
        </w:rPr>
        <w:t>万元</w:t>
      </w:r>
      <w:r>
        <w:rPr>
          <w:rFonts w:hint="eastAsia" w:ascii="Times New Roman" w:hAnsi="Times New Roman" w:eastAsia="仿宋_GB2312" w:cs="Times New Roman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u w:val="none" w:color="auto"/>
        </w:rPr>
        <w:t>与部门决算</w:t>
      </w:r>
      <w:r>
        <w:rPr>
          <w:rFonts w:hint="default" w:ascii="Times New Roman" w:hAnsi="Times New Roman" w:eastAsia="仿宋_GB2312" w:cs="Times New Roman"/>
          <w:spacing w:val="7"/>
          <w:u w:val="none" w:color="auto"/>
        </w:rPr>
        <w:t>中行政单位和参照公务员法管理事业单位一般</w:t>
      </w:r>
      <w:r>
        <w:rPr>
          <w:rFonts w:hint="default" w:ascii="Times New Roman" w:hAnsi="Times New Roman" w:eastAsia="仿宋_GB2312" w:cs="Times New Roman"/>
          <w:spacing w:val="6"/>
          <w:u w:val="none" w:color="auto"/>
        </w:rPr>
        <w:t>公共预算财政拨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10"/>
          <w:u w:val="none" w:color="auto"/>
        </w:rPr>
        <w:t>款基本支出中公用经费之和一致</w:t>
      </w:r>
      <w:r>
        <w:rPr>
          <w:rFonts w:hint="eastAsia" w:ascii="Times New Roman" w:hAnsi="Times New Roman" w:eastAsia="仿宋_GB2312" w:cs="Times New Roman"/>
          <w:spacing w:val="10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0"/>
          <w:u w:val="none" w:color="auto"/>
        </w:rPr>
        <w:t>，</w:t>
      </w:r>
      <w:r>
        <w:rPr>
          <w:rFonts w:hint="default" w:ascii="Times New Roman" w:hAnsi="Times New Roman" w:eastAsia="仿宋_GB2312" w:cs="Times New Roman"/>
          <w:spacing w:val="-82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10"/>
          <w:u w:val="none" w:color="auto"/>
        </w:rPr>
        <w:t>比年初预算数增加</w:t>
      </w:r>
      <w:r>
        <w:rPr>
          <w:rFonts w:hint="eastAsia" w:ascii="Times New Roman" w:hAnsi="Times New Roman" w:eastAsia="仿宋_GB2312" w:cs="Times New Roman"/>
          <w:spacing w:val="9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9"/>
          <w:u w:val="none" w:color="auto"/>
        </w:rPr>
        <w:t>减少</w:t>
      </w:r>
      <w:r>
        <w:rPr>
          <w:rFonts w:hint="eastAsia" w:ascii="Times New Roman" w:hAnsi="Times New Roman" w:eastAsia="仿宋_GB2312" w:cs="Times New Roman"/>
          <w:spacing w:val="9"/>
          <w:u w:val="none" w:color="auto"/>
          <w:lang w:eastAsia="zh-CN"/>
        </w:rPr>
        <w:t>）</w:t>
      </w:r>
      <w:r>
        <w:rPr>
          <w:rFonts w:hint="eastAsia" w:ascii="Times New Roman" w:hAnsi="Times New Roman" w:eastAsia="仿宋_GB2312" w:cs="Times New Roman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"/>
          <w:u w:val="none" w:color="auto"/>
        </w:rPr>
        <w:t>万元，增长</w:t>
      </w:r>
      <w:r>
        <w:rPr>
          <w:rFonts w:hint="eastAsia" w:ascii="Times New Roman" w:hAnsi="Times New Roman" w:eastAsia="仿宋_GB2312" w:cs="Times New Roman"/>
          <w:spacing w:val="1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"/>
          <w:u w:val="none" w:color="auto"/>
        </w:rPr>
        <w:t>降低</w:t>
      </w:r>
      <w:r>
        <w:rPr>
          <w:rFonts w:hint="eastAsia" w:ascii="Times New Roman" w:hAnsi="Times New Roman" w:eastAsia="仿宋_GB2312" w:cs="Times New Roman"/>
          <w:spacing w:val="1"/>
          <w:u w:val="none" w:color="auto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pacing w:val="1"/>
          <w:u w:val="none" w:color="auto"/>
          <w:lang w:val="en-US" w:eastAsia="zh-CN"/>
        </w:rPr>
        <w:t>0%。</w:t>
      </w:r>
    </w:p>
    <w:p w14:paraId="62606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rPr>
          <w:rFonts w:hint="default" w:ascii="Times New Roman" w:hAnsi="Times New Roman" w:eastAsia="黑体" w:cs="Times New Roman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  <w:u w:val="none" w:color="auto"/>
        </w:rPr>
        <w:t>十一、政府采购支出说明</w:t>
      </w:r>
    </w:p>
    <w:p w14:paraId="087B59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rPr>
          <w:rFonts w:hint="eastAsia" w:ascii="Times New Roman" w:hAnsi="Times New Roman" w:eastAsia="仿宋_GB2312" w:cs="Times New Roman"/>
          <w:highlight w:val="none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highlight w:val="none"/>
          <w:u w:val="none" w:color="auto"/>
        </w:rPr>
        <w:t>202</w:t>
      </w:r>
      <w:r>
        <w:rPr>
          <w:rFonts w:hint="eastAsia" w:ascii="Times New Roman" w:hAnsi="Times New Roman" w:eastAsia="仿宋_GB2312" w:cs="Times New Roman"/>
          <w:spacing w:val="-6"/>
          <w:highlight w:val="none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"/>
          <w:highlight w:val="none"/>
          <w:u w:val="none" w:color="auto"/>
        </w:rPr>
        <w:t>年度</w:t>
      </w:r>
      <w:r>
        <w:rPr>
          <w:rFonts w:hint="eastAsia" w:ascii="Times New Roman" w:hAnsi="Times New Roman" w:eastAsia="仿宋_GB2312" w:cs="Times New Roman"/>
          <w:spacing w:val="-6"/>
          <w:highlight w:val="none"/>
          <w:u w:val="none" w:color="auto"/>
          <w:lang w:eastAsia="zh-CN"/>
        </w:rPr>
        <w:t>武汉市光谷第一小学</w:t>
      </w:r>
      <w:r>
        <w:rPr>
          <w:rFonts w:hint="default" w:ascii="Times New Roman" w:hAnsi="Times New Roman" w:eastAsia="仿宋_GB2312" w:cs="Times New Roman"/>
          <w:spacing w:val="-6"/>
          <w:highlight w:val="none"/>
          <w:u w:val="none" w:color="auto"/>
        </w:rPr>
        <w:t>政府采购支出总额</w:t>
      </w:r>
      <w:r>
        <w:rPr>
          <w:rFonts w:hint="eastAsia" w:ascii="Times New Roman" w:hAnsi="Times New Roman" w:eastAsia="仿宋_GB2312" w:cs="Times New Roman"/>
          <w:spacing w:val="-6"/>
          <w:highlight w:val="none"/>
          <w:u w:val="none" w:color="auto"/>
          <w:lang w:val="en-US" w:eastAsia="zh-CN"/>
        </w:rPr>
        <w:t>218.55</w:t>
      </w:r>
      <w:r>
        <w:rPr>
          <w:rFonts w:hint="default" w:ascii="Times New Roman" w:hAnsi="Times New Roman" w:eastAsia="仿宋_GB2312" w:cs="Times New Roman"/>
          <w:spacing w:val="-6"/>
          <w:highlight w:val="none"/>
          <w:u w:val="none" w:color="auto"/>
        </w:rPr>
        <w:t>万元，其中：政府采购货物支出</w:t>
      </w:r>
      <w:r>
        <w:rPr>
          <w:rFonts w:hint="eastAsia" w:ascii="Times New Roman" w:hAnsi="Times New Roman" w:eastAsia="仿宋_GB2312" w:cs="Times New Roman"/>
          <w:spacing w:val="-6"/>
          <w:highlight w:val="none"/>
          <w:u w:val="none" w:color="auto"/>
          <w:lang w:val="en-US" w:eastAsia="zh-CN"/>
        </w:rPr>
        <w:t>218.55</w:t>
      </w:r>
      <w:r>
        <w:rPr>
          <w:rFonts w:hint="default" w:ascii="Times New Roman" w:hAnsi="Times New Roman" w:eastAsia="仿宋_GB2312" w:cs="Times New Roman"/>
          <w:spacing w:val="-6"/>
          <w:highlight w:val="none"/>
          <w:u w:val="none" w:color="auto"/>
        </w:rPr>
        <w:t>万元</w:t>
      </w:r>
      <w:r>
        <w:rPr>
          <w:rFonts w:hint="eastAsia" w:ascii="Times New Roman" w:hAnsi="Times New Roman" w:eastAsia="仿宋_GB2312" w:cs="Times New Roman"/>
          <w:spacing w:val="-6"/>
          <w:highlight w:val="none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highlight w:val="none"/>
          <w:u w:val="none" w:color="auto"/>
        </w:rPr>
        <w:t>授予中小企业合同金额</w:t>
      </w:r>
      <w:r>
        <w:rPr>
          <w:rFonts w:hint="eastAsia" w:ascii="Times New Roman" w:hAnsi="Times New Roman" w:eastAsia="仿宋_GB2312" w:cs="Times New Roman"/>
          <w:spacing w:val="-6"/>
          <w:highlight w:val="none"/>
          <w:u w:val="none" w:color="auto"/>
          <w:lang w:val="en-US" w:eastAsia="zh-CN"/>
        </w:rPr>
        <w:t>218.55</w:t>
      </w:r>
      <w:r>
        <w:rPr>
          <w:rFonts w:hint="default" w:ascii="Times New Roman" w:hAnsi="Times New Roman" w:eastAsia="仿宋_GB2312" w:cs="Times New Roman"/>
          <w:spacing w:val="-6"/>
          <w:highlight w:val="none"/>
          <w:u w:val="none" w:color="auto"/>
        </w:rPr>
        <w:t>万元，占政府采购</w:t>
      </w:r>
      <w:r>
        <w:rPr>
          <w:rFonts w:hint="default" w:ascii="Times New Roman" w:hAnsi="Times New Roman" w:eastAsia="仿宋_GB2312" w:cs="Times New Roman"/>
          <w:spacing w:val="-3"/>
          <w:highlight w:val="none"/>
          <w:u w:val="none" w:color="auto"/>
        </w:rPr>
        <w:t>支出总额的</w:t>
      </w:r>
      <w:r>
        <w:rPr>
          <w:rFonts w:hint="eastAsia" w:ascii="Times New Roman" w:hAnsi="Times New Roman" w:eastAsia="仿宋_GB2312" w:cs="Times New Roman"/>
          <w:spacing w:val="-3"/>
          <w:highlight w:val="none"/>
          <w:u w:val="none" w:color="auto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130"/>
          <w:highlight w:val="none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highlight w:val="none"/>
          <w:u w:val="none" w:color="auto"/>
        </w:rPr>
        <w:t>%，其中：授予小微企业合同金额</w:t>
      </w:r>
      <w:r>
        <w:rPr>
          <w:rFonts w:hint="eastAsia" w:ascii="Times New Roman" w:hAnsi="Times New Roman" w:eastAsia="仿宋_GB2312" w:cs="Times New Roman"/>
          <w:spacing w:val="-3"/>
          <w:highlight w:val="none"/>
          <w:u w:val="none" w:color="auto"/>
          <w:lang w:val="en-US" w:eastAsia="zh-CN"/>
        </w:rPr>
        <w:t>218.55</w:t>
      </w:r>
      <w:r>
        <w:rPr>
          <w:rFonts w:hint="default" w:ascii="Times New Roman" w:hAnsi="Times New Roman" w:eastAsia="仿宋_GB2312" w:cs="Times New Roman"/>
          <w:spacing w:val="-3"/>
          <w:highlight w:val="none"/>
          <w:u w:val="none" w:color="auto"/>
        </w:rPr>
        <w:t>万元，</w:t>
      </w:r>
      <w:r>
        <w:rPr>
          <w:rFonts w:hint="default" w:ascii="Times New Roman" w:hAnsi="Times New Roman" w:eastAsia="仿宋_GB2312" w:cs="Times New Roman"/>
          <w:spacing w:val="-89"/>
          <w:highlight w:val="none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highlight w:val="none"/>
          <w:u w:val="none" w:color="auto"/>
        </w:rPr>
        <w:t>占</w:t>
      </w:r>
      <w:r>
        <w:rPr>
          <w:rFonts w:hint="default" w:ascii="Times New Roman" w:hAnsi="Times New Roman" w:eastAsia="仿宋_GB2312" w:cs="Times New Roman"/>
          <w:spacing w:val="1"/>
          <w:highlight w:val="none"/>
          <w:u w:val="none" w:color="auto"/>
        </w:rPr>
        <w:t>授予中小企业合同金额的</w:t>
      </w:r>
      <w:r>
        <w:rPr>
          <w:rFonts w:hint="eastAsia" w:ascii="Times New Roman" w:hAnsi="Times New Roman" w:eastAsia="仿宋_GB2312" w:cs="Times New Roman"/>
          <w:spacing w:val="54"/>
          <w:highlight w:val="none"/>
          <w:u w:val="none" w:color="auto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147"/>
          <w:highlight w:val="none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  <w:highlight w:val="none"/>
          <w:u w:val="none" w:color="auto"/>
        </w:rPr>
        <w:t>%</w:t>
      </w:r>
      <w:r>
        <w:rPr>
          <w:rFonts w:hint="eastAsia" w:ascii="Times New Roman" w:hAnsi="Times New Roman" w:eastAsia="仿宋_GB2312" w:cs="Times New Roman"/>
          <w:spacing w:val="1"/>
          <w:highlight w:val="none"/>
          <w:u w:val="none" w:color="auto"/>
          <w:lang w:eastAsia="zh-CN"/>
        </w:rPr>
        <w:t>。</w:t>
      </w:r>
    </w:p>
    <w:p w14:paraId="53607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  <w:u w:val="none" w:color="auto"/>
        </w:rPr>
        <w:t>十二、国有资产占用情况说明</w:t>
      </w:r>
    </w:p>
    <w:p w14:paraId="100D01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rPr>
          <w:rFonts w:hint="eastAsia" w:ascii="Times New Roman" w:hAnsi="Times New Roman" w:eastAsia="仿宋_GB2312" w:cs="Times New Roman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spacing w:val="-14"/>
          <w:u w:val="none" w:color="auto"/>
        </w:rPr>
        <w:t>截至</w:t>
      </w:r>
      <w:r>
        <w:rPr>
          <w:rFonts w:hint="default" w:ascii="Times New Roman" w:hAnsi="Times New Roman" w:eastAsia="仿宋_GB2312" w:cs="Times New Roman"/>
          <w:spacing w:val="-43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  <w:u w:val="none" w:color="auto"/>
        </w:rPr>
        <w:t>202</w:t>
      </w:r>
      <w:r>
        <w:rPr>
          <w:rFonts w:hint="eastAsia" w:ascii="Times New Roman" w:hAnsi="Times New Roman" w:eastAsia="仿宋_GB2312" w:cs="Times New Roman"/>
          <w:spacing w:val="-14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14"/>
          <w:u w:val="none" w:color="auto"/>
        </w:rPr>
        <w:t>年</w:t>
      </w:r>
      <w:r>
        <w:rPr>
          <w:rFonts w:hint="default" w:ascii="Times New Roman" w:hAnsi="Times New Roman" w:eastAsia="仿宋_GB2312" w:cs="Times New Roman"/>
          <w:spacing w:val="-46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  <w:u w:val="none" w:color="auto"/>
        </w:rPr>
        <w:t>12</w:t>
      </w:r>
      <w:r>
        <w:rPr>
          <w:rFonts w:hint="default" w:ascii="Times New Roman" w:hAnsi="Times New Roman" w:eastAsia="仿宋_GB2312" w:cs="Times New Roman"/>
          <w:spacing w:val="-52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  <w:u w:val="none" w:color="auto"/>
        </w:rPr>
        <w:t>月</w:t>
      </w:r>
      <w:r>
        <w:rPr>
          <w:rFonts w:hint="default" w:ascii="Times New Roman" w:hAnsi="Times New Roman" w:eastAsia="仿宋_GB2312" w:cs="Times New Roman"/>
          <w:spacing w:val="-46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  <w:u w:val="none" w:color="auto"/>
        </w:rPr>
        <w:t>31 日，</w:t>
      </w:r>
      <w:r>
        <w:rPr>
          <w:rFonts w:hint="eastAsia" w:ascii="Times New Roman" w:hAnsi="Times New Roman" w:eastAsia="仿宋_GB2312" w:cs="Times New Roman"/>
          <w:spacing w:val="-14"/>
          <w:u w:val="none" w:color="auto"/>
          <w:lang w:eastAsia="zh-CN"/>
        </w:rPr>
        <w:t>武汉市光谷第一小学</w:t>
      </w:r>
      <w:r>
        <w:rPr>
          <w:rFonts w:hint="default" w:ascii="Times New Roman" w:hAnsi="Times New Roman" w:eastAsia="仿宋_GB2312" w:cs="Times New Roman"/>
          <w:spacing w:val="-14"/>
          <w:u w:val="none" w:color="auto"/>
        </w:rPr>
        <w:t>共有车辆</w:t>
      </w:r>
      <w:r>
        <w:rPr>
          <w:rFonts w:hint="eastAsia" w:ascii="Times New Roman" w:hAnsi="Times New Roman" w:eastAsia="仿宋_GB2312" w:cs="Times New Roman"/>
          <w:spacing w:val="-14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48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  <w:u w:val="none" w:color="auto"/>
        </w:rPr>
        <w:t>辆</w:t>
      </w:r>
      <w:r>
        <w:rPr>
          <w:rFonts w:hint="eastAsia" w:ascii="Times New Roman" w:hAnsi="Times New Roman" w:eastAsia="仿宋_GB2312" w:cs="Times New Roman"/>
          <w:spacing w:val="-14"/>
          <w:u w:val="none" w:color="auto"/>
          <w:lang w:eastAsia="zh-CN"/>
        </w:rPr>
        <w:t>。</w:t>
      </w:r>
    </w:p>
    <w:p w14:paraId="2B007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outlineLvl w:val="0"/>
        <w:rPr>
          <w:rFonts w:hint="default" w:ascii="Times New Roman" w:hAnsi="Times New Roman" w:eastAsia="黑体" w:cs="Times New Roman"/>
          <w:sz w:val="32"/>
          <w:szCs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  <w:u w:val="none" w:color="auto"/>
        </w:rPr>
        <w:t>十三、预算绩效情况说明</w:t>
      </w:r>
    </w:p>
    <w:p w14:paraId="43AB7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outlineLvl w:val="1"/>
        <w:rPr>
          <w:rFonts w:hint="default" w:ascii="Times New Roman" w:hAnsi="Times New Roman" w:eastAsia="楷体_GB2312" w:cs="Times New Roman"/>
          <w:sz w:val="32"/>
          <w:szCs w:val="32"/>
          <w:u w:val="none" w:color="auto"/>
        </w:rPr>
      </w:pP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u w:val="none" w:color="auto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  <w:u w:val="none" w:color="auto"/>
        </w:rPr>
        <w:t>一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u w:val="none" w:color="auto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  <w:u w:val="none" w:color="auto"/>
        </w:rPr>
        <w:t>预算绩效管理工作开展情况</w:t>
      </w:r>
    </w:p>
    <w:p w14:paraId="0C6160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根据预算绩效管理要求，我部门</w:t>
      </w:r>
      <w:r>
        <w:rPr>
          <w:rFonts w:hint="default" w:ascii="Times New Roman" w:hAnsi="Times New Roman" w:eastAsia="仿宋_GB2312" w:cs="Times New Roman"/>
          <w:spacing w:val="-80"/>
          <w:u w:val="non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3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单位</w:t>
      </w:r>
      <w:r>
        <w:rPr>
          <w:rFonts w:hint="eastAsia" w:ascii="Times New Roman" w:hAnsi="Times New Roman" w:eastAsia="仿宋_GB2312" w:cs="Times New Roman"/>
          <w:spacing w:val="-3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组织对</w:t>
      </w:r>
      <w:r>
        <w:rPr>
          <w:rFonts w:hint="default" w:ascii="Times New Roman" w:hAnsi="Times New Roman" w:eastAsia="仿宋_GB2312" w:cs="Times New Roman"/>
          <w:spacing w:val="-54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202</w:t>
      </w:r>
      <w:r>
        <w:rPr>
          <w:rFonts w:hint="eastAsia" w:ascii="Times New Roman" w:hAnsi="Times New Roman" w:eastAsia="仿宋_GB2312" w:cs="Times New Roman"/>
          <w:spacing w:val="-4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0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年度一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般公共预算项目支出全面开展绩效自评，共</w:t>
      </w: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涉及项目</w:t>
      </w:r>
      <w:r>
        <w:rPr>
          <w:rFonts w:hint="eastAsia" w:ascii="Times New Roman" w:hAnsi="Times New Roman" w:eastAsia="仿宋_GB2312" w:cs="Times New Roman"/>
          <w:spacing w:val="-4"/>
          <w:u w:val="none" w:color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个，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资金</w:t>
      </w:r>
      <w:r>
        <w:rPr>
          <w:rFonts w:hint="eastAsia" w:ascii="Times New Roman" w:hAnsi="Times New Roman" w:eastAsia="仿宋_GB2312" w:cs="Times New Roman"/>
          <w:spacing w:val="-3"/>
          <w:u w:val="none" w:color="auto"/>
          <w:lang w:val="en-US" w:eastAsia="zh-CN"/>
        </w:rPr>
        <w:t>314.06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万元，</w:t>
      </w:r>
      <w:r>
        <w:rPr>
          <w:rFonts w:hint="default" w:ascii="Times New Roman" w:hAnsi="Times New Roman" w:eastAsia="仿宋_GB2312" w:cs="Times New Roman"/>
          <w:spacing w:val="-89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占一般公共预算项目支出总额的</w:t>
      </w:r>
      <w:r>
        <w:rPr>
          <w:rFonts w:hint="eastAsia" w:ascii="Times New Roman" w:hAnsi="Times New Roman" w:eastAsia="仿宋_GB2312" w:cs="Times New Roman"/>
          <w:spacing w:val="-3"/>
          <w:u w:val="none" w:color="auto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%。从</w:t>
      </w:r>
      <w:r>
        <w:rPr>
          <w:rFonts w:hint="default" w:ascii="Times New Roman" w:hAnsi="Times New Roman" w:eastAsia="仿宋_GB2312" w:cs="Times New Roman"/>
          <w:spacing w:val="-6"/>
          <w:u w:val="none" w:color="auto"/>
        </w:rPr>
        <w:t>绩效评价情况来看，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 xml:space="preserve"> 武汉市光谷第一小学202</w:t>
      </w:r>
      <w:r>
        <w:rPr>
          <w:rFonts w:hint="eastAsia" w:ascii="Times New Roman" w:hAnsi="Times New Roman" w:eastAsia="仿宋_GB2312" w:cs="Times New Roman"/>
          <w:spacing w:val="-3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年度部门支出管理及绩效</w:t>
      </w:r>
      <w:r>
        <w:rPr>
          <w:rFonts w:hint="eastAsia" w:ascii="Times New Roman" w:hAnsi="Times New Roman" w:eastAsia="仿宋_GB2312" w:cs="Times New Roman"/>
          <w:spacing w:val="-3"/>
          <w:u w:val="none" w:color="auto"/>
          <w:lang w:val="en-US" w:eastAsia="zh-CN"/>
        </w:rPr>
        <w:t>整体情况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较好。在产出方面，绩效目标完成率较高。在效益方面，整体工作具有较好的社会效益，服务对象满意度高。</w:t>
      </w:r>
    </w:p>
    <w:p w14:paraId="5E1AC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rPr>
          <w:rFonts w:hint="default" w:ascii="Times New Roman" w:hAnsi="Times New Roman" w:eastAsia="楷体_GB2312" w:cs="Times New Roman"/>
          <w:sz w:val="32"/>
          <w:szCs w:val="32"/>
          <w:u w:val="none" w:color="auto"/>
        </w:rPr>
      </w:pP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u w:val="none" w:color="auto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  <w:u w:val="none" w:color="auto"/>
        </w:rPr>
        <w:t>二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u w:val="none" w:color="auto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  <w:u w:val="none" w:color="auto"/>
        </w:rPr>
        <w:t>部门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u w:val="none" w:color="auto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  <w:u w:val="none" w:color="auto"/>
        </w:rPr>
        <w:t>单位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u w:val="none" w:color="auto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  <w:u w:val="none" w:color="auto"/>
        </w:rPr>
        <w:t>整体支出自评结果</w:t>
      </w:r>
    </w:p>
    <w:p w14:paraId="408179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我部门</w:t>
      </w:r>
      <w:r>
        <w:rPr>
          <w:rFonts w:hint="default" w:ascii="Times New Roman" w:hAnsi="Times New Roman" w:eastAsia="仿宋_GB2312" w:cs="Times New Roman"/>
          <w:spacing w:val="-70"/>
          <w:u w:val="non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3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单位</w:t>
      </w:r>
      <w:r>
        <w:rPr>
          <w:rFonts w:hint="eastAsia" w:ascii="Times New Roman" w:hAnsi="Times New Roman" w:eastAsia="仿宋_GB2312" w:cs="Times New Roman"/>
          <w:spacing w:val="-3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组织对</w:t>
      </w:r>
      <w:r>
        <w:rPr>
          <w:rFonts w:hint="default" w:ascii="Times New Roman" w:hAnsi="Times New Roman" w:eastAsia="仿宋_GB2312" w:cs="Times New Roman"/>
          <w:spacing w:val="-151"/>
          <w:u w:val="non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7"/>
          <w:u w:val="none" w:color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个部门</w:t>
      </w:r>
      <w:r>
        <w:rPr>
          <w:rFonts w:hint="default" w:ascii="Times New Roman" w:hAnsi="Times New Roman" w:eastAsia="仿宋_GB2312" w:cs="Times New Roman"/>
          <w:spacing w:val="-75"/>
          <w:u w:val="non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3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单位</w:t>
      </w:r>
      <w:r>
        <w:rPr>
          <w:rFonts w:hint="eastAsia" w:ascii="Times New Roman" w:hAnsi="Times New Roman" w:eastAsia="仿宋_GB2312" w:cs="Times New Roman"/>
          <w:spacing w:val="-3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开展整体支出绩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效自评，资金</w:t>
      </w:r>
      <w:r>
        <w:rPr>
          <w:rFonts w:hint="eastAsia" w:ascii="Times New Roman" w:hAnsi="Times New Roman" w:eastAsia="仿宋_GB2312" w:cs="Times New Roman"/>
          <w:spacing w:val="-7"/>
          <w:u w:val="none" w:color="auto"/>
          <w:lang w:val="en-US" w:eastAsia="zh-CN"/>
        </w:rPr>
        <w:t>7613.86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万元，从评价情况来看，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武汉市光谷第一小学202</w:t>
      </w:r>
      <w:r>
        <w:rPr>
          <w:rFonts w:hint="eastAsia" w:ascii="Times New Roman" w:hAnsi="Times New Roman" w:eastAsia="仿宋_GB2312" w:cs="Times New Roman"/>
          <w:spacing w:val="-3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年度部门支出管理及绩效</w:t>
      </w:r>
      <w:r>
        <w:rPr>
          <w:rFonts w:hint="eastAsia" w:ascii="Times New Roman" w:hAnsi="Times New Roman" w:eastAsia="仿宋_GB2312" w:cs="Times New Roman"/>
          <w:spacing w:val="-3"/>
          <w:u w:val="none" w:color="auto"/>
          <w:lang w:val="en-US" w:eastAsia="zh-CN"/>
        </w:rPr>
        <w:t>整体情况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较好。在产出方面，绩效目标完成率较高。在效益方面，整体工作具有较好的社会效益，服务对象满意度高。</w:t>
      </w:r>
    </w:p>
    <w:p w14:paraId="21484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楷体_GB2312" w:cs="Times New Roman"/>
          <w:sz w:val="32"/>
          <w:szCs w:val="32"/>
          <w:u w:val="none" w:color="auto"/>
        </w:rPr>
      </w:pPr>
      <w:r>
        <w:rPr>
          <w:rFonts w:hint="eastAsia" w:ascii="Times New Roman" w:hAnsi="Times New Roman" w:eastAsia="楷体_GB2312" w:cs="Times New Roman"/>
          <w:spacing w:val="-7"/>
          <w:sz w:val="32"/>
          <w:szCs w:val="32"/>
          <w:u w:val="none" w:color="auto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7"/>
          <w:sz w:val="32"/>
          <w:szCs w:val="32"/>
          <w:u w:val="none" w:color="auto"/>
        </w:rPr>
        <w:t>三</w:t>
      </w:r>
      <w:r>
        <w:rPr>
          <w:rFonts w:hint="eastAsia" w:ascii="Times New Roman" w:hAnsi="Times New Roman" w:eastAsia="楷体_GB2312" w:cs="Times New Roman"/>
          <w:spacing w:val="-7"/>
          <w:sz w:val="32"/>
          <w:szCs w:val="32"/>
          <w:u w:val="none" w:color="auto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7"/>
          <w:sz w:val="32"/>
          <w:szCs w:val="32"/>
          <w:u w:val="none" w:color="auto"/>
        </w:rPr>
        <w:t>项目支出自评结果</w:t>
      </w:r>
    </w:p>
    <w:p w14:paraId="003D45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我部门</w:t>
      </w:r>
      <w:r>
        <w:rPr>
          <w:rFonts w:hint="default" w:ascii="Times New Roman" w:hAnsi="Times New Roman" w:eastAsia="仿宋_GB2312" w:cs="Times New Roman"/>
          <w:spacing w:val="-68"/>
          <w:u w:val="non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单位</w:t>
      </w:r>
      <w:r>
        <w:rPr>
          <w:rFonts w:hint="eastAsia" w:ascii="Times New Roman" w:hAnsi="Times New Roman" w:eastAsia="仿宋_GB2312" w:cs="Times New Roman"/>
          <w:spacing w:val="-4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在</w:t>
      </w:r>
      <w:r>
        <w:rPr>
          <w:rFonts w:hint="default" w:ascii="Times New Roman" w:hAnsi="Times New Roman" w:eastAsia="仿宋_GB2312" w:cs="Times New Roman"/>
          <w:spacing w:val="-54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202</w:t>
      </w:r>
      <w:r>
        <w:rPr>
          <w:rFonts w:hint="eastAsia" w:ascii="Times New Roman" w:hAnsi="Times New Roman" w:eastAsia="仿宋_GB2312" w:cs="Times New Roman"/>
          <w:spacing w:val="-4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年度部门决算中反映所有项目绩效自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评结果</w:t>
      </w:r>
      <w:r>
        <w:rPr>
          <w:rFonts w:hint="eastAsia" w:ascii="Times New Roman" w:hAnsi="Times New Roman" w:eastAsia="仿宋_GB2312" w:cs="Times New Roman"/>
          <w:spacing w:val="-1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不包括涉密项目</w:t>
      </w:r>
      <w:r>
        <w:rPr>
          <w:rFonts w:hint="eastAsia" w:ascii="Times New Roman" w:hAnsi="Times New Roman" w:eastAsia="仿宋_GB2312" w:cs="Times New Roman"/>
          <w:spacing w:val="-1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，共涉及</w:t>
      </w:r>
      <w:r>
        <w:rPr>
          <w:rFonts w:hint="eastAsia" w:ascii="Times New Roman" w:hAnsi="Times New Roman" w:eastAsia="仿宋_GB2312" w:cs="Times New Roman"/>
          <w:spacing w:val="-1"/>
          <w:highlight w:val="none"/>
          <w:u w:val="none" w:color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个一级项目。</w:t>
      </w:r>
    </w:p>
    <w:p w14:paraId="79A65DB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8" w:firstLineChars="200"/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val="en-US" w:eastAsia="zh-CN"/>
        </w:rPr>
        <w:t>城乡义务教育补助经费</w:t>
      </w: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 xml:space="preserve">项目绩效自评综述：项目全年预算数为219.59万元，执行数为219.59万元，完成预算的100%。主要产出和效益是：更好的保障学校正常运转，补充学生活动费用的支出。 </w:t>
      </w:r>
    </w:p>
    <w:p w14:paraId="3A6541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8" w:firstLineChars="200"/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val="en-US" w:eastAsia="zh-CN"/>
        </w:rPr>
        <w:t>城乡义务教育经费保障机制省级资金</w:t>
      </w: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项目绩效自评综述：项目全年预算数为86.35万元，执行数为86.35万元，完成预算的100%。主要产出和效益是：对学校公用经费进行了有力补充，大力支持教师参加各级各类培训，提升教师素养。</w:t>
      </w:r>
    </w:p>
    <w:p w14:paraId="6E4BA3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val="en-US" w:eastAsia="zh-CN"/>
        </w:rPr>
        <w:t>教育事业发展专项</w:t>
      </w: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项目绩效自评综述：项目全年预算数为8.12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，执行数为8.12万元，完成预算的100%。主要产出和效益是：有力保障了学校正常运转。</w:t>
      </w:r>
    </w:p>
    <w:p w14:paraId="39B38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u w:val="none" w:color="auto"/>
        </w:rPr>
      </w:pPr>
      <w:r>
        <w:rPr>
          <w:rFonts w:hint="eastAsia" w:ascii="Times New Roman" w:hAnsi="Times New Roman" w:eastAsia="楷体_GB2312" w:cs="Times New Roman"/>
          <w:sz w:val="32"/>
          <w:szCs w:val="32"/>
          <w:u w:val="none" w:color="auto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u w:val="none" w:color="auto"/>
        </w:rPr>
        <w:t>四</w:t>
      </w:r>
      <w:r>
        <w:rPr>
          <w:rFonts w:hint="eastAsia" w:ascii="Times New Roman" w:hAnsi="Times New Roman" w:eastAsia="楷体_GB2312" w:cs="Times New Roman"/>
          <w:sz w:val="32"/>
          <w:szCs w:val="32"/>
          <w:u w:val="none" w:color="auto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  <w:u w:val="none" w:color="auto"/>
        </w:rPr>
        <w:t>绩效自评结果应用情况</w:t>
      </w:r>
    </w:p>
    <w:p w14:paraId="5B3A3E4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8" w:firstLineChars="200"/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 xml:space="preserve">部门（单位）绩效评价结果应用情况。加强项目规划、绩效目标管理，完善项目分配和管理办法、加强项目管理、结果与预 算安排相结合等。 </w:t>
      </w:r>
    </w:p>
    <w:p w14:paraId="3658FB2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8" w:firstLineChars="200"/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财政专项支出、专项转移支付支出的部门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val="en-US" w:eastAsia="zh-CN"/>
        </w:rPr>
        <w:t>(</w:t>
      </w: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val="en-US" w:eastAsia="zh-CN"/>
        </w:rPr>
        <w:t>)</w:t>
      </w:r>
      <w:r>
        <w:rPr>
          <w:rFonts w:hint="eastAsia" w:ascii="Times New Roman" w:hAnsi="Times New Roman" w:eastAsia="仿宋_GB2312" w:cs="Times New Roman"/>
          <w:spacing w:val="-8"/>
          <w:u w:val="none" w:color="auto"/>
          <w:lang w:val="en-US" w:eastAsia="zh-CN"/>
        </w:rPr>
        <w:t>参照部门预算公开的范围、体例和内容进行公开。</w:t>
      </w:r>
    </w:p>
    <w:p w14:paraId="42D805D7">
      <w:pP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 w:color="auto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 w:color="auto"/>
        </w:rPr>
        <w:br w:type="page"/>
      </w:r>
    </w:p>
    <w:p w14:paraId="011C5A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u w:val="none" w:color="auto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u w:val="none" w:color="auto"/>
        </w:rPr>
        <w:t xml:space="preserve">第四部分  </w:t>
      </w:r>
      <w:r>
        <w:rPr>
          <w:rFonts w:hint="eastAsia" w:ascii="Times New Roman" w:hAnsi="方正小标宋_GBK" w:eastAsia="方正小标宋_GBK" w:cs="方正小标宋_GBK"/>
          <w:spacing w:val="-2"/>
          <w:sz w:val="44"/>
          <w:szCs w:val="44"/>
          <w:u w:val="none" w:color="auto"/>
        </w:rPr>
        <w:t>202</w:t>
      </w:r>
      <w:r>
        <w:rPr>
          <w:rFonts w:hint="eastAsia" w:ascii="Times New Roman" w:hAnsi="方正小标宋_GBK" w:eastAsia="方正小标宋_GBK" w:cs="方正小标宋_GBK"/>
          <w:spacing w:val="-2"/>
          <w:sz w:val="44"/>
          <w:szCs w:val="44"/>
          <w:u w:val="none" w:color="auto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pacing w:val="-82"/>
          <w:sz w:val="44"/>
          <w:szCs w:val="44"/>
          <w:u w:val="none" w:color="auto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u w:val="none" w:color="auto"/>
        </w:rPr>
        <w:t>年重点工作完成情况</w:t>
      </w:r>
    </w:p>
    <w:p w14:paraId="6B4CEF5B">
      <w:pPr>
        <w:spacing w:line="249" w:lineRule="auto"/>
        <w:rPr>
          <w:rFonts w:hint="default" w:ascii="Times New Roman" w:hAnsi="Times New Roman" w:cs="Times New Roman"/>
          <w:sz w:val="21"/>
          <w:u w:val="none" w:color="auto"/>
        </w:rPr>
      </w:pPr>
    </w:p>
    <w:p w14:paraId="605C012A">
      <w:pPr>
        <w:pStyle w:val="2"/>
        <w:numPr>
          <w:ilvl w:val="0"/>
          <w:numId w:val="3"/>
        </w:numPr>
        <w:spacing w:before="104" w:line="283" w:lineRule="auto"/>
        <w:ind w:left="1471" w:right="4738" w:hanging="705"/>
        <w:rPr>
          <w:rFonts w:hint="default" w:ascii="Times New Roman" w:hAnsi="Times New Roman" w:eastAsia="黑体" w:cs="Times New Roman"/>
          <w:spacing w:val="8"/>
          <w:u w:val="none" w:color="auto"/>
        </w:rPr>
      </w:pPr>
      <w:r>
        <w:rPr>
          <w:rFonts w:hint="default" w:ascii="Times New Roman" w:hAnsi="Times New Roman" w:eastAsia="黑体" w:cs="Times New Roman"/>
          <w:spacing w:val="-2"/>
          <w:u w:val="none" w:color="auto"/>
        </w:rPr>
        <w:t>重点工作事项标题</w:t>
      </w:r>
      <w:r>
        <w:rPr>
          <w:rFonts w:hint="default" w:ascii="Times New Roman" w:hAnsi="Times New Roman" w:eastAsia="黑体" w:cs="Times New Roman"/>
          <w:spacing w:val="8"/>
          <w:u w:val="none" w:color="auto"/>
        </w:rPr>
        <w:t xml:space="preserve"> </w:t>
      </w:r>
    </w:p>
    <w:p w14:paraId="27197BF3">
      <w:pPr>
        <w:pStyle w:val="2"/>
        <w:numPr>
          <w:ilvl w:val="0"/>
          <w:numId w:val="4"/>
        </w:numPr>
        <w:spacing w:before="104" w:line="283" w:lineRule="auto"/>
        <w:ind w:left="766" w:leftChars="0" w:right="4738" w:rightChars="0" w:firstLine="584" w:firstLineChars="200"/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  <w:t>党建引领</w:t>
      </w:r>
    </w:p>
    <w:p w14:paraId="5F1837DC">
      <w:pPr>
        <w:pStyle w:val="2"/>
        <w:numPr>
          <w:ilvl w:val="0"/>
          <w:numId w:val="4"/>
        </w:numPr>
        <w:spacing w:before="104" w:line="283" w:lineRule="auto"/>
        <w:ind w:left="766" w:leftChars="0" w:right="4738" w:rightChars="0" w:firstLine="584" w:firstLineChars="200"/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  <w:t>文明创建</w:t>
      </w:r>
    </w:p>
    <w:p w14:paraId="5939F4B1">
      <w:pPr>
        <w:pStyle w:val="2"/>
        <w:numPr>
          <w:ilvl w:val="0"/>
          <w:numId w:val="4"/>
        </w:numPr>
        <w:spacing w:before="104" w:line="283" w:lineRule="auto"/>
        <w:ind w:left="766" w:leftChars="0" w:right="4738" w:rightChars="0" w:firstLine="584" w:firstLineChars="200"/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  <w:t>一校三区规划</w:t>
      </w:r>
    </w:p>
    <w:p w14:paraId="45CED998">
      <w:pPr>
        <w:pStyle w:val="2"/>
        <w:numPr>
          <w:ilvl w:val="0"/>
          <w:numId w:val="4"/>
        </w:numPr>
        <w:spacing w:before="104" w:line="283" w:lineRule="auto"/>
        <w:ind w:left="766" w:leftChars="0" w:right="4738" w:rightChars="0" w:firstLine="584" w:firstLineChars="200"/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  <w:t>行走德育</w:t>
      </w:r>
    </w:p>
    <w:p w14:paraId="1E45E74B">
      <w:pPr>
        <w:pStyle w:val="2"/>
        <w:numPr>
          <w:ilvl w:val="0"/>
          <w:numId w:val="4"/>
        </w:numPr>
        <w:spacing w:before="104" w:line="283" w:lineRule="auto"/>
        <w:ind w:left="766" w:leftChars="0" w:right="4738" w:rightChars="0" w:firstLine="584" w:firstLineChars="200"/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  <w:t>行知课堂</w:t>
      </w:r>
    </w:p>
    <w:p w14:paraId="5137539B">
      <w:pPr>
        <w:pStyle w:val="2"/>
        <w:numPr>
          <w:ilvl w:val="0"/>
          <w:numId w:val="4"/>
        </w:numPr>
        <w:spacing w:before="104" w:line="283" w:lineRule="auto"/>
        <w:ind w:left="766" w:leftChars="0" w:right="4738" w:rightChars="0" w:firstLine="584" w:firstLineChars="200"/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  <w:t>“双减”发力</w:t>
      </w:r>
    </w:p>
    <w:p w14:paraId="2164F5B9">
      <w:pPr>
        <w:pStyle w:val="2"/>
        <w:numPr>
          <w:ilvl w:val="0"/>
          <w:numId w:val="4"/>
        </w:numPr>
        <w:spacing w:before="104" w:line="283" w:lineRule="auto"/>
        <w:ind w:left="766" w:leftChars="0" w:right="4738" w:rightChars="0" w:firstLine="584" w:firstLineChars="200"/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  <w:t>智慧课堂</w:t>
      </w:r>
    </w:p>
    <w:p w14:paraId="32B2B7C2">
      <w:pPr>
        <w:pStyle w:val="2"/>
        <w:numPr>
          <w:ilvl w:val="0"/>
          <w:numId w:val="4"/>
        </w:numPr>
        <w:spacing w:before="104" w:line="283" w:lineRule="auto"/>
        <w:ind w:left="766" w:leftChars="0" w:right="4738" w:rightChars="0" w:firstLine="584" w:firstLineChars="200"/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  <w:t>校园安全</w:t>
      </w:r>
    </w:p>
    <w:p w14:paraId="665466ED">
      <w:pPr>
        <w:pStyle w:val="2"/>
        <w:numPr>
          <w:ilvl w:val="0"/>
          <w:numId w:val="4"/>
        </w:numPr>
        <w:spacing w:before="104" w:line="283" w:lineRule="auto"/>
        <w:ind w:left="766" w:leftChars="0" w:right="4738" w:rightChars="0" w:firstLine="584" w:firstLineChars="200"/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  <w:t>均衡创建</w:t>
      </w:r>
    </w:p>
    <w:p w14:paraId="2A230F5B">
      <w:pPr>
        <w:pStyle w:val="2"/>
        <w:numPr>
          <w:ilvl w:val="0"/>
          <w:numId w:val="4"/>
        </w:numPr>
        <w:spacing w:before="104" w:line="283" w:lineRule="auto"/>
        <w:ind w:left="766" w:leftChars="0" w:right="4738" w:rightChars="0" w:firstLine="584" w:firstLineChars="200"/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  <w:t>科研领航</w:t>
      </w:r>
    </w:p>
    <w:p w14:paraId="4452EC3A">
      <w:pPr>
        <w:pStyle w:val="2"/>
        <w:numPr>
          <w:ilvl w:val="0"/>
          <w:numId w:val="4"/>
        </w:numPr>
        <w:spacing w:before="104" w:line="283" w:lineRule="auto"/>
        <w:ind w:left="766" w:leftChars="0" w:right="4738" w:rightChars="0" w:firstLine="584" w:firstLineChars="200"/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  <w:t>教师发展</w:t>
      </w:r>
    </w:p>
    <w:p w14:paraId="053231E2">
      <w:pPr>
        <w:pStyle w:val="2"/>
        <w:numPr>
          <w:ilvl w:val="0"/>
          <w:numId w:val="4"/>
        </w:numPr>
        <w:spacing w:before="104" w:line="283" w:lineRule="auto"/>
        <w:ind w:left="766" w:leftChars="0" w:right="4738" w:rightChars="0" w:firstLine="584" w:firstLineChars="200"/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14"/>
          <w:u w:val="none" w:color="auto"/>
          <w:lang w:val="en-US" w:eastAsia="zh-CN"/>
        </w:rPr>
        <w:t>品牌影响</w:t>
      </w:r>
    </w:p>
    <w:p w14:paraId="26761675">
      <w:pPr>
        <w:pStyle w:val="2"/>
        <w:spacing w:before="218" w:line="283" w:lineRule="auto"/>
        <w:ind w:left="1471" w:right="4738" w:hanging="705"/>
        <w:rPr>
          <w:rFonts w:hint="eastAsia" w:ascii="Times New Roman" w:hAnsi="Times New Roman" w:eastAsia="仿宋" w:cs="Times New Roman"/>
          <w:u w:val="none" w:color="auto"/>
          <w:lang w:eastAsia="zh-CN"/>
        </w:rPr>
      </w:pPr>
      <w:r>
        <w:rPr>
          <w:rFonts w:hint="default" w:ascii="Times New Roman" w:hAnsi="Times New Roman" w:eastAsia="黑体" w:cs="Times New Roman"/>
          <w:spacing w:val="-2"/>
          <w:u w:val="none" w:color="auto"/>
        </w:rPr>
        <w:t>二、重点工作事项标题</w:t>
      </w:r>
      <w:r>
        <w:rPr>
          <w:rFonts w:hint="default" w:ascii="Times New Roman" w:hAnsi="Times New Roman" w:eastAsia="黑体" w:cs="Times New Roman"/>
          <w:spacing w:val="8"/>
          <w:u w:val="none" w:color="auto"/>
        </w:rPr>
        <w:t xml:space="preserve"> </w:t>
      </w:r>
    </w:p>
    <w:tbl>
      <w:tblPr>
        <w:tblStyle w:val="11"/>
        <w:tblW w:w="86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536"/>
        <w:gridCol w:w="5355"/>
        <w:gridCol w:w="1147"/>
      </w:tblGrid>
      <w:tr w14:paraId="52C2E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580" w:type="dxa"/>
            <w:vAlign w:val="center"/>
          </w:tcPr>
          <w:p w14:paraId="02D1FABF">
            <w:pPr>
              <w:spacing w:before="104" w:line="224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8"/>
                <w:szCs w:val="28"/>
                <w:highlight w:val="none"/>
                <w:u w:val="none" w:color="auto"/>
              </w:rPr>
              <w:t>序号</w:t>
            </w:r>
          </w:p>
        </w:tc>
        <w:tc>
          <w:tcPr>
            <w:tcW w:w="1536" w:type="dxa"/>
            <w:vAlign w:val="center"/>
          </w:tcPr>
          <w:p w14:paraId="400FA6A7">
            <w:pPr>
              <w:spacing w:before="104" w:line="224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highlight w:val="none"/>
                <w:u w:val="none" w:color="auto"/>
              </w:rPr>
              <w:t>重要事项</w:t>
            </w:r>
          </w:p>
        </w:tc>
        <w:tc>
          <w:tcPr>
            <w:tcW w:w="5355" w:type="dxa"/>
            <w:vAlign w:val="center"/>
          </w:tcPr>
          <w:p w14:paraId="56D3E6B8">
            <w:pPr>
              <w:spacing w:before="104" w:line="221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highlight w:val="none"/>
                <w:u w:val="none" w:color="auto"/>
              </w:rPr>
              <w:t>工作内容及目标</w:t>
            </w:r>
          </w:p>
        </w:tc>
        <w:tc>
          <w:tcPr>
            <w:tcW w:w="1147" w:type="dxa"/>
            <w:vAlign w:val="center"/>
          </w:tcPr>
          <w:p w14:paraId="08FE0944">
            <w:pPr>
              <w:spacing w:before="104" w:line="224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8"/>
                <w:szCs w:val="28"/>
                <w:highlight w:val="none"/>
                <w:u w:val="none" w:color="auto"/>
              </w:rPr>
              <w:t>完成情况</w:t>
            </w:r>
          </w:p>
        </w:tc>
      </w:tr>
      <w:tr w14:paraId="08238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580" w:type="dxa"/>
            <w:vAlign w:val="center"/>
          </w:tcPr>
          <w:p w14:paraId="57CCEDE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1</w:t>
            </w:r>
          </w:p>
        </w:tc>
        <w:tc>
          <w:tcPr>
            <w:tcW w:w="1536" w:type="dxa"/>
            <w:vAlign w:val="center"/>
          </w:tcPr>
          <w:p w14:paraId="6A327AD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both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党建引领</w:t>
            </w:r>
          </w:p>
        </w:tc>
        <w:tc>
          <w:tcPr>
            <w:tcW w:w="5355" w:type="dxa"/>
            <w:vAlign w:val="top"/>
          </w:tcPr>
          <w:p w14:paraId="3DAD569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1.全面落实党组织领导的校长负责制：切实发挥党组织在学校建设发展中把方向、管大局、作决策、抓班子、带队伍、保落实的职责；</w:t>
            </w:r>
          </w:p>
          <w:p w14:paraId="5D20FC0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2.完成党组织换届，进一步优化班子队伍，增强党组织战斗堡垒作用；</w:t>
            </w:r>
          </w:p>
          <w:p w14:paraId="5C3AF3D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3.抓牢抓实党员教育和管理：深入开展党纪学习教育，依托“三会一课”等活动载体筑牢党组织战斗堡垒作用；</w:t>
            </w:r>
          </w:p>
          <w:p w14:paraId="1C663E7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4.发展党员：进一步吸纳优秀人才到党组织队伍中来；</w:t>
            </w:r>
          </w:p>
        </w:tc>
        <w:tc>
          <w:tcPr>
            <w:tcW w:w="1147" w:type="dxa"/>
            <w:vAlign w:val="center"/>
          </w:tcPr>
          <w:p w14:paraId="14F6B31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both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已完成</w:t>
            </w:r>
          </w:p>
        </w:tc>
      </w:tr>
      <w:tr w14:paraId="34E02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580" w:type="dxa"/>
            <w:vAlign w:val="center"/>
          </w:tcPr>
          <w:p w14:paraId="3785C5B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2</w:t>
            </w:r>
          </w:p>
        </w:tc>
        <w:tc>
          <w:tcPr>
            <w:tcW w:w="1536" w:type="dxa"/>
            <w:vAlign w:val="center"/>
          </w:tcPr>
          <w:p w14:paraId="7EB4B26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both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  <w:p w14:paraId="5DFE306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both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文明创建</w:t>
            </w:r>
          </w:p>
          <w:p w14:paraId="3343D64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5355" w:type="dxa"/>
            <w:vAlign w:val="top"/>
          </w:tcPr>
          <w:p w14:paraId="509E0EC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1.深化清廉学校建设，落实党风廉政建设、双评议和反腐败工作；</w:t>
            </w:r>
          </w:p>
          <w:p w14:paraId="46A8EAF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2.优化校园环境建设，打造文化墙、宣传栏等文明阵地；</w:t>
            </w:r>
          </w:p>
          <w:p w14:paraId="3AA1A74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3.开展思想道德教育。开展爱国主义、社会主义核心价值观教育，通过主题班会、国旗下讲话等形式渗透。组织“新时代好少年”等评选、宣传学习活动。</w:t>
            </w:r>
          </w:p>
          <w:p w14:paraId="12351D3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4.家校社协同，组织学生参与“学雷锋”等主题实践活动，践行文明行为。</w:t>
            </w:r>
          </w:p>
        </w:tc>
        <w:tc>
          <w:tcPr>
            <w:tcW w:w="1147" w:type="dxa"/>
            <w:vAlign w:val="top"/>
          </w:tcPr>
          <w:p w14:paraId="2DD2F3C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  <w:p w14:paraId="3FFC37C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  <w:p w14:paraId="147B2F1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  <w:p w14:paraId="0D5C8BF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已完成</w:t>
            </w:r>
          </w:p>
        </w:tc>
      </w:tr>
      <w:tr w14:paraId="7CCB4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580" w:type="dxa"/>
            <w:vAlign w:val="top"/>
          </w:tcPr>
          <w:p w14:paraId="329BD67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  <w:p w14:paraId="7CB40D7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3</w:t>
            </w:r>
          </w:p>
        </w:tc>
        <w:tc>
          <w:tcPr>
            <w:tcW w:w="1536" w:type="dxa"/>
            <w:vAlign w:val="top"/>
          </w:tcPr>
          <w:p w14:paraId="1DD52BB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both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  <w:p w14:paraId="5E5D347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194" w:firstLineChars="10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一校三区规划</w:t>
            </w:r>
          </w:p>
        </w:tc>
        <w:tc>
          <w:tcPr>
            <w:tcW w:w="5355" w:type="dxa"/>
            <w:vAlign w:val="top"/>
          </w:tcPr>
          <w:p w14:paraId="072E672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2023年9月，学校接管武汉新城中心小学。2024年8月，光谷一小明玉路校区正式启用，这座崭新的校园拔地而起，为光谷一小的发展注入了新的动力，也意味着该校正式步入“一校三区”的全新格局。</w:t>
            </w:r>
          </w:p>
        </w:tc>
        <w:tc>
          <w:tcPr>
            <w:tcW w:w="1147" w:type="dxa"/>
            <w:vAlign w:val="top"/>
          </w:tcPr>
          <w:p w14:paraId="7E8EE83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  <w:p w14:paraId="2BF13E8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已完成</w:t>
            </w:r>
          </w:p>
        </w:tc>
      </w:tr>
      <w:tr w14:paraId="3CFD0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580" w:type="dxa"/>
            <w:vAlign w:val="top"/>
          </w:tcPr>
          <w:p w14:paraId="50EA682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center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  <w:p w14:paraId="67F81CD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center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  <w:p w14:paraId="699FD18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center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 xml:space="preserve">   4</w:t>
            </w:r>
          </w:p>
        </w:tc>
        <w:tc>
          <w:tcPr>
            <w:tcW w:w="1536" w:type="dxa"/>
            <w:vAlign w:val="top"/>
          </w:tcPr>
          <w:p w14:paraId="3A79300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both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  <w:p w14:paraId="35E15C7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both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  <w:p w14:paraId="6255B0D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both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  <w:p w14:paraId="5DB0478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both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行走德育</w:t>
            </w:r>
          </w:p>
        </w:tc>
        <w:tc>
          <w:tcPr>
            <w:tcW w:w="5355" w:type="dxa"/>
            <w:vAlign w:val="top"/>
          </w:tcPr>
          <w:p w14:paraId="1D752BD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1.鼓励班级“行走德育”开展，积极联动高新企业家长资源，探索光谷科技之光。</w:t>
            </w:r>
          </w:p>
          <w:p w14:paraId="1E9A2E8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2.优化各年级”行走德育“课程，创新课程内容， 完成科技馆、建筑馆、博物馆等场馆的项目式学习。</w:t>
            </w:r>
          </w:p>
          <w:p w14:paraId="78B8D57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3.创新春秋”行走德育“课程，强化研学实践性、合作性、探究性完成了符合一小学生成长规律的课程体系。</w:t>
            </w:r>
          </w:p>
          <w:p w14:paraId="053C589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4.成功举办光谷一小德育年会，班主任队伍建设初见成效。</w:t>
            </w:r>
          </w:p>
        </w:tc>
        <w:tc>
          <w:tcPr>
            <w:tcW w:w="1147" w:type="dxa"/>
            <w:vAlign w:val="top"/>
          </w:tcPr>
          <w:p w14:paraId="2101F70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  <w:p w14:paraId="576D2B0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  <w:p w14:paraId="40CEAF7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  <w:p w14:paraId="49AB77D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194" w:firstLineChars="100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已完成</w:t>
            </w:r>
          </w:p>
        </w:tc>
      </w:tr>
      <w:tr w14:paraId="1C151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580" w:type="dxa"/>
            <w:vAlign w:val="center"/>
          </w:tcPr>
          <w:p w14:paraId="71A402C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194" w:firstLineChars="100"/>
              <w:jc w:val="both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5</w:t>
            </w:r>
          </w:p>
        </w:tc>
        <w:tc>
          <w:tcPr>
            <w:tcW w:w="1536" w:type="dxa"/>
            <w:vAlign w:val="center"/>
          </w:tcPr>
          <w:p w14:paraId="095FC87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both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行知课堂</w:t>
            </w:r>
          </w:p>
        </w:tc>
        <w:tc>
          <w:tcPr>
            <w:tcW w:w="5355" w:type="dxa"/>
            <w:vAlign w:val="top"/>
          </w:tcPr>
          <w:p w14:paraId="5516412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1、以陶行知教育理念为核心，构建“行知课堂”，融合生活实践与学科知识，优化课程教学模式</w:t>
            </w:r>
          </w:p>
          <w:p w14:paraId="0BB5D0D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2、开展备课组听评课及研讨，提升教学能力；</w:t>
            </w:r>
          </w:p>
          <w:p w14:paraId="6BFA584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3.建立教学评价体系，保障课堂质量。</w:t>
            </w:r>
          </w:p>
        </w:tc>
        <w:tc>
          <w:tcPr>
            <w:tcW w:w="1147" w:type="dxa"/>
            <w:vAlign w:val="center"/>
          </w:tcPr>
          <w:p w14:paraId="07FE63A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194" w:firstLineChars="100"/>
              <w:jc w:val="both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已完成</w:t>
            </w:r>
          </w:p>
        </w:tc>
      </w:tr>
      <w:tr w14:paraId="605E9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580" w:type="dxa"/>
            <w:vAlign w:val="center"/>
          </w:tcPr>
          <w:p w14:paraId="40F5A11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194" w:firstLineChars="100"/>
              <w:jc w:val="both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6</w:t>
            </w:r>
          </w:p>
        </w:tc>
        <w:tc>
          <w:tcPr>
            <w:tcW w:w="1536" w:type="dxa"/>
            <w:vAlign w:val="center"/>
          </w:tcPr>
          <w:p w14:paraId="3B41FC3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194" w:firstLineChars="100"/>
              <w:jc w:val="both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“双减”发力</w:t>
            </w:r>
          </w:p>
        </w:tc>
        <w:tc>
          <w:tcPr>
            <w:tcW w:w="5355" w:type="dxa"/>
            <w:vAlign w:val="top"/>
          </w:tcPr>
          <w:p w14:paraId="1261141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1.严控作业总量与时长，健全班级统筹、每日公示机制，系统设计分层、实践类作业，确保减量提质。</w:t>
            </w:r>
          </w:p>
          <w:p w14:paraId="3B1ADA6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2.课后服务全面覆盖，深入推行“5+2”模式，通过“作业辅导+兴趣社团”满足学生个性化需求，助力全面发展。</w:t>
            </w:r>
          </w:p>
          <w:p w14:paraId="2865A8E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3.严格规范办学行为，执行教辅“一科一辅”及考试次数、等级评价等规定，降低学生压力，营造健康育人环境。</w:t>
            </w:r>
          </w:p>
        </w:tc>
        <w:tc>
          <w:tcPr>
            <w:tcW w:w="1147" w:type="dxa"/>
            <w:vAlign w:val="center"/>
          </w:tcPr>
          <w:p w14:paraId="699FD1C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194" w:firstLineChars="100"/>
              <w:jc w:val="both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已完成</w:t>
            </w:r>
          </w:p>
        </w:tc>
      </w:tr>
      <w:tr w14:paraId="1E794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580" w:type="dxa"/>
            <w:vAlign w:val="center"/>
          </w:tcPr>
          <w:p w14:paraId="3CA6844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194" w:firstLineChars="100"/>
              <w:jc w:val="both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7</w:t>
            </w:r>
          </w:p>
        </w:tc>
        <w:tc>
          <w:tcPr>
            <w:tcW w:w="1536" w:type="dxa"/>
            <w:vAlign w:val="center"/>
          </w:tcPr>
          <w:p w14:paraId="1E0679E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both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智慧课堂</w:t>
            </w:r>
          </w:p>
        </w:tc>
        <w:tc>
          <w:tcPr>
            <w:tcW w:w="5355" w:type="dxa"/>
            <w:vAlign w:val="top"/>
          </w:tcPr>
          <w:p w14:paraId="5E7ADDE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1. 平台功能优化：升级智慧课堂平台，强化互动工具与数据分析功能，为师生提供更流畅、高效的互动教学体验。</w:t>
            </w:r>
          </w:p>
          <w:p w14:paraId="0C4A40E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2. 常态化应用推广：组织开展系列培训与优秀课例评选，推动智慧课堂在主要学科中的常态化、高质量应用。</w:t>
            </w:r>
          </w:p>
          <w:p w14:paraId="20486CC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3. 数据驱动教学：利用平台采集的学情数据，生成个性化学习报告，辅助教师实施精准教学与科学决策。</w:t>
            </w:r>
          </w:p>
        </w:tc>
        <w:tc>
          <w:tcPr>
            <w:tcW w:w="1147" w:type="dxa"/>
            <w:vAlign w:val="center"/>
          </w:tcPr>
          <w:p w14:paraId="3817C3B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194" w:firstLineChars="100"/>
              <w:jc w:val="both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已完成</w:t>
            </w:r>
          </w:p>
        </w:tc>
      </w:tr>
      <w:tr w14:paraId="56E8C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580" w:type="dxa"/>
            <w:vAlign w:val="center"/>
          </w:tcPr>
          <w:p w14:paraId="334B2DC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8</w:t>
            </w:r>
          </w:p>
        </w:tc>
        <w:tc>
          <w:tcPr>
            <w:tcW w:w="1536" w:type="dxa"/>
            <w:vAlign w:val="center"/>
          </w:tcPr>
          <w:p w14:paraId="702E2DD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both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校园安全</w:t>
            </w:r>
          </w:p>
        </w:tc>
        <w:tc>
          <w:tcPr>
            <w:tcW w:w="5355" w:type="dxa"/>
            <w:vAlign w:val="top"/>
          </w:tcPr>
          <w:p w14:paraId="20C5900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1.排查消防、燃气、校舍施工等安全隐患，整治违规用电用气、电动车违规充电等行为，保障消防设施完好。</w:t>
            </w:r>
          </w:p>
          <w:p w14:paraId="5F142CD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2.严格落实食堂食材双人验收，按要求执行行政陪餐，家长陪餐制度，为校园食品安全保驾护航。</w:t>
            </w:r>
          </w:p>
          <w:p w14:paraId="6CAA113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3.强化校门周边防护，落实防溺水教育 “1530” 机制，目标消除安全隐患，保障师生安全。</w:t>
            </w:r>
          </w:p>
        </w:tc>
        <w:tc>
          <w:tcPr>
            <w:tcW w:w="1147" w:type="dxa"/>
            <w:vAlign w:val="center"/>
          </w:tcPr>
          <w:p w14:paraId="22775F8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both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已完成</w:t>
            </w:r>
          </w:p>
        </w:tc>
      </w:tr>
      <w:tr w14:paraId="09BBC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580" w:type="dxa"/>
            <w:vAlign w:val="center"/>
          </w:tcPr>
          <w:p w14:paraId="60ECA82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194" w:firstLineChars="100"/>
              <w:jc w:val="both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9</w:t>
            </w:r>
          </w:p>
        </w:tc>
        <w:tc>
          <w:tcPr>
            <w:tcW w:w="1536" w:type="dxa"/>
            <w:vAlign w:val="center"/>
          </w:tcPr>
          <w:p w14:paraId="10BCE4F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both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均衡创建</w:t>
            </w:r>
          </w:p>
        </w:tc>
        <w:tc>
          <w:tcPr>
            <w:tcW w:w="5355" w:type="dxa"/>
            <w:vAlign w:val="top"/>
          </w:tcPr>
          <w:p w14:paraId="0D1872D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 xml:space="preserve">1.填报义务教育优质均衡数据收集表和教育事业综合统计教基表。 </w:t>
            </w:r>
          </w:p>
          <w:p w14:paraId="34DB568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2.积极完善创建义务教育优质均衡工作相关资料，包括学校实地核查表、学生分班名册、校级课表、功能室使用记录及教育教学质量材料。</w:t>
            </w:r>
          </w:p>
          <w:p w14:paraId="7AACF2B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3.每月完成义务教育优质均衡工作简报，及时反馈创建义务教育优质均衡工作进度，整改、完善相关工作</w:t>
            </w:r>
          </w:p>
        </w:tc>
        <w:tc>
          <w:tcPr>
            <w:tcW w:w="1147" w:type="dxa"/>
            <w:vAlign w:val="center"/>
          </w:tcPr>
          <w:p w14:paraId="7AC9E4A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194" w:firstLineChars="100"/>
              <w:jc w:val="both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已完成</w:t>
            </w:r>
          </w:p>
        </w:tc>
      </w:tr>
      <w:tr w14:paraId="6070F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580" w:type="dxa"/>
            <w:vAlign w:val="center"/>
          </w:tcPr>
          <w:p w14:paraId="1141884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10</w:t>
            </w:r>
          </w:p>
        </w:tc>
        <w:tc>
          <w:tcPr>
            <w:tcW w:w="1536" w:type="dxa"/>
            <w:vAlign w:val="center"/>
          </w:tcPr>
          <w:p w14:paraId="39C6B8D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both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科研领航</w:t>
            </w:r>
          </w:p>
        </w:tc>
        <w:tc>
          <w:tcPr>
            <w:tcW w:w="5355" w:type="dxa"/>
            <w:vAlign w:val="top"/>
          </w:tcPr>
          <w:p w14:paraId="445F88C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1.筹备《“真人教育”理念下教师课程素养的发展研究 》课题结题工作。</w:t>
            </w:r>
          </w:p>
          <w:p w14:paraId="7099DD2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2.筹备《基 于 人 工 智 能 大 模 型 的 学 校 治 理 研 究》课题申报。</w:t>
            </w:r>
          </w:p>
          <w:p w14:paraId="2BD95B5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3.推进省、区级和校级课题研究，提升科研实效；搭建平台推动学校教师科研能力发展。</w:t>
            </w:r>
          </w:p>
        </w:tc>
        <w:tc>
          <w:tcPr>
            <w:tcW w:w="1147" w:type="dxa"/>
            <w:vAlign w:val="center"/>
          </w:tcPr>
          <w:p w14:paraId="5933BE3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194" w:firstLineChars="100"/>
              <w:jc w:val="both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已完成</w:t>
            </w:r>
          </w:p>
        </w:tc>
      </w:tr>
      <w:tr w14:paraId="6659A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580" w:type="dxa"/>
            <w:vAlign w:val="center"/>
          </w:tcPr>
          <w:p w14:paraId="7D6946D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11</w:t>
            </w:r>
          </w:p>
        </w:tc>
        <w:tc>
          <w:tcPr>
            <w:tcW w:w="1536" w:type="dxa"/>
            <w:vAlign w:val="center"/>
          </w:tcPr>
          <w:p w14:paraId="74587BA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both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教师发展</w:t>
            </w:r>
          </w:p>
        </w:tc>
        <w:tc>
          <w:tcPr>
            <w:tcW w:w="5355" w:type="dxa"/>
            <w:vAlign w:val="top"/>
          </w:tcPr>
          <w:p w14:paraId="6E349B4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1.聚焦师德师风建设，常态化开展学习监督，严守职业底线；</w:t>
            </w:r>
          </w:p>
          <w:p w14:paraId="1FF3961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2.实施“青蓝工程”师徒结对与“菜单式”发展规划，分层助推教师成长；</w:t>
            </w:r>
          </w:p>
          <w:p w14:paraId="19E171D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3.依托校本研训强化基本功，拓展专业素养；</w:t>
            </w:r>
          </w:p>
          <w:p w14:paraId="7CA1B9A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4.借助“百谷新声”公众号等平台促进教师展示交流与全面发展，致力打造高素质专业化教师队伍</w:t>
            </w:r>
          </w:p>
        </w:tc>
        <w:tc>
          <w:tcPr>
            <w:tcW w:w="1147" w:type="dxa"/>
            <w:vAlign w:val="center"/>
          </w:tcPr>
          <w:p w14:paraId="0487060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194" w:firstLineChars="100"/>
              <w:jc w:val="both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已完成</w:t>
            </w:r>
          </w:p>
        </w:tc>
      </w:tr>
      <w:tr w14:paraId="5F20B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580" w:type="dxa"/>
            <w:vAlign w:val="center"/>
          </w:tcPr>
          <w:p w14:paraId="1A40D46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12</w:t>
            </w:r>
          </w:p>
        </w:tc>
        <w:tc>
          <w:tcPr>
            <w:tcW w:w="1536" w:type="dxa"/>
            <w:vAlign w:val="center"/>
          </w:tcPr>
          <w:p w14:paraId="6F3311C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center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  <w:p w14:paraId="6C0A086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both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品牌影响</w:t>
            </w:r>
          </w:p>
          <w:p w14:paraId="6EC18F6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5355" w:type="dxa"/>
            <w:vAlign w:val="top"/>
          </w:tcPr>
          <w:p w14:paraId="4BD3F3F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1.教联体建设</w:t>
            </w:r>
          </w:p>
          <w:p w14:paraId="71CDEAB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为扩大学校教学影响力，加强名校辐射效应，特创建跨区域、跨体制教学联合体。我校与新城中心小学教学并线管理，与汉川外国语学校和平章小学进行三校联盟，建构“教、学、研合一”专业发展机制，破解教学困境，顺应时代发展。</w:t>
            </w:r>
          </w:p>
          <w:p w14:paraId="0144DD5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2.办学经验分享</w:t>
            </w:r>
          </w:p>
          <w:p w14:paraId="72B8BC2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388" w:firstLineChars="200"/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一年来，学校先后迎接了10余次来自北京、西藏、湖北等地区的参观团，分享了学校的办学经验和特色文化，赢得了广泛的赞誉。</w:t>
            </w:r>
          </w:p>
        </w:tc>
        <w:tc>
          <w:tcPr>
            <w:tcW w:w="1147" w:type="dxa"/>
            <w:vAlign w:val="center"/>
          </w:tcPr>
          <w:p w14:paraId="5B88BBB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194" w:firstLineChars="100"/>
              <w:jc w:val="both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sz w:val="21"/>
                <w:szCs w:val="21"/>
                <w:u w:val="none" w:color="auto"/>
                <w:lang w:val="en-US" w:eastAsia="zh-CN"/>
              </w:rPr>
              <w:t>已完成</w:t>
            </w:r>
          </w:p>
        </w:tc>
      </w:tr>
    </w:tbl>
    <w:p w14:paraId="407896D0">
      <w:pPr>
        <w:rPr>
          <w:rFonts w:hint="default" w:ascii="Times New Roman" w:hAnsi="Times New Roman" w:cs="Times New Roman"/>
          <w:u w:val="none" w:color="auto"/>
          <w:lang w:val="en-US" w:eastAsia="zh-CN"/>
        </w:rPr>
      </w:pPr>
      <w:r>
        <w:rPr>
          <w:rFonts w:hint="default" w:ascii="Times New Roman" w:hAnsi="Times New Roman" w:cs="Times New Roman"/>
          <w:u w:val="none" w:color="auto"/>
          <w:lang w:val="en-US" w:eastAsia="zh-CN"/>
        </w:rPr>
        <w:br w:type="page"/>
      </w:r>
    </w:p>
    <w:p w14:paraId="7F8714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  <w:u w:val="none" w:color="auto"/>
        </w:rPr>
      </w:pPr>
      <w:r>
        <w:rPr>
          <w:rFonts w:hint="default" w:ascii="方正小标宋_GBK" w:hAnsi="方正小标宋_GBK" w:eastAsia="方正小标宋_GBK" w:cs="方正小标宋_GBK"/>
          <w:spacing w:val="-2"/>
          <w:sz w:val="44"/>
          <w:szCs w:val="44"/>
          <w:u w:val="none" w:color="auto"/>
        </w:rPr>
        <w:t>第五部分  名词解释</w:t>
      </w:r>
    </w:p>
    <w:p w14:paraId="3B05396C">
      <w:pPr>
        <w:spacing w:line="398" w:lineRule="auto"/>
        <w:rPr>
          <w:rFonts w:hint="default" w:ascii="Times New Roman" w:hAnsi="Times New Roman" w:cs="Times New Roman"/>
          <w:sz w:val="21"/>
          <w:u w:val="none" w:color="auto"/>
        </w:rPr>
      </w:pPr>
    </w:p>
    <w:p w14:paraId="41DF95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6" w:firstLineChars="200"/>
        <w:textAlignment w:val="baseline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4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4"/>
          <w:u w:val="none" w:color="auto"/>
        </w:rPr>
        <w:t>一</w:t>
      </w:r>
      <w:r>
        <w:rPr>
          <w:rFonts w:hint="default" w:ascii="Times New Roman" w:hAnsi="Times New Roman" w:eastAsia="仿宋_GB2312" w:cs="Times New Roman"/>
          <w:spacing w:val="4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4"/>
          <w:u w:val="none" w:color="auto"/>
        </w:rPr>
        <w:t>一般公共预算财政拨款收入：指</w:t>
      </w:r>
      <w:r>
        <w:rPr>
          <w:rFonts w:hint="default" w:ascii="Times New Roman" w:hAnsi="Times New Roman" w:eastAsia="仿宋_GB2312" w:cs="Times New Roman"/>
          <w:spacing w:val="4"/>
          <w:u w:val="none" w:color="auto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4"/>
          <w:u w:val="none" w:color="auto"/>
        </w:rPr>
        <w:t>级财政一般公共预</w:t>
      </w:r>
      <w:r>
        <w:rPr>
          <w:rFonts w:hint="default" w:ascii="Times New Roman" w:hAnsi="Times New Roman" w:eastAsia="仿宋_GB2312" w:cs="Times New Roman"/>
          <w:spacing w:val="7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算当年拨付的资金。</w:t>
      </w:r>
    </w:p>
    <w:p w14:paraId="6791E4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二</w:t>
      </w: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政府性基金预算财政拨款收入：指</w:t>
      </w: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级财政政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府性基金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预算当年拨付的资金。</w:t>
      </w:r>
    </w:p>
    <w:p w14:paraId="254E65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8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三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国有资本经营预算财政拨款收入：指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级财政国有资本</w:t>
      </w:r>
      <w:r>
        <w:rPr>
          <w:rFonts w:hint="default" w:ascii="Times New Roman" w:hAnsi="Times New Roman" w:eastAsia="仿宋_GB2312" w:cs="Times New Roman"/>
          <w:spacing w:val="18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u w:val="none" w:color="auto"/>
        </w:rPr>
        <w:t>经营预算当年拨付的资金。</w:t>
      </w:r>
    </w:p>
    <w:p w14:paraId="07A021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四</w:t>
      </w: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上级补助收入：指从事业单位主管部门和上级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单位取得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的非财政补助收入。</w:t>
      </w:r>
    </w:p>
    <w:p w14:paraId="542798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五</w:t>
      </w: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事业收入：指事业单位开展专业业务活动及其辅助活动</w:t>
      </w:r>
      <w:r>
        <w:rPr>
          <w:rFonts w:hint="default" w:ascii="Times New Roman" w:hAnsi="Times New Roman" w:eastAsia="仿宋_GB2312" w:cs="Times New Roman"/>
          <w:spacing w:val="1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取得的收入。</w:t>
      </w:r>
    </w:p>
    <w:p w14:paraId="46E094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六</w:t>
      </w: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经营收入：指事业单位在专业业务活动及其辅助活动之</w:t>
      </w:r>
      <w:r>
        <w:rPr>
          <w:rFonts w:hint="default" w:ascii="Times New Roman" w:hAnsi="Times New Roman" w:eastAsia="仿宋_GB2312" w:cs="Times New Roman"/>
          <w:spacing w:val="1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u w:val="none" w:color="auto"/>
        </w:rPr>
        <w:t>外开展非独立核算经营活动取得的收入。</w:t>
      </w:r>
    </w:p>
    <w:p w14:paraId="71D967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spacing w:val="-8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七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其他收入：指单位取得的除上述“一般公共预算财政拨</w:t>
      </w:r>
      <w:r>
        <w:rPr>
          <w:rFonts w:hint="default" w:ascii="Times New Roman" w:hAnsi="Times New Roman" w:eastAsia="仿宋_GB2312" w:cs="Times New Roman"/>
          <w:spacing w:val="9"/>
          <w:u w:val="non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6"/>
          <w:u w:val="none" w:color="auto"/>
        </w:rPr>
        <w:t>款收入”、“政府性基金预算财政拨款收入”、“国有资本经营预</w:t>
      </w:r>
      <w:r>
        <w:rPr>
          <w:rFonts w:hint="default" w:ascii="Times New Roman" w:hAnsi="Times New Roman" w:eastAsia="仿宋_GB2312" w:cs="Times New Roman"/>
          <w:spacing w:val="-26"/>
          <w:u w:val="none" w:color="auto"/>
        </w:rPr>
        <w:t>算财政拨款收入”、“上级补助收入”、“事业收入”、</w:t>
      </w:r>
      <w:r>
        <w:rPr>
          <w:rFonts w:hint="default" w:ascii="Times New Roman" w:hAnsi="Times New Roman" w:eastAsia="仿宋_GB2312" w:cs="Times New Roman"/>
          <w:spacing w:val="-27"/>
          <w:u w:val="none" w:color="auto"/>
        </w:rPr>
        <w:t>“经营收入”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等收入以外的各项收入。</w:t>
      </w:r>
      <w:r>
        <w:rPr>
          <w:rFonts w:hint="default" w:ascii="Times New Roman" w:hAnsi="Times New Roman" w:eastAsia="仿宋_GB2312" w:cs="Times New Roman"/>
          <w:spacing w:val="-38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该项名词解释中</w:t>
      </w:r>
      <w:r>
        <w:rPr>
          <w:rFonts w:hint="default" w:ascii="Times New Roman" w:hAnsi="Times New Roman" w:eastAsia="仿宋_GB2312" w:cs="Times New Roman"/>
          <w:spacing w:val="-114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“上述</w:t>
      </w:r>
      <w:r>
        <w:rPr>
          <w:rFonts w:hint="default" w:ascii="Times New Roman" w:hAnsi="Times New Roman" w:eastAsia="仿宋_GB2312" w:cs="Times New Roman"/>
          <w:spacing w:val="-107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……等收入”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请依据部门收入的实际情况进行解释</w:t>
      </w:r>
      <w:r>
        <w:rPr>
          <w:rFonts w:hint="default" w:ascii="Times New Roman" w:hAnsi="Times New Roman" w:eastAsia="仿宋_GB2312" w:cs="Times New Roman"/>
          <w:spacing w:val="-1"/>
          <w:u w:val="none" w:color="auto"/>
          <w:lang w:eastAsia="zh-CN"/>
        </w:rPr>
        <w:t>）</w:t>
      </w:r>
    </w:p>
    <w:p w14:paraId="3544E0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八</w:t>
      </w: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使用非财政拨款结余</w:t>
      </w: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含专用结余</w:t>
      </w: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：指事业单位按预算</w:t>
      </w:r>
      <w:r>
        <w:rPr>
          <w:rFonts w:hint="default" w:ascii="Times New Roman" w:hAnsi="Times New Roman" w:eastAsia="仿宋_GB2312" w:cs="Times New Roman"/>
          <w:spacing w:val="6"/>
          <w:u w:val="none" w:color="auto"/>
        </w:rPr>
        <w:t>管理要求使用非财政拨款结余</w:t>
      </w:r>
      <w:r>
        <w:rPr>
          <w:rFonts w:hint="default" w:ascii="Times New Roman" w:hAnsi="Times New Roman" w:eastAsia="仿宋_GB2312" w:cs="Times New Roman"/>
          <w:spacing w:val="6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6"/>
          <w:u w:val="none" w:color="auto"/>
        </w:rPr>
        <w:t>含专用结余</w:t>
      </w:r>
      <w:r>
        <w:rPr>
          <w:rFonts w:hint="default" w:ascii="Times New Roman" w:hAnsi="Times New Roman" w:eastAsia="仿宋_GB2312" w:cs="Times New Roman"/>
          <w:spacing w:val="6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6"/>
          <w:u w:val="none" w:color="auto"/>
        </w:rPr>
        <w:t>弥补收支差额的金</w:t>
      </w:r>
      <w:r>
        <w:rPr>
          <w:rFonts w:hint="default" w:ascii="Times New Roman" w:hAnsi="Times New Roman" w:eastAsia="仿宋_GB2312" w:cs="Times New Roman"/>
          <w:spacing w:val="-10"/>
          <w:u w:val="none" w:color="auto"/>
        </w:rPr>
        <w:t>额。</w:t>
      </w:r>
    </w:p>
    <w:p w14:paraId="1B3E83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jc w:val="both"/>
        <w:textAlignment w:val="baseline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九</w:t>
      </w: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年初结转和结余：指单位以前年度尚未完成、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结转到本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年仍按原规定用途继续使用的资金，或项目已完成等产生的结余</w:t>
      </w:r>
      <w:r>
        <w:rPr>
          <w:rFonts w:hint="default" w:ascii="Times New Roman" w:hAnsi="Times New Roman" w:eastAsia="仿宋_GB2312" w:cs="Times New Roman"/>
          <w:spacing w:val="9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资金。</w:t>
      </w:r>
    </w:p>
    <w:p w14:paraId="1729E6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4" w:firstLineChars="200"/>
        <w:textAlignment w:val="baseline"/>
        <w:rPr>
          <w:rFonts w:hint="default" w:ascii="Times New Roman" w:hAnsi="Times New Roman" w:eastAsia="仿宋_GB2312" w:cs="Times New Roman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十</w:t>
      </w:r>
      <w:r>
        <w:rPr>
          <w:rFonts w:hint="default" w:ascii="Times New Roman" w:hAnsi="Times New Roman" w:eastAsia="仿宋_GB2312" w:cs="Times New Roman"/>
          <w:spacing w:val="-4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本部门使用的支出功能分类科目</w:t>
      </w:r>
      <w:r>
        <w:rPr>
          <w:rFonts w:hint="default" w:ascii="Times New Roman" w:hAnsi="Times New Roman" w:eastAsia="仿宋_GB2312" w:cs="Times New Roman"/>
          <w:spacing w:val="-4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到项级</w:t>
      </w:r>
      <w:r>
        <w:rPr>
          <w:rFonts w:hint="default" w:ascii="Times New Roman" w:hAnsi="Times New Roman" w:eastAsia="仿宋_GB2312" w:cs="Times New Roman"/>
          <w:spacing w:val="-4"/>
          <w:u w:val="none" w:color="auto"/>
          <w:lang w:eastAsia="zh-CN"/>
        </w:rPr>
        <w:t>）</w:t>
      </w:r>
    </w:p>
    <w:p w14:paraId="6D9F6C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32" w:firstLineChars="200"/>
        <w:textAlignment w:val="baseline"/>
        <w:rPr>
          <w:rFonts w:hint="default" w:ascii="Times New Roman" w:hAnsi="Times New Roman" w:eastAsia="仿宋_GB2312" w:cs="Times New Roman"/>
          <w:spacing w:val="18"/>
          <w:u w:val="none" w:color="auto"/>
        </w:rPr>
      </w:pPr>
      <w:r>
        <w:rPr>
          <w:rFonts w:hint="default" w:ascii="Times New Roman" w:hAnsi="Times New Roman" w:eastAsia="仿宋_GB2312" w:cs="Times New Roman"/>
          <w:spacing w:val="-2"/>
          <w:u w:val="none" w:color="auto"/>
        </w:rPr>
        <w:t>1.一般公共服务</w:t>
      </w:r>
      <w:r>
        <w:rPr>
          <w:rFonts w:hint="default" w:ascii="Times New Roman" w:hAnsi="Times New Roman" w:eastAsia="仿宋_GB2312" w:cs="Times New Roman"/>
          <w:spacing w:val="-2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  <w:u w:val="none" w:color="auto"/>
        </w:rPr>
        <w:t>类</w:t>
      </w:r>
      <w:r>
        <w:rPr>
          <w:rFonts w:hint="default" w:ascii="Times New Roman" w:hAnsi="Times New Roman" w:eastAsia="仿宋_GB2312" w:cs="Times New Roman"/>
          <w:spacing w:val="-2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"/>
          <w:u w:val="none" w:color="auto"/>
        </w:rPr>
        <w:t>财政事务</w:t>
      </w:r>
      <w:r>
        <w:rPr>
          <w:rFonts w:hint="default" w:ascii="Times New Roman" w:hAnsi="Times New Roman" w:eastAsia="仿宋_GB2312" w:cs="Times New Roman"/>
          <w:spacing w:val="-2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  <w:u w:val="none" w:color="auto"/>
        </w:rPr>
        <w:t>款</w:t>
      </w:r>
      <w:r>
        <w:rPr>
          <w:rFonts w:hint="default" w:ascii="Times New Roman" w:hAnsi="Times New Roman" w:eastAsia="仿宋_GB2312" w:cs="Times New Roman"/>
          <w:spacing w:val="-2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"/>
          <w:u w:val="none" w:color="auto"/>
        </w:rPr>
        <w:t>行政运行</w:t>
      </w:r>
      <w:r>
        <w:rPr>
          <w:rFonts w:hint="default" w:ascii="Times New Roman" w:hAnsi="Times New Roman" w:eastAsia="仿宋_GB2312" w:cs="Times New Roman"/>
          <w:spacing w:val="-2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  <w:u w:val="none" w:color="auto"/>
        </w:rPr>
        <w:t>项</w:t>
      </w:r>
      <w:r>
        <w:rPr>
          <w:rFonts w:hint="default" w:ascii="Times New Roman" w:hAnsi="Times New Roman" w:eastAsia="仿宋_GB2312" w:cs="Times New Roman"/>
          <w:spacing w:val="-2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8"/>
          <w:u w:val="none" w:color="auto"/>
        </w:rPr>
        <w:t xml:space="preserve"> </w:t>
      </w:r>
    </w:p>
    <w:p w14:paraId="377679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568" w:firstLineChars="200"/>
        <w:textAlignment w:val="baseline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18"/>
          <w:u w:val="none" w:color="auto"/>
        </w:rPr>
        <w:t>2.</w:t>
      </w:r>
      <w:r>
        <w:rPr>
          <w:rFonts w:hint="default" w:ascii="Times New Roman" w:hAnsi="Times New Roman" w:eastAsia="仿宋_GB2312" w:cs="Times New Roman"/>
          <w:spacing w:val="-109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8"/>
          <w:u w:val="none" w:color="auto"/>
        </w:rPr>
        <w:t>……</w:t>
      </w:r>
    </w:p>
    <w:p w14:paraId="58879E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4" w:firstLineChars="200"/>
        <w:textAlignment w:val="baseline"/>
        <w:rPr>
          <w:rFonts w:hint="default" w:ascii="Times New Roman" w:hAnsi="Times New Roman" w:eastAsia="仿宋_GB2312" w:cs="Times New Roman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参考《202</w:t>
      </w:r>
      <w:r>
        <w:rPr>
          <w:rFonts w:hint="eastAsia" w:ascii="Times New Roman" w:hAnsi="Times New Roman" w:eastAsia="仿宋_GB2312" w:cs="Times New Roman"/>
          <w:spacing w:val="-4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56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u w:val="none" w:color="auto"/>
        </w:rPr>
        <w:t>年政府收支分类科目》说明逐项解释</w:t>
      </w:r>
      <w:r>
        <w:rPr>
          <w:rFonts w:hint="default" w:ascii="Times New Roman" w:hAnsi="Times New Roman" w:eastAsia="仿宋_GB2312" w:cs="Times New Roman"/>
          <w:spacing w:val="-4"/>
          <w:u w:val="none" w:color="auto"/>
          <w:lang w:eastAsia="zh-CN"/>
        </w:rPr>
        <w:t>）</w:t>
      </w:r>
    </w:p>
    <w:p w14:paraId="44C59B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十一</w:t>
      </w: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结余分配：指单位按照会计制度规定缴纳企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业所得税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u w:val="none" w:color="auto"/>
        </w:rPr>
        <w:t>以及从非财政拨款结余或经营结余中提取各类结余的情况。</w:t>
      </w:r>
    </w:p>
    <w:p w14:paraId="3F0D3F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十二</w:t>
      </w: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年末结转和结余：指单位按有关规定结转到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下年或以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后年度继续使用的资金，或项目已完成等产生的结余资金。</w:t>
      </w:r>
    </w:p>
    <w:p w14:paraId="419494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十三</w:t>
      </w: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基本支出：指为保障机构正常运转、完成日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常工作任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务而发生的人员支出和公用支出。</w:t>
      </w:r>
    </w:p>
    <w:p w14:paraId="718C94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十四</w:t>
      </w: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项目支出：指在基本支出之外为完成特定行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政任务或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u w:val="none" w:color="auto"/>
        </w:rPr>
        <w:t>事业发展目标所发生的支出。</w:t>
      </w:r>
    </w:p>
    <w:p w14:paraId="165388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十五</w:t>
      </w: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经营支出：指事业单位在专业活动及辅助活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动之外开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展非独立核算经营活动发生的支出。</w:t>
      </w:r>
    </w:p>
    <w:p w14:paraId="5DCD54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8" w:firstLineChars="200"/>
        <w:jc w:val="both"/>
        <w:textAlignment w:val="baseline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3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十六</w:t>
      </w:r>
      <w:r>
        <w:rPr>
          <w:rFonts w:hint="default" w:ascii="Times New Roman" w:hAnsi="Times New Roman" w:eastAsia="仿宋_GB2312" w:cs="Times New Roman"/>
          <w:spacing w:val="-3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11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“</w:t>
      </w:r>
      <w:r>
        <w:rPr>
          <w:rFonts w:hint="default" w:ascii="Times New Roman" w:hAnsi="Times New Roman" w:eastAsia="仿宋_GB2312" w:cs="Times New Roman"/>
          <w:spacing w:val="-124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三公”经费：纳入市级财政预决算管理的</w:t>
      </w:r>
      <w:r>
        <w:rPr>
          <w:rFonts w:hint="default" w:ascii="Times New Roman" w:hAnsi="Times New Roman" w:eastAsia="仿宋_GB2312" w:cs="Times New Roman"/>
          <w:spacing w:val="-118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“</w:t>
      </w:r>
      <w:r>
        <w:rPr>
          <w:rFonts w:hint="default" w:ascii="Times New Roman" w:hAnsi="Times New Roman" w:eastAsia="仿宋_GB2312" w:cs="Times New Roman"/>
          <w:spacing w:val="-124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u w:val="none" w:color="auto"/>
        </w:rPr>
        <w:t>三公”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经费，是指部门用财政拨款安排的因公出国</w:t>
      </w:r>
      <w:r>
        <w:rPr>
          <w:rFonts w:hint="default" w:ascii="Times New Roman" w:hAnsi="Times New Roman" w:eastAsia="仿宋_GB2312" w:cs="Times New Roman"/>
          <w:spacing w:val="-5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境</w:t>
      </w:r>
      <w:r>
        <w:rPr>
          <w:rFonts w:hint="default" w:ascii="Times New Roman" w:hAnsi="Times New Roman" w:eastAsia="仿宋_GB2312" w:cs="Times New Roman"/>
          <w:spacing w:val="-5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费、公务用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车购置及运行维护费和公务接待费。其中，因公出国</w:t>
      </w:r>
      <w:r>
        <w:rPr>
          <w:rFonts w:hint="default" w:ascii="Times New Roman" w:hAnsi="Times New Roman" w:eastAsia="仿宋_GB2312" w:cs="Times New Roman"/>
          <w:spacing w:val="-65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境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费反映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单位公务出国</w:t>
      </w:r>
      <w:r>
        <w:rPr>
          <w:rFonts w:hint="default" w:ascii="Times New Roman" w:hAnsi="Times New Roman" w:eastAsia="仿宋_GB2312" w:cs="Times New Roman"/>
          <w:spacing w:val="-5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境</w:t>
      </w:r>
      <w:r>
        <w:rPr>
          <w:rFonts w:hint="default" w:ascii="Times New Roman" w:hAnsi="Times New Roman" w:eastAsia="仿宋_GB2312" w:cs="Times New Roman"/>
          <w:spacing w:val="-5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的国际旅费、国外城市间交通费、住宿费、伙食费、培训费、公杂费等支出；公务用车购置及运行维护费反映</w:t>
      </w:r>
      <w:r>
        <w:rPr>
          <w:rFonts w:hint="default" w:ascii="Times New Roman" w:hAnsi="Times New Roman" w:eastAsia="仿宋_GB2312" w:cs="Times New Roman"/>
          <w:spacing w:val="13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单位公务用车购置支出</w:t>
      </w:r>
      <w:r>
        <w:rPr>
          <w:rFonts w:hint="default" w:ascii="Times New Roman" w:hAnsi="Times New Roman" w:eastAsia="仿宋_GB2312" w:cs="Times New Roman"/>
          <w:spacing w:val="-80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  <w:u w:val="none" w:color="auto"/>
        </w:rPr>
        <w:t>含车辆购置税、牌照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费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及燃料费、维修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费、过桥过路费、保险费、安全奖励费用等支出；公务接待费反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映单位按规定开支的各类公务接待</w:t>
      </w:r>
      <w:r>
        <w:rPr>
          <w:rFonts w:hint="default" w:ascii="Times New Roman" w:hAnsi="Times New Roman" w:eastAsia="仿宋_GB2312" w:cs="Times New Roman"/>
          <w:spacing w:val="-1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含外宾接待</w:t>
      </w:r>
      <w:r>
        <w:rPr>
          <w:rFonts w:hint="default" w:ascii="Times New Roman" w:hAnsi="Times New Roman" w:eastAsia="仿宋_GB2312" w:cs="Times New Roman"/>
          <w:spacing w:val="-1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"/>
          <w:u w:val="none" w:color="auto"/>
        </w:rPr>
        <w:t>费用。</w:t>
      </w:r>
    </w:p>
    <w:p w14:paraId="1CCB95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2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  <w:u w:val="none" w:color="auto"/>
        </w:rPr>
        <w:t>十七</w:t>
      </w:r>
      <w:r>
        <w:rPr>
          <w:rFonts w:hint="default" w:ascii="Times New Roman" w:hAnsi="Times New Roman" w:eastAsia="仿宋_GB2312" w:cs="Times New Roman"/>
          <w:spacing w:val="-2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"/>
          <w:u w:val="none" w:color="auto"/>
        </w:rPr>
        <w:t>机关运行经费：指为保障行政单位</w:t>
      </w:r>
      <w:r>
        <w:rPr>
          <w:rFonts w:hint="default" w:ascii="Times New Roman" w:hAnsi="Times New Roman" w:eastAsia="仿宋_GB2312" w:cs="Times New Roman"/>
          <w:spacing w:val="-2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  <w:u w:val="none" w:color="auto"/>
        </w:rPr>
        <w:t>包括参照公务员</w:t>
      </w:r>
      <w:r>
        <w:rPr>
          <w:rFonts w:hint="default" w:ascii="Times New Roman" w:hAnsi="Times New Roman" w:eastAsia="仿宋_GB2312" w:cs="Times New Roman"/>
          <w:spacing w:val="16"/>
          <w:u w:val="non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  <w:u w:val="none" w:color="auto"/>
        </w:rPr>
        <w:t>法管理的事业单位</w:t>
      </w:r>
      <w:r>
        <w:rPr>
          <w:rFonts w:hint="default" w:ascii="Times New Roman" w:hAnsi="Times New Roman" w:eastAsia="仿宋_GB2312" w:cs="Times New Roman"/>
          <w:spacing w:val="1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"/>
          <w:u w:val="none" w:color="auto"/>
        </w:rPr>
        <w:t>运行用于购买货物和服务的各项资金，</w:t>
      </w:r>
      <w:r>
        <w:rPr>
          <w:rFonts w:hint="default" w:ascii="Times New Roman" w:hAnsi="Times New Roman" w:eastAsia="仿宋_GB2312" w:cs="Times New Roman"/>
          <w:u w:val="none" w:color="auto"/>
        </w:rPr>
        <w:t xml:space="preserve">包括 </w:t>
      </w:r>
      <w:r>
        <w:rPr>
          <w:rFonts w:hint="default" w:ascii="Times New Roman" w:hAnsi="Times New Roman" w:eastAsia="仿宋_GB2312" w:cs="Times New Roman"/>
          <w:spacing w:val="-5"/>
          <w:u w:val="none" w:color="auto"/>
        </w:rPr>
        <w:t>办公费、印刷费、邮电费、差旅费、会议费、福利费、日常维修费、专用材料及一般设备购置费、办公用房水电费、办公用房取</w:t>
      </w:r>
      <w:r>
        <w:rPr>
          <w:rFonts w:hint="default" w:ascii="Times New Roman" w:hAnsi="Times New Roman" w:eastAsia="仿宋_GB2312" w:cs="Times New Roman"/>
          <w:spacing w:val="-13"/>
          <w:u w:val="none" w:color="auto"/>
        </w:rPr>
        <w:t>暖费、办公用房物业管理费、公务用车运行维护费以及其他费用。</w:t>
      </w:r>
    </w:p>
    <w:p w14:paraId="7FA821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  <w:u w:val="none" w:color="auto"/>
        </w:rPr>
      </w:pPr>
      <w:r>
        <w:rPr>
          <w:rFonts w:hint="default" w:ascii="Times New Roman" w:hAnsi="Times New Roman" w:eastAsia="仿宋_GB2312" w:cs="Times New Roman"/>
          <w:spacing w:val="-8"/>
          <w:u w:val="non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十八</w:t>
      </w:r>
      <w:r>
        <w:rPr>
          <w:rFonts w:hint="default" w:ascii="Times New Roman" w:hAnsi="Times New Roman" w:eastAsia="仿宋_GB2312" w:cs="Times New Roman"/>
          <w:spacing w:val="-8"/>
          <w:u w:val="non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  <w:u w:val="none" w:color="auto"/>
        </w:rPr>
        <w:t>其他专用名词。</w:t>
      </w:r>
    </w:p>
    <w:p w14:paraId="71CABE3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7" w:firstLineChars="200"/>
        <w:textAlignment w:val="baseline"/>
        <w:rPr>
          <w:rFonts w:hint="default" w:ascii="Times New Roman" w:hAnsi="Times New Roman" w:cs="Times New Roman"/>
          <w:b/>
          <w:bCs/>
          <w:spacing w:val="-4"/>
          <w:u w:val="none" w:color="auto"/>
          <w:lang w:eastAsia="zh-CN"/>
        </w:rPr>
      </w:pPr>
      <w:r>
        <w:rPr>
          <w:rFonts w:hint="default" w:ascii="Times New Roman" w:hAnsi="Times New Roman" w:cs="Times New Roman"/>
          <w:b/>
          <w:bCs/>
          <w:spacing w:val="-4"/>
          <w:u w:val="none" w:color="auto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pacing w:val="-4"/>
          <w:u w:val="none" w:color="auto"/>
        </w:rPr>
        <w:t>根据本部门使用的其他专用名词补充解释</w:t>
      </w:r>
      <w:r>
        <w:rPr>
          <w:rFonts w:hint="default" w:ascii="Times New Roman" w:hAnsi="Times New Roman" w:cs="Times New Roman"/>
          <w:b/>
          <w:bCs/>
          <w:spacing w:val="-4"/>
          <w:u w:val="none" w:color="auto"/>
          <w:lang w:eastAsia="zh-CN"/>
        </w:rPr>
        <w:t>）</w:t>
      </w:r>
    </w:p>
    <w:p w14:paraId="6215031D">
      <w:pPr>
        <w:rPr>
          <w:rFonts w:hint="default" w:ascii="Times New Roman" w:hAnsi="Times New Roman" w:cs="Times New Roman"/>
          <w:spacing w:val="-4"/>
          <w:u w:val="none" w:color="auto"/>
          <w:lang w:eastAsia="zh-CN"/>
        </w:rPr>
      </w:pPr>
      <w:r>
        <w:rPr>
          <w:rFonts w:hint="default" w:ascii="Times New Roman" w:hAnsi="Times New Roman" w:cs="Times New Roman"/>
          <w:spacing w:val="-4"/>
          <w:u w:val="none" w:color="auto"/>
          <w:lang w:eastAsia="zh-CN"/>
        </w:rPr>
        <w:br w:type="page"/>
      </w:r>
    </w:p>
    <w:p w14:paraId="69F09A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  <w:u w:val="none" w:color="auto"/>
        </w:rPr>
      </w:pPr>
      <w:r>
        <w:rPr>
          <w:rFonts w:hint="default" w:ascii="方正小标宋_GBK" w:hAnsi="方正小标宋_GBK" w:eastAsia="方正小标宋_GBK" w:cs="方正小标宋_GBK"/>
          <w:spacing w:val="-2"/>
          <w:sz w:val="44"/>
          <w:szCs w:val="44"/>
          <w:u w:val="none" w:color="auto"/>
        </w:rPr>
        <w:t>第六部分  附件</w:t>
      </w:r>
    </w:p>
    <w:p w14:paraId="46090604">
      <w:pPr>
        <w:spacing w:line="334" w:lineRule="auto"/>
        <w:rPr>
          <w:rFonts w:hint="default" w:ascii="Times New Roman" w:hAnsi="Times New Roman" w:cs="Times New Roman"/>
          <w:sz w:val="21"/>
          <w:u w:val="none" w:color="auto"/>
        </w:rPr>
      </w:pPr>
    </w:p>
    <w:p w14:paraId="72816747">
      <w:pPr>
        <w:spacing w:line="335" w:lineRule="auto"/>
        <w:rPr>
          <w:rFonts w:hint="default" w:ascii="Times New Roman" w:hAnsi="Times New Roman" w:cs="Times New Roman"/>
          <w:sz w:val="21"/>
          <w:u w:val="none" w:color="auto"/>
        </w:rPr>
      </w:pPr>
    </w:p>
    <w:p w14:paraId="1B4463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6" w:firstLineChars="200"/>
        <w:textAlignment w:val="baseline"/>
        <w:rPr>
          <w:rFonts w:hint="eastAsia" w:ascii="Times New Roman" w:hAnsi="Times New Roman" w:eastAsia="黑体" w:cs="Times New Roman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  <w:u w:val="none" w:color="auto"/>
        </w:rPr>
        <w:t>一、202</w:t>
      </w:r>
      <w:r>
        <w:rPr>
          <w:rFonts w:hint="eastAsia" w:ascii="Times New Roman" w:hAnsi="Times New Roman" w:eastAsia="黑体" w:cs="Times New Roman"/>
          <w:spacing w:val="-1"/>
          <w:sz w:val="32"/>
          <w:szCs w:val="32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-67"/>
          <w:sz w:val="32"/>
          <w:szCs w:val="32"/>
          <w:u w:val="none" w:color="auto"/>
        </w:rPr>
        <w:t xml:space="preserve"> </w:t>
      </w:r>
      <w:r>
        <w:rPr>
          <w:rFonts w:hint="default" w:ascii="Times New Roman" w:hAnsi="Times New Roman" w:eastAsia="黑体" w:cs="Times New Roman"/>
          <w:spacing w:val="-1"/>
          <w:sz w:val="32"/>
          <w:szCs w:val="32"/>
          <w:u w:val="none" w:color="auto"/>
        </w:rPr>
        <w:t>年度</w:t>
      </w:r>
      <w:r>
        <w:rPr>
          <w:rFonts w:hint="eastAsia" w:ascii="Times New Roman" w:hAnsi="Times New Roman" w:eastAsia="黑体" w:cs="Times New Roman"/>
          <w:spacing w:val="-1"/>
          <w:sz w:val="32"/>
          <w:szCs w:val="32"/>
          <w:u w:val="none" w:color="auto"/>
          <w:lang w:eastAsia="zh-CN"/>
        </w:rPr>
        <w:t>武汉市光谷第一小学</w:t>
      </w:r>
      <w:r>
        <w:rPr>
          <w:rFonts w:hint="default" w:ascii="Times New Roman" w:hAnsi="Times New Roman" w:eastAsia="黑体" w:cs="Times New Roman"/>
          <w:spacing w:val="-1"/>
          <w:sz w:val="32"/>
          <w:szCs w:val="32"/>
          <w:u w:val="none" w:color="auto"/>
        </w:rPr>
        <w:t>整体绩效自评表/结果</w:t>
      </w:r>
      <w:r>
        <w:rPr>
          <w:rFonts w:hint="eastAsia" w:ascii="Times New Roman" w:hAnsi="Times New Roman" w:eastAsia="黑体" w:cs="Times New Roman"/>
          <w:spacing w:val="-1"/>
          <w:sz w:val="32"/>
          <w:szCs w:val="32"/>
          <w:u w:val="none" w:color="auto"/>
          <w:lang w:eastAsia="zh-CN"/>
        </w:rPr>
        <w:t>（</w:t>
      </w:r>
      <w:r>
        <w:rPr>
          <w:rFonts w:hint="default" w:ascii="Times New Roman" w:hAnsi="Times New Roman" w:eastAsia="黑体" w:cs="Times New Roman"/>
          <w:spacing w:val="-2"/>
          <w:sz w:val="32"/>
          <w:szCs w:val="32"/>
          <w:u w:val="none" w:color="auto"/>
        </w:rPr>
        <w:t>摘要版</w:t>
      </w:r>
      <w:r>
        <w:rPr>
          <w:rFonts w:hint="eastAsia" w:ascii="Times New Roman" w:hAnsi="Times New Roman" w:eastAsia="黑体" w:cs="Times New Roman"/>
          <w:spacing w:val="-2"/>
          <w:sz w:val="32"/>
          <w:szCs w:val="32"/>
          <w:u w:val="none" w:color="auto"/>
          <w:lang w:eastAsia="zh-CN"/>
        </w:rPr>
        <w:t>）</w:t>
      </w:r>
    </w:p>
    <w:p w14:paraId="433F19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textAlignment w:val="baseline"/>
        <w:rPr>
          <w:rFonts w:hint="eastAsia" w:ascii="Times New Roman" w:hAnsi="Times New Roman" w:eastAsia="黑体" w:cs="Times New Roman"/>
          <w:spacing w:val="-2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  <w:u w:val="none" w:color="auto"/>
        </w:rPr>
        <w:t>二、202</w:t>
      </w:r>
      <w:r>
        <w:rPr>
          <w:rFonts w:hint="eastAsia" w:ascii="Times New Roman" w:hAnsi="Times New Roman" w:eastAsia="黑体" w:cs="Times New Roman"/>
          <w:spacing w:val="-2"/>
          <w:sz w:val="32"/>
          <w:szCs w:val="32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-2"/>
          <w:sz w:val="32"/>
          <w:szCs w:val="32"/>
          <w:u w:val="none" w:color="auto"/>
        </w:rPr>
        <w:t xml:space="preserve">年度        </w:t>
      </w:r>
      <w:r>
        <w:rPr>
          <w:rFonts w:hint="default" w:ascii="Times New Roman" w:hAnsi="Times New Roman" w:eastAsia="黑体" w:cs="Times New Roman"/>
          <w:spacing w:val="-147"/>
          <w:sz w:val="32"/>
          <w:szCs w:val="32"/>
          <w:u w:val="none" w:color="auto"/>
        </w:rPr>
        <w:t xml:space="preserve"> </w:t>
      </w:r>
      <w:r>
        <w:rPr>
          <w:rFonts w:hint="default" w:ascii="Times New Roman" w:hAnsi="Times New Roman" w:eastAsia="黑体" w:cs="Times New Roman"/>
          <w:spacing w:val="-2"/>
          <w:sz w:val="32"/>
          <w:szCs w:val="32"/>
          <w:u w:val="none" w:color="auto"/>
        </w:rPr>
        <w:t>项目绩效自评表/结果</w:t>
      </w:r>
      <w:r>
        <w:rPr>
          <w:rFonts w:hint="eastAsia" w:ascii="Times New Roman" w:hAnsi="Times New Roman" w:eastAsia="黑体" w:cs="Times New Roman"/>
          <w:spacing w:val="-2"/>
          <w:sz w:val="32"/>
          <w:szCs w:val="32"/>
          <w:u w:val="none" w:color="auto"/>
          <w:lang w:eastAsia="zh-CN"/>
        </w:rPr>
        <w:t>（</w:t>
      </w:r>
      <w:r>
        <w:rPr>
          <w:rFonts w:hint="default" w:ascii="Times New Roman" w:hAnsi="Times New Roman" w:eastAsia="黑体" w:cs="Times New Roman"/>
          <w:spacing w:val="-2"/>
          <w:sz w:val="32"/>
          <w:szCs w:val="32"/>
          <w:u w:val="none" w:color="auto"/>
        </w:rPr>
        <w:t>摘要版</w:t>
      </w:r>
      <w:r>
        <w:rPr>
          <w:rFonts w:hint="eastAsia" w:ascii="Times New Roman" w:hAnsi="Times New Roman" w:eastAsia="黑体" w:cs="Times New Roman"/>
          <w:spacing w:val="-2"/>
          <w:sz w:val="32"/>
          <w:szCs w:val="32"/>
          <w:u w:val="none" w:color="auto"/>
          <w:lang w:eastAsia="zh-CN"/>
        </w:rPr>
        <w:t>）</w:t>
      </w:r>
    </w:p>
    <w:p w14:paraId="3E4D3F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0" w:firstLineChars="200"/>
        <w:textAlignment w:val="baseline"/>
        <w:rPr>
          <w:rFonts w:hint="eastAsia" w:ascii="Times New Roman" w:hAnsi="Times New Roman" w:eastAsia="黑体" w:cs="Times New Roman"/>
          <w:sz w:val="32"/>
          <w:szCs w:val="32"/>
          <w:u w:val="none" w:color="auto"/>
          <w:lang w:eastAsia="zh-CN"/>
        </w:rPr>
      </w:pPr>
      <w:r>
        <w:rPr>
          <w:rFonts w:hint="eastAsia" w:ascii="Times New Roman" w:hAnsi="Times New Roman" w:eastAsia="黑体" w:cs="Times New Roman"/>
          <w:spacing w:val="-5"/>
          <w:sz w:val="32"/>
          <w:szCs w:val="32"/>
          <w:u w:val="none" w:color="auto"/>
          <w:lang w:eastAsia="zh-CN"/>
        </w:rPr>
        <w:t>（</w:t>
      </w:r>
      <w:r>
        <w:rPr>
          <w:rFonts w:hint="default" w:ascii="Times New Roman" w:hAnsi="Times New Roman" w:eastAsia="黑体" w:cs="Times New Roman"/>
          <w:spacing w:val="-5"/>
          <w:sz w:val="32"/>
          <w:szCs w:val="32"/>
          <w:u w:val="none" w:color="auto"/>
        </w:rPr>
        <w:t>请按部门一级项目个数公开</w:t>
      </w:r>
      <w:r>
        <w:rPr>
          <w:rFonts w:hint="eastAsia" w:ascii="Times New Roman" w:hAnsi="Times New Roman" w:eastAsia="黑体" w:cs="Times New Roman"/>
          <w:spacing w:val="-5"/>
          <w:sz w:val="32"/>
          <w:szCs w:val="32"/>
          <w:u w:val="none" w:color="auto"/>
          <w:lang w:eastAsia="zh-CN"/>
        </w:rPr>
        <w:t>）</w:t>
      </w:r>
    </w:p>
    <w:p w14:paraId="298F8D5E">
      <w:pPr>
        <w:rPr>
          <w:rFonts w:hint="default" w:ascii="Times New Roman" w:hAnsi="Times New Roman" w:cs="Times New Roman"/>
          <w:u w:val="none" w:color="auto"/>
          <w:lang w:val="en-US" w:eastAsia="zh-CN"/>
        </w:rPr>
      </w:pPr>
    </w:p>
    <w:sectPr>
      <w:footerReference r:id="rId5" w:type="default"/>
      <w:pgSz w:w="11906" w:h="16838"/>
      <w:pgMar w:top="209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74E0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5712CB"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5712CB"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9B1DF4"/>
    <w:multiLevelType w:val="singleLevel"/>
    <w:tmpl w:val="A89B1DF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093F78B"/>
    <w:multiLevelType w:val="singleLevel"/>
    <w:tmpl w:val="D093F7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6097B3"/>
    <w:multiLevelType w:val="singleLevel"/>
    <w:tmpl w:val="426097B3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4A8E5EE0"/>
    <w:multiLevelType w:val="singleLevel"/>
    <w:tmpl w:val="4A8E5EE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jM4MTEyODAwMjlkMzk5MmNkNWYwZDRmN2YxYTMifQ=="/>
  </w:docVars>
  <w:rsids>
    <w:rsidRoot w:val="00000000"/>
    <w:rsid w:val="00645991"/>
    <w:rsid w:val="013D5D78"/>
    <w:rsid w:val="023A4BFB"/>
    <w:rsid w:val="02DE452A"/>
    <w:rsid w:val="068838C2"/>
    <w:rsid w:val="06930D7E"/>
    <w:rsid w:val="07180E92"/>
    <w:rsid w:val="089839BA"/>
    <w:rsid w:val="09EB6E0F"/>
    <w:rsid w:val="0B30303F"/>
    <w:rsid w:val="0B492353"/>
    <w:rsid w:val="0B9D19D4"/>
    <w:rsid w:val="0BE42BE1"/>
    <w:rsid w:val="0C665599"/>
    <w:rsid w:val="0C994C14"/>
    <w:rsid w:val="0CB8233C"/>
    <w:rsid w:val="0EF5224C"/>
    <w:rsid w:val="0F59109A"/>
    <w:rsid w:val="0F7461DA"/>
    <w:rsid w:val="10F35816"/>
    <w:rsid w:val="11427629"/>
    <w:rsid w:val="117A5E54"/>
    <w:rsid w:val="11D02A3E"/>
    <w:rsid w:val="11EA2110"/>
    <w:rsid w:val="12FE3B58"/>
    <w:rsid w:val="136C4E31"/>
    <w:rsid w:val="13747DAA"/>
    <w:rsid w:val="139879D4"/>
    <w:rsid w:val="16945039"/>
    <w:rsid w:val="16CE1985"/>
    <w:rsid w:val="172355D3"/>
    <w:rsid w:val="192334CB"/>
    <w:rsid w:val="19394190"/>
    <w:rsid w:val="1A4B55A5"/>
    <w:rsid w:val="1B2466E5"/>
    <w:rsid w:val="1C0E2A35"/>
    <w:rsid w:val="1C2269D4"/>
    <w:rsid w:val="1C817790"/>
    <w:rsid w:val="1DCD7D00"/>
    <w:rsid w:val="1E91009A"/>
    <w:rsid w:val="1EE21DA7"/>
    <w:rsid w:val="1F3C5B49"/>
    <w:rsid w:val="20017382"/>
    <w:rsid w:val="21676B90"/>
    <w:rsid w:val="21961EB7"/>
    <w:rsid w:val="21A05F7E"/>
    <w:rsid w:val="2239654B"/>
    <w:rsid w:val="25C359DC"/>
    <w:rsid w:val="28A6098D"/>
    <w:rsid w:val="28A65FBE"/>
    <w:rsid w:val="290E0FB8"/>
    <w:rsid w:val="2A857986"/>
    <w:rsid w:val="2BE83F94"/>
    <w:rsid w:val="2BF42D02"/>
    <w:rsid w:val="2BF7779C"/>
    <w:rsid w:val="2CCA40E7"/>
    <w:rsid w:val="2F0243B2"/>
    <w:rsid w:val="2F8119D0"/>
    <w:rsid w:val="30610C26"/>
    <w:rsid w:val="330B7D6A"/>
    <w:rsid w:val="33521F74"/>
    <w:rsid w:val="34AF7F42"/>
    <w:rsid w:val="34EA2EB6"/>
    <w:rsid w:val="34F62908"/>
    <w:rsid w:val="353B695E"/>
    <w:rsid w:val="390037A2"/>
    <w:rsid w:val="39F72424"/>
    <w:rsid w:val="3A0926D8"/>
    <w:rsid w:val="3AC73662"/>
    <w:rsid w:val="3AF36F4A"/>
    <w:rsid w:val="3B917585"/>
    <w:rsid w:val="3C411FBF"/>
    <w:rsid w:val="3C4F2C50"/>
    <w:rsid w:val="3DA60130"/>
    <w:rsid w:val="3DD802A8"/>
    <w:rsid w:val="3E4422D8"/>
    <w:rsid w:val="3F52287D"/>
    <w:rsid w:val="3F8167E7"/>
    <w:rsid w:val="3FD60AFC"/>
    <w:rsid w:val="40586425"/>
    <w:rsid w:val="4268313C"/>
    <w:rsid w:val="43DA5B87"/>
    <w:rsid w:val="44C60C63"/>
    <w:rsid w:val="45795008"/>
    <w:rsid w:val="467E1CDE"/>
    <w:rsid w:val="47607A5B"/>
    <w:rsid w:val="4787624B"/>
    <w:rsid w:val="4AE967B0"/>
    <w:rsid w:val="4B53108A"/>
    <w:rsid w:val="4C746661"/>
    <w:rsid w:val="4C8C3F07"/>
    <w:rsid w:val="4D310E2A"/>
    <w:rsid w:val="4D555CB1"/>
    <w:rsid w:val="4D7F353F"/>
    <w:rsid w:val="52992845"/>
    <w:rsid w:val="52FB4B9A"/>
    <w:rsid w:val="52FE4D9E"/>
    <w:rsid w:val="542F756E"/>
    <w:rsid w:val="54777E46"/>
    <w:rsid w:val="55C74AD7"/>
    <w:rsid w:val="56166925"/>
    <w:rsid w:val="57327F9E"/>
    <w:rsid w:val="57B31914"/>
    <w:rsid w:val="5B5A4B3C"/>
    <w:rsid w:val="5C074A7D"/>
    <w:rsid w:val="5DE402B6"/>
    <w:rsid w:val="5E1D5B3E"/>
    <w:rsid w:val="5F8405F0"/>
    <w:rsid w:val="604A5C2C"/>
    <w:rsid w:val="616C2902"/>
    <w:rsid w:val="62C17492"/>
    <w:rsid w:val="62F51C0D"/>
    <w:rsid w:val="639835A3"/>
    <w:rsid w:val="653D2B4E"/>
    <w:rsid w:val="675B0EBE"/>
    <w:rsid w:val="687B3694"/>
    <w:rsid w:val="6931512E"/>
    <w:rsid w:val="6A6908F7"/>
    <w:rsid w:val="6AD852B7"/>
    <w:rsid w:val="6B6066A7"/>
    <w:rsid w:val="6B8342AA"/>
    <w:rsid w:val="6BB34631"/>
    <w:rsid w:val="6D745521"/>
    <w:rsid w:val="6DA422E5"/>
    <w:rsid w:val="6F3C482C"/>
    <w:rsid w:val="6FA755CF"/>
    <w:rsid w:val="70846AFD"/>
    <w:rsid w:val="70E57BE1"/>
    <w:rsid w:val="71DF0B2D"/>
    <w:rsid w:val="72614EAD"/>
    <w:rsid w:val="73631EB6"/>
    <w:rsid w:val="73F15019"/>
    <w:rsid w:val="74073F9B"/>
    <w:rsid w:val="7456013E"/>
    <w:rsid w:val="749073E1"/>
    <w:rsid w:val="75273C21"/>
    <w:rsid w:val="76045978"/>
    <w:rsid w:val="767D6EE6"/>
    <w:rsid w:val="77CA6886"/>
    <w:rsid w:val="78E651AE"/>
    <w:rsid w:val="7D9121E7"/>
    <w:rsid w:val="7EE12780"/>
    <w:rsid w:val="7EE724FF"/>
    <w:rsid w:val="7EE93A7F"/>
    <w:rsid w:val="7F2D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next w:val="1"/>
    <w:qFormat/>
    <w:uiPriority w:val="0"/>
    <w:pPr>
      <w:snapToGrid w:val="0"/>
      <w:jc w:val="left"/>
    </w:pPr>
    <w:rPr>
      <w:sz w:val="32"/>
    </w:rPr>
  </w:style>
  <w:style w:type="paragraph" w:styleId="7">
    <w:name w:val="Body Text First Indent 2"/>
    <w:basedOn w:val="3"/>
    <w:next w:val="1"/>
    <w:qFormat/>
    <w:uiPriority w:val="0"/>
    <w:pPr>
      <w:widowControl/>
      <w:adjustRightInd/>
      <w:snapToGrid/>
      <w:spacing w:line="540" w:lineRule="exact"/>
      <w:ind w:firstLine="420" w:firstLineChars="0"/>
      <w:jc w:val="left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3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仿宋" w:hAnsi="仿宋" w:eastAsia="仿宋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2025&#24180;9&#26376;&#36154;&#25991;&#21321;&#36130;&#21153;+&#20010;&#20154;&#36164;&#26009;\2024&#24180;&#20915;&#31639;&#20844;&#24320;\&#25968;&#25454;&#22270;&#34920;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 </a:t>
            </a:r>
            <a:r>
              <a:rPr lang="en-US" altLang="zh-CN"/>
              <a:t>2024</a:t>
            </a:r>
            <a:r>
              <a:rPr altLang="en-US"/>
              <a:t>年</a:t>
            </a:r>
            <a:r>
              <a:t>收入支出决算总体情况 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[数据图表2023.xlsx]Sheet1!$D$4:$D$6</c:f>
              <c:strCache>
                <c:ptCount val="1"/>
                <c:pt idx="0">
                  <c:v>按经济科目分类 收入支出总体情况 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[数据图表2023.xlsx]Sheet1!$C$7:$C$9</c:f>
              <c:strCache>
                <c:ptCount val="3"/>
                <c:pt idx="1" c:formatCode="@">
                  <c:v>2024年</c:v>
                </c:pt>
                <c:pt idx="2" c:formatCode="@">
                  <c:v>2023年</c:v>
                </c:pt>
              </c:strCache>
            </c:strRef>
          </c:cat>
          <c:val>
            <c:numRef>
              <c:f>[数据图表2023.xlsx]Sheet1!$D$7:$D$9</c:f>
              <c:numCache>
                <c:formatCode>General</c:formatCode>
                <c:ptCount val="3"/>
                <c:pt idx="1" c:formatCode="#,##0.00">
                  <c:v>8156.03</c:v>
                </c:pt>
                <c:pt idx="2" c:formatCode="#,##0.00">
                  <c:v>7185.85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17959940"/>
        <c:axId val="383606081"/>
      </c:barChart>
      <c:catAx>
        <c:axId val="71795994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83606081"/>
        <c:crosses val="autoZero"/>
        <c:auto val="1"/>
        <c:lblAlgn val="ctr"/>
        <c:lblOffset val="100"/>
        <c:noMultiLvlLbl val="0"/>
      </c:catAx>
      <c:valAx>
        <c:axId val="38360608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179599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b57c3713-1be3-40b1-80ec-a548d108223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2982</Words>
  <Characters>3837</Characters>
  <Lines>0</Lines>
  <Paragraphs>0</Paragraphs>
  <TotalTime>14</TotalTime>
  <ScaleCrop>false</ScaleCrop>
  <LinksUpToDate>false</LinksUpToDate>
  <CharactersWithSpaces>4131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lele甜菜</cp:lastModifiedBy>
  <cp:lastPrinted>2025-08-20T07:46:00Z</cp:lastPrinted>
  <dcterms:modified xsi:type="dcterms:W3CDTF">2025-09-11T01:31:42Z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DADA2B326901443B9B9AC7B4645F762D_13</vt:lpwstr>
  </property>
  <property fmtid="{D5CDD505-2E9C-101B-9397-08002B2CF9AE}" pid="4" name="KSOTemplateDocerSaveRecord">
    <vt:lpwstr>eyJoZGlkIjoiMjdjNGNhNTNjZjBjZGY4MzIxODczMGZlN2Y5MjYwNGUiLCJ1c2VySWQiOiI0NTE4MjA2NzIifQ==</vt:lpwstr>
  </property>
</Properties>
</file>