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before="156" w:line="221" w:lineRule="auto"/>
        <w:ind w:right="20"/>
        <w:jc w:val="right"/>
        <w:rPr>
          <w:rFonts w:hint="default" w:ascii="Times New Roman" w:hAnsi="Times New Roman" w:eastAsia="方正小标宋简体" w:cs="Times New Roman"/>
          <w:spacing w:val="0"/>
          <w:w w:val="100"/>
          <w:position w:val="0"/>
          <w:sz w:val="44"/>
          <w:szCs w:val="44"/>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lang w:eastAsia="zh-CN"/>
        </w:rPr>
        <w:t>武汉市光谷第七小学</w:t>
      </w:r>
      <w:r>
        <w:rPr>
          <w:rFonts w:hint="default" w:ascii="Times New Roman" w:hAnsi="Times New Roman" w:eastAsia="方正小标宋简体" w:cs="Times New Roman"/>
          <w:spacing w:val="0"/>
          <w:w w:val="100"/>
          <w:position w:val="0"/>
          <w:sz w:val="44"/>
          <w:szCs w:val="44"/>
        </w:rPr>
        <w:t>部门决算公开</w:t>
      </w: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年9月9日</w:t>
      </w:r>
    </w:p>
    <w:p>
      <w:pPr>
        <w:spacing w:line="280" w:lineRule="auto"/>
        <w:rPr>
          <w:rFonts w:hint="default" w:ascii="Times New Roman" w:hAnsi="Times New Roman" w:cs="Times New Roman"/>
          <w:spacing w:val="0"/>
          <w:w w:val="100"/>
          <w:position w:val="0"/>
          <w:sz w:val="21"/>
        </w:rPr>
      </w:pPr>
    </w:p>
    <w:p>
      <w:pPr>
        <w:pStyle w:val="2"/>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武汉市光谷第七小学</w:t>
      </w:r>
      <w:r>
        <w:rPr>
          <w:rFonts w:hint="default" w:ascii="Times New Roman" w:hAnsi="Times New Roman" w:eastAsia="黑体" w:cs="Times New Roman"/>
          <w:spacing w:val="0"/>
          <w:w w:val="100"/>
          <w:position w:val="0"/>
          <w:sz w:val="32"/>
          <w:szCs w:val="32"/>
        </w:rPr>
        <w:t>概况</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武汉市光谷第七小学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武汉市光谷第七小学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spacing w:before="143" w:line="222" w:lineRule="auto"/>
        <w:ind w:firstLine="440" w:firstLineChars="10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single" w:color="auto"/>
        </w:rPr>
        <w:t xml:space="preserve"> </w:t>
      </w:r>
      <w:r>
        <w:rPr>
          <w:rFonts w:hint="eastAsia" w:ascii="Times New Roman" w:hAnsi="Times New Roman" w:eastAsia="方正小标宋简体" w:cs="Times New Roman"/>
          <w:spacing w:val="0"/>
          <w:w w:val="100"/>
          <w:position w:val="0"/>
          <w:sz w:val="44"/>
          <w:szCs w:val="44"/>
          <w:u w:val="single" w:color="auto"/>
          <w:lang w:eastAsia="zh-CN"/>
        </w:rPr>
        <w:t>武汉市光谷第七小学</w:t>
      </w:r>
      <w:r>
        <w:rPr>
          <w:rFonts w:hint="default" w:ascii="Times New Roman" w:hAnsi="Times New Roman" w:eastAsia="方正小标宋简体" w:cs="Times New Roman"/>
          <w:spacing w:val="0"/>
          <w:w w:val="100"/>
          <w:position w:val="0"/>
          <w:sz w:val="44"/>
          <w:szCs w:val="44"/>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snapToGrid w:val="0"/>
        <w:spacing w:line="588" w:lineRule="exact"/>
        <w:ind w:firstLine="640" w:firstLineChars="200"/>
        <w:rPr>
          <w:rFonts w:hint="eastAsia" w:ascii="仿宋_GB2312" w:hAnsi="仿宋" w:eastAsia="仿宋"/>
          <w:sz w:val="32"/>
          <w:szCs w:val="32"/>
          <w:lang w:eastAsia="zh-CN"/>
        </w:rPr>
      </w:pPr>
      <w:r>
        <w:rPr>
          <w:rFonts w:hint="eastAsia" w:ascii="仿宋_GB2312" w:hAnsi="仿宋" w:eastAsia="仿宋_GB2312"/>
          <w:sz w:val="32"/>
          <w:szCs w:val="32"/>
          <w:lang w:eastAsia="zh-CN"/>
        </w:rPr>
        <w:t>武汉市光谷第七小学</w:t>
      </w:r>
      <w:r>
        <w:rPr>
          <w:rFonts w:hint="eastAsia" w:ascii="仿宋_GB2312" w:hAnsi="仿宋" w:eastAsia="仿宋_GB2312"/>
          <w:sz w:val="32"/>
          <w:szCs w:val="32"/>
        </w:rPr>
        <w:t>是一所公立小学，</w:t>
      </w:r>
      <w:r>
        <w:rPr>
          <w:rFonts w:hint="eastAsia" w:ascii="仿宋" w:hAnsi="仿宋" w:eastAsia="仿宋" w:cs="仿宋"/>
          <w:color w:val="000000"/>
          <w:kern w:val="0"/>
          <w:sz w:val="32"/>
          <w:szCs w:val="32"/>
        </w:rPr>
        <w:t>全面贯彻党的教育方针，实施小学义务教育，促进基础教育全面发展、小学学历教育。做好学生报到入学工作，落实上级文件精神做好学生的防流控辍工作，做好教学常规工作深化教学改革，以教学质量为中心，促进学生德智体美劳全面发展</w:t>
      </w:r>
      <w:r>
        <w:rPr>
          <w:rFonts w:hint="eastAsia" w:ascii="仿宋" w:hAnsi="仿宋" w:eastAsia="仿宋" w:cs="仿宋"/>
          <w:color w:val="000000"/>
          <w:kern w:val="0"/>
          <w:sz w:val="32"/>
          <w:szCs w:val="32"/>
          <w:lang w:eastAsia="zh-CN"/>
        </w:rPr>
        <w:t>。</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pStyle w:val="4"/>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eastAsia" w:ascii="Times New Roman" w:hAnsi="Times New Roman" w:eastAsia="仿宋_GB2312" w:cs="Times New Roman"/>
          <w:spacing w:val="0"/>
          <w:w w:val="100"/>
          <w:position w:val="0"/>
          <w:sz w:val="32"/>
          <w:szCs w:val="32"/>
          <w:u w:val="single" w:color="auto"/>
          <w:lang w:eastAsia="zh-CN"/>
        </w:rPr>
        <w:t>武汉市光谷第七小学</w:t>
      </w:r>
      <w:r>
        <w:rPr>
          <w:rFonts w:hint="default" w:ascii="Times New Roman" w:hAnsi="Times New Roman" w:eastAsia="仿宋_GB2312" w:cs="Times New Roman"/>
          <w:spacing w:val="0"/>
          <w:w w:val="100"/>
          <w:position w:val="0"/>
          <w:sz w:val="32"/>
          <w:szCs w:val="32"/>
        </w:rPr>
        <w:t>部门决算由实行独立核算的</w:t>
      </w:r>
      <w:r>
        <w:rPr>
          <w:rFonts w:hint="eastAsia" w:ascii="Times New Roman" w:hAnsi="Times New Roman" w:eastAsia="仿宋_GB2312" w:cs="Times New Roman"/>
          <w:spacing w:val="0"/>
          <w:w w:val="100"/>
          <w:position w:val="0"/>
          <w:sz w:val="32"/>
          <w:szCs w:val="32"/>
          <w:u w:val="single" w:color="auto"/>
          <w:lang w:eastAsia="zh-CN"/>
        </w:rPr>
        <w:t>武汉市光谷第七小学</w:t>
      </w:r>
      <w:r>
        <w:rPr>
          <w:rFonts w:hint="default" w:ascii="Times New Roman" w:hAnsi="Times New Roman" w:eastAsia="仿宋_GB2312" w:cs="Times New Roman"/>
          <w:spacing w:val="0"/>
          <w:w w:val="100"/>
          <w:position w:val="0"/>
          <w:sz w:val="32"/>
          <w:szCs w:val="32"/>
        </w:rPr>
        <w:t>本级决算组成。</w:t>
      </w:r>
    </w:p>
    <w:p>
      <w:pPr>
        <w:pStyle w:val="2"/>
        <w:ind w:left="0" w:leftChars="0" w:firstLine="0" w:firstLineChars="0"/>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ind w:left="0" w:leftChars="0" w:firstLine="0" w:firstLineChars="0"/>
        <w:jc w:val="center"/>
        <w:rPr>
          <w:rFonts w:hint="default" w:ascii="Times New Roman" w:hAnsi="Times New Roman" w:eastAsia="方正小标宋_GBK" w:cs="Times New Roman"/>
          <w:spacing w:val="-3"/>
          <w:sz w:val="44"/>
          <w:szCs w:val="44"/>
        </w:rPr>
      </w:pPr>
    </w:p>
    <w:p>
      <w:pPr>
        <w:pStyle w:val="2"/>
        <w:ind w:left="0" w:leftChars="0" w:firstLine="0" w:firstLineChars="0"/>
        <w:jc w:val="center"/>
        <w:rPr>
          <w:rFonts w:hint="default" w:ascii="Times New Roman" w:hAnsi="Times New Roman" w:eastAsia="方正小标宋_GBK" w:cs="Times New Roman"/>
          <w:spacing w:val="-3"/>
          <w:sz w:val="44"/>
          <w:szCs w:val="44"/>
        </w:rPr>
      </w:pPr>
    </w:p>
    <w:p>
      <w:pPr>
        <w:pStyle w:val="2"/>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u w:val="single" w:color="auto"/>
          <w:lang w:eastAsia="zh-CN"/>
        </w:rPr>
        <w:t>武汉市光谷第七小学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pPr>
        <w:pStyle w:val="2"/>
        <w:rPr>
          <w:rFonts w:hint="default" w:ascii="Times New Roman" w:hAnsi="Times New Roman" w:eastAsia="黑体" w:cs="Times New Roman"/>
          <w:spacing w:val="0"/>
          <w:w w:val="100"/>
          <w:position w:val="0"/>
          <w:sz w:val="32"/>
          <w:szCs w:val="32"/>
        </w:rPr>
      </w:pPr>
    </w:p>
    <w:p>
      <w:pPr>
        <w:rPr>
          <w:rFonts w:hint="default" w:ascii="Times New Roman" w:hAnsi="Times New Roman" w:eastAsia="黑体" w:cs="Times New Roman"/>
          <w:spacing w:val="0"/>
          <w:w w:val="100"/>
          <w:position w:val="0"/>
          <w:sz w:val="32"/>
          <w:szCs w:val="32"/>
        </w:rPr>
      </w:pPr>
      <w:r>
        <w:drawing>
          <wp:inline distT="0" distB="0" distL="114300" distR="114300">
            <wp:extent cx="6431280" cy="5966460"/>
            <wp:effectExtent l="0" t="0" r="0"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6431280" cy="5966460"/>
                    </a:xfrm>
                    <a:prstGeom prst="rect">
                      <a:avLst/>
                    </a:prstGeom>
                    <a:noFill/>
                    <a:ln>
                      <a:noFill/>
                    </a:ln>
                  </pic:spPr>
                </pic:pic>
              </a:graphicData>
            </a:graphic>
          </wp:inline>
        </w:drawing>
      </w:r>
    </w:p>
    <w:p>
      <w:pPr>
        <w:pStyle w:val="2"/>
        <w:rPr>
          <w:rFonts w:hint="default" w:ascii="Times New Roman" w:hAnsi="Times New Roman" w:eastAsia="黑体" w:cs="Times New Roman"/>
          <w:spacing w:val="0"/>
          <w:w w:val="100"/>
          <w:position w:val="0"/>
          <w:sz w:val="32"/>
          <w:szCs w:val="32"/>
        </w:rPr>
      </w:pPr>
    </w:p>
    <w:p>
      <w:pPr>
        <w:rPr>
          <w:rFonts w:hint="default" w:ascii="Times New Roman" w:hAnsi="Times New Roman" w:eastAsia="黑体" w:cs="Times New Roman"/>
          <w:spacing w:val="0"/>
          <w:w w:val="100"/>
          <w:position w:val="0"/>
          <w:sz w:val="32"/>
          <w:szCs w:val="32"/>
        </w:rPr>
      </w:pPr>
    </w:p>
    <w:p>
      <w:pPr>
        <w:pStyle w:val="2"/>
        <w:rPr>
          <w:rFonts w:hint="default" w:ascii="Times New Roman" w:hAnsi="Times New Roman" w:eastAsia="黑体" w:cs="Times New Roman"/>
          <w:spacing w:val="0"/>
          <w:w w:val="100"/>
          <w:position w:val="0"/>
          <w:sz w:val="32"/>
          <w:szCs w:val="32"/>
        </w:rPr>
      </w:pPr>
    </w:p>
    <w:p>
      <w:pPr>
        <w:rPr>
          <w:rFonts w:hint="default" w:ascii="Times New Roman" w:hAnsi="Times New Roman" w:eastAsia="黑体" w:cs="Times New Roman"/>
          <w:spacing w:val="0"/>
          <w:w w:val="100"/>
          <w:position w:val="0"/>
          <w:sz w:val="32"/>
          <w:szCs w:val="32"/>
        </w:rPr>
      </w:pPr>
    </w:p>
    <w:p>
      <w:pPr>
        <w:pStyle w:val="2"/>
        <w:rPr>
          <w:rFonts w:hint="default" w:ascii="Times New Roman" w:hAnsi="Times New Roman" w:eastAsia="黑体" w:cs="Times New Roman"/>
          <w:spacing w:val="0"/>
          <w:w w:val="100"/>
          <w:position w:val="0"/>
          <w:sz w:val="32"/>
          <w:szCs w:val="32"/>
        </w:rPr>
      </w:pPr>
    </w:p>
    <w:p>
      <w:pPr>
        <w:rPr>
          <w:rFonts w:hint="default" w:ascii="Times New Roman" w:hAnsi="Times New Roman" w:eastAsia="黑体" w:cs="Times New Roman"/>
          <w:spacing w:val="0"/>
          <w:w w:val="100"/>
          <w:position w:val="0"/>
          <w:sz w:val="32"/>
          <w:szCs w:val="32"/>
        </w:rPr>
      </w:pPr>
    </w:p>
    <w:p>
      <w:pPr>
        <w:pStyle w:val="2"/>
        <w:rPr>
          <w:rFonts w:hint="default" w:ascii="Times New Roman" w:hAnsi="Times New Roman" w:eastAsia="黑体" w:cs="Times New Roman"/>
          <w:spacing w:val="0"/>
          <w:w w:val="100"/>
          <w:position w:val="0"/>
          <w:sz w:val="32"/>
          <w:szCs w:val="32"/>
        </w:rPr>
      </w:pPr>
    </w:p>
    <w:p>
      <w:pPr>
        <w:rPr>
          <w:rFonts w:hint="default" w:ascii="Times New Roman" w:hAnsi="Times New Roman" w:eastAsia="黑体" w:cs="Times New Roman"/>
          <w:spacing w:val="0"/>
          <w:w w:val="100"/>
          <w:position w:val="0"/>
          <w:sz w:val="32"/>
          <w:szCs w:val="32"/>
        </w:rPr>
      </w:pPr>
    </w:p>
    <w:p>
      <w:pPr>
        <w:pStyle w:val="2"/>
        <w:rPr>
          <w:rFonts w:hint="default" w:ascii="Times New Roman" w:hAnsi="Times New Roman" w:eastAsia="黑体" w:cs="Times New Roman"/>
          <w:spacing w:val="0"/>
          <w:w w:val="100"/>
          <w:position w:val="0"/>
          <w:sz w:val="32"/>
          <w:szCs w:val="32"/>
        </w:rPr>
      </w:pPr>
    </w:p>
    <w:p>
      <w:pPr>
        <w:rPr>
          <w:rFonts w:hint="default" w:ascii="Times New Roman" w:hAnsi="Times New Roman" w:eastAsia="黑体" w:cs="Times New Roman"/>
          <w:spacing w:val="0"/>
          <w:w w:val="100"/>
          <w:position w:val="0"/>
          <w:sz w:val="32"/>
          <w:szCs w:val="32"/>
        </w:rPr>
      </w:pPr>
      <w:r>
        <w:drawing>
          <wp:inline distT="0" distB="0" distL="114300" distR="114300">
            <wp:extent cx="5610860" cy="2577465"/>
            <wp:effectExtent l="0" t="0" r="12700" b="1333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6"/>
                    <a:stretch>
                      <a:fillRect/>
                    </a:stretch>
                  </pic:blipFill>
                  <pic:spPr>
                    <a:xfrm>
                      <a:off x="0" y="0"/>
                      <a:ext cx="5610860" cy="2577465"/>
                    </a:xfrm>
                    <a:prstGeom prst="rect">
                      <a:avLst/>
                    </a:prstGeom>
                    <a:noFill/>
                    <a:ln>
                      <a:noFill/>
                    </a:ln>
                  </pic:spPr>
                </pic:pic>
              </a:graphicData>
            </a:graphic>
          </wp:inline>
        </w:drawing>
      </w:r>
    </w:p>
    <w:p>
      <w:pPr>
        <w:pStyle w:val="2"/>
        <w:rPr>
          <w:rFonts w:hint="default" w:ascii="Times New Roman" w:hAnsi="Times New Roman" w:eastAsia="黑体" w:cs="Times New Roman"/>
          <w:spacing w:val="0"/>
          <w:w w:val="100"/>
          <w:position w:val="0"/>
          <w:sz w:val="32"/>
          <w:szCs w:val="32"/>
        </w:rPr>
      </w:pPr>
    </w:p>
    <w:p>
      <w:pPr>
        <w:pStyle w:val="2"/>
        <w:ind w:left="0" w:leftChars="0" w:firstLine="0" w:firstLineChars="0"/>
      </w:pPr>
    </w:p>
    <w:p>
      <w:pPr>
        <w:pStyle w:val="2"/>
        <w:rPr>
          <w:rFonts w:hint="default" w:ascii="Times New Roman" w:hAnsi="Times New Roman" w:eastAsia="黑体" w:cs="Times New Roman"/>
          <w:spacing w:val="0"/>
          <w:w w:val="100"/>
          <w:position w:val="0"/>
          <w:sz w:val="32"/>
          <w:szCs w:val="32"/>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r>
        <w:drawing>
          <wp:inline distT="0" distB="0" distL="114300" distR="114300">
            <wp:extent cx="5610860" cy="1664335"/>
            <wp:effectExtent l="0" t="0" r="12700" b="12065"/>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7"/>
                    <a:stretch>
                      <a:fillRect/>
                    </a:stretch>
                  </pic:blipFill>
                  <pic:spPr>
                    <a:xfrm>
                      <a:off x="0" y="0"/>
                      <a:ext cx="5610860" cy="1664335"/>
                    </a:xfrm>
                    <a:prstGeom prst="rect">
                      <a:avLst/>
                    </a:prstGeom>
                    <a:noFill/>
                    <a:ln>
                      <a:noFill/>
                    </a:ln>
                  </pic:spPr>
                </pic:pic>
              </a:graphicData>
            </a:graphic>
          </wp:inline>
        </w:drawing>
      </w:r>
    </w:p>
    <w:p>
      <w:pPr>
        <w:pStyle w:val="2"/>
      </w:pPr>
    </w:p>
    <w:p/>
    <w:p>
      <w:pPr>
        <w:pStyle w:val="2"/>
      </w:pPr>
    </w:p>
    <w:p/>
    <w:p>
      <w:pPr>
        <w:pStyle w:val="2"/>
      </w:pPr>
    </w:p>
    <w:p/>
    <w:p>
      <w:pPr>
        <w:pStyle w:val="2"/>
      </w:pPr>
    </w:p>
    <w:p/>
    <w:p>
      <w:pPr>
        <w:pStyle w:val="2"/>
      </w:pPr>
    </w:p>
    <w:p/>
    <w:p>
      <w:pPr>
        <w:pStyle w:val="2"/>
      </w:pPr>
    </w:p>
    <w:p>
      <w:r>
        <w:drawing>
          <wp:inline distT="0" distB="0" distL="114300" distR="114300">
            <wp:extent cx="5471160" cy="6074410"/>
            <wp:effectExtent l="0" t="0" r="0" b="6350"/>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8"/>
                    <a:stretch>
                      <a:fillRect/>
                    </a:stretch>
                  </pic:blipFill>
                  <pic:spPr>
                    <a:xfrm>
                      <a:off x="0" y="0"/>
                      <a:ext cx="5471160" cy="6074410"/>
                    </a:xfrm>
                    <a:prstGeom prst="rect">
                      <a:avLst/>
                    </a:prstGeom>
                    <a:noFill/>
                    <a:ln>
                      <a:noFill/>
                    </a:ln>
                  </pic:spPr>
                </pic:pic>
              </a:graphicData>
            </a:graphic>
          </wp:inline>
        </w:drawing>
      </w:r>
    </w:p>
    <w:p>
      <w:pPr>
        <w:pStyle w:val="2"/>
      </w:pPr>
    </w:p>
    <w:p/>
    <w:p>
      <w:pPr>
        <w:pStyle w:val="2"/>
      </w:pPr>
    </w:p>
    <w:p/>
    <w:p>
      <w:pPr>
        <w:pStyle w:val="2"/>
      </w:pPr>
    </w:p>
    <w:p>
      <w:r>
        <w:drawing>
          <wp:inline distT="0" distB="0" distL="114300" distR="114300">
            <wp:extent cx="5882640" cy="2546350"/>
            <wp:effectExtent l="0" t="0" r="0" b="13970"/>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9"/>
                    <a:stretch>
                      <a:fillRect/>
                    </a:stretch>
                  </pic:blipFill>
                  <pic:spPr>
                    <a:xfrm>
                      <a:off x="0" y="0"/>
                      <a:ext cx="5882640" cy="2546350"/>
                    </a:xfrm>
                    <a:prstGeom prst="rect">
                      <a:avLst/>
                    </a:prstGeom>
                    <a:noFill/>
                    <a:ln>
                      <a:noFill/>
                    </a:ln>
                  </pic:spPr>
                </pic:pic>
              </a:graphicData>
            </a:graphic>
          </wp:inline>
        </w:drawing>
      </w:r>
    </w:p>
    <w:p>
      <w:pPr>
        <w:pStyle w:val="2"/>
      </w:pPr>
    </w:p>
    <w:p/>
    <w:p>
      <w:pPr>
        <w:pStyle w:val="2"/>
      </w:pPr>
    </w:p>
    <w:p/>
    <w:p>
      <w:pPr>
        <w:pStyle w:val="2"/>
      </w:pPr>
    </w:p>
    <w:p>
      <w:r>
        <w:drawing>
          <wp:inline distT="0" distB="0" distL="114300" distR="114300">
            <wp:extent cx="6096000" cy="6435090"/>
            <wp:effectExtent l="0" t="0" r="0" b="11430"/>
            <wp:docPr id="2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pic:cNvPicPr>
                      <a:picLocks noChangeAspect="1"/>
                    </pic:cNvPicPr>
                  </pic:nvPicPr>
                  <pic:blipFill>
                    <a:blip r:embed="rId10"/>
                    <a:stretch>
                      <a:fillRect/>
                    </a:stretch>
                  </pic:blipFill>
                  <pic:spPr>
                    <a:xfrm>
                      <a:off x="0" y="0"/>
                      <a:ext cx="6096000" cy="6435090"/>
                    </a:xfrm>
                    <a:prstGeom prst="rect">
                      <a:avLst/>
                    </a:prstGeom>
                    <a:noFill/>
                    <a:ln>
                      <a:noFill/>
                    </a:ln>
                  </pic:spPr>
                </pic:pic>
              </a:graphicData>
            </a:graphic>
          </wp:inline>
        </w:drawing>
      </w:r>
    </w:p>
    <w:p>
      <w:pPr>
        <w:pStyle w:val="2"/>
        <w:ind w:left="0" w:leftChars="0" w:firstLine="0" w:firstLineChars="0"/>
      </w:pPr>
    </w:p>
    <w:p>
      <w:r>
        <w:drawing>
          <wp:inline distT="0" distB="0" distL="114300" distR="114300">
            <wp:extent cx="5456555" cy="1613535"/>
            <wp:effectExtent l="0" t="0" r="14605" b="1905"/>
            <wp:docPr id="2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6"/>
                    <pic:cNvPicPr>
                      <a:picLocks noChangeAspect="1"/>
                    </pic:cNvPicPr>
                  </pic:nvPicPr>
                  <pic:blipFill>
                    <a:blip r:embed="rId11"/>
                    <a:stretch>
                      <a:fillRect/>
                    </a:stretch>
                  </pic:blipFill>
                  <pic:spPr>
                    <a:xfrm>
                      <a:off x="0" y="0"/>
                      <a:ext cx="5456555" cy="1613535"/>
                    </a:xfrm>
                    <a:prstGeom prst="rect">
                      <a:avLst/>
                    </a:prstGeom>
                    <a:noFill/>
                    <a:ln>
                      <a:noFill/>
                    </a:ln>
                  </pic:spPr>
                </pic:pic>
              </a:graphicData>
            </a:graphic>
          </wp:inline>
        </w:drawing>
      </w:r>
    </w:p>
    <w:p>
      <w:pPr>
        <w:pStyle w:val="2"/>
      </w:pPr>
    </w:p>
    <w:p/>
    <w:p>
      <w:pPr>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tbl>
      <w:tblPr>
        <w:tblW w:w="8965" w:type="dxa"/>
        <w:tblInd w:w="0" w:type="dxa"/>
        <w:shd w:val="clear"/>
        <w:tblLayout w:type="fixed"/>
        <w:tblCellMar>
          <w:top w:w="0" w:type="dxa"/>
          <w:left w:w="0" w:type="dxa"/>
          <w:bottom w:w="0" w:type="dxa"/>
          <w:right w:w="0" w:type="dxa"/>
        </w:tblCellMar>
      </w:tblPr>
      <w:tblGrid>
        <w:gridCol w:w="2424"/>
        <w:gridCol w:w="30"/>
        <w:gridCol w:w="30"/>
        <w:gridCol w:w="904"/>
        <w:gridCol w:w="1512"/>
        <w:gridCol w:w="1133"/>
        <w:gridCol w:w="2932"/>
      </w:tblGrid>
      <w:tr>
        <w:tblPrEx>
          <w:shd w:val="clear"/>
          <w:tblLayout w:type="fixed"/>
          <w:tblCellMar>
            <w:top w:w="0" w:type="dxa"/>
            <w:left w:w="0" w:type="dxa"/>
            <w:bottom w:w="0" w:type="dxa"/>
            <w:right w:w="0" w:type="dxa"/>
          </w:tblCellMar>
        </w:tblPrEx>
        <w:trPr>
          <w:trHeight w:val="384" w:hRule="atLeast"/>
        </w:trPr>
        <w:tc>
          <w:tcPr>
            <w:tcW w:w="8965" w:type="dxa"/>
            <w:gridSpan w:val="7"/>
            <w:tcBorders>
              <w:top w:val="nil"/>
              <w:left w:val="nil"/>
              <w:bottom w:val="nil"/>
              <w:right w:val="nil"/>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snapToGrid w:val="0"/>
                <w:color w:val="000000"/>
                <w:kern w:val="0"/>
                <w:sz w:val="30"/>
                <w:szCs w:val="30"/>
                <w:u w:val="none"/>
                <w:bdr w:val="none" w:color="auto" w:sz="0" w:space="0"/>
                <w:lang w:val="en-US" w:eastAsia="zh-CN" w:bidi="ar"/>
              </w:rPr>
              <w:t>国有资本经营预算财政拨款支出决算表</w:t>
            </w:r>
          </w:p>
        </w:tc>
      </w:tr>
      <w:tr>
        <w:tblPrEx>
          <w:shd w:val="clear"/>
          <w:tblLayout w:type="fixed"/>
          <w:tblCellMar>
            <w:top w:w="0" w:type="dxa"/>
            <w:left w:w="0" w:type="dxa"/>
            <w:bottom w:w="0" w:type="dxa"/>
            <w:right w:w="0" w:type="dxa"/>
          </w:tblCellMar>
        </w:tblPrEx>
        <w:trPr>
          <w:trHeight w:val="288" w:hRule="atLeast"/>
        </w:trPr>
        <w:tc>
          <w:tcPr>
            <w:tcW w:w="2424"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0"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0"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04"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512"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33"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32" w:type="dxa"/>
            <w:tcBorders>
              <w:top w:val="nil"/>
              <w:left w:val="nil"/>
              <w:bottom w:val="nil"/>
              <w:right w:val="nil"/>
            </w:tcBorders>
            <w:shd w:val="clear"/>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bdr w:val="none" w:color="auto" w:sz="0" w:space="0"/>
                <w:lang w:val="en-US" w:eastAsia="zh-CN" w:bidi="ar"/>
              </w:rPr>
              <w:t>公开08表</w:t>
            </w:r>
          </w:p>
        </w:tc>
      </w:tr>
      <w:tr>
        <w:tblPrEx>
          <w:shd w:val="clear"/>
          <w:tblLayout w:type="fixed"/>
          <w:tblCellMar>
            <w:top w:w="0" w:type="dxa"/>
            <w:left w:w="0" w:type="dxa"/>
            <w:bottom w:w="0" w:type="dxa"/>
            <w:right w:w="0" w:type="dxa"/>
          </w:tblCellMar>
        </w:tblPrEx>
        <w:trPr>
          <w:trHeight w:val="288" w:hRule="atLeast"/>
        </w:trPr>
        <w:tc>
          <w:tcPr>
            <w:tcW w:w="2424" w:type="dxa"/>
            <w:tcBorders>
              <w:top w:val="nil"/>
              <w:left w:val="nil"/>
              <w:bottom w:val="nil"/>
              <w:right w:val="nil"/>
            </w:tcBorders>
            <w:shd w:val="clear"/>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bdr w:val="none" w:color="auto" w:sz="0" w:space="0"/>
                <w:lang w:val="en-US" w:eastAsia="zh-CN" w:bidi="ar"/>
              </w:rPr>
              <w:t>部门：武汉市光谷第七小学</w:t>
            </w:r>
          </w:p>
        </w:tc>
        <w:tc>
          <w:tcPr>
            <w:tcW w:w="30"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0"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04"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512"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33" w:type="dxa"/>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32" w:type="dxa"/>
            <w:tcBorders>
              <w:top w:val="nil"/>
              <w:left w:val="nil"/>
              <w:bottom w:val="nil"/>
              <w:right w:val="nil"/>
            </w:tcBorders>
            <w:shd w:val="clear"/>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bdr w:val="none" w:color="auto" w:sz="0" w:space="0"/>
                <w:lang w:val="en-US" w:eastAsia="zh-CN" w:bidi="ar"/>
              </w:rPr>
              <w:t>金额单位：万元</w:t>
            </w:r>
          </w:p>
        </w:tc>
      </w:tr>
      <w:tr>
        <w:tblPrEx>
          <w:shd w:val="clear"/>
          <w:tblLayout w:type="fixed"/>
          <w:tblCellMar>
            <w:top w:w="0" w:type="dxa"/>
            <w:left w:w="0" w:type="dxa"/>
            <w:bottom w:w="0" w:type="dxa"/>
            <w:right w:w="0" w:type="dxa"/>
          </w:tblCellMar>
        </w:tblPrEx>
        <w:trPr>
          <w:trHeight w:val="300" w:hRule="atLeast"/>
        </w:trPr>
        <w:tc>
          <w:tcPr>
            <w:tcW w:w="3388"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项目</w:t>
            </w:r>
          </w:p>
        </w:tc>
        <w:tc>
          <w:tcPr>
            <w:tcW w:w="5577" w:type="dxa"/>
            <w:gridSpan w:val="3"/>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本年支出</w:t>
            </w:r>
          </w:p>
        </w:tc>
      </w:tr>
      <w:tr>
        <w:tblPrEx>
          <w:shd w:val="clear"/>
          <w:tblLayout w:type="fixed"/>
          <w:tblCellMar>
            <w:top w:w="0" w:type="dxa"/>
            <w:left w:w="0" w:type="dxa"/>
            <w:bottom w:w="0" w:type="dxa"/>
            <w:right w:w="0" w:type="dxa"/>
          </w:tblCellMar>
        </w:tblPrEx>
        <w:trPr>
          <w:trHeight w:val="300" w:hRule="atLeast"/>
        </w:trPr>
        <w:tc>
          <w:tcPr>
            <w:tcW w:w="2484"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科目代码</w:t>
            </w:r>
          </w:p>
        </w:tc>
        <w:tc>
          <w:tcPr>
            <w:tcW w:w="904"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科目名称</w:t>
            </w:r>
          </w:p>
        </w:tc>
        <w:tc>
          <w:tcPr>
            <w:tcW w:w="1512" w:type="dxa"/>
            <w:vMerge w:val="restart"/>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合计</w:t>
            </w:r>
          </w:p>
        </w:tc>
        <w:tc>
          <w:tcPr>
            <w:tcW w:w="1133" w:type="dxa"/>
            <w:vMerge w:val="restart"/>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基本支出</w:t>
            </w:r>
          </w:p>
        </w:tc>
        <w:tc>
          <w:tcPr>
            <w:tcW w:w="2932" w:type="dxa"/>
            <w:vMerge w:val="restart"/>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项目支出</w:t>
            </w:r>
          </w:p>
        </w:tc>
      </w:tr>
      <w:tr>
        <w:tblPrEx>
          <w:shd w:val="clear"/>
          <w:tblLayout w:type="fixed"/>
          <w:tblCellMar>
            <w:top w:w="0" w:type="dxa"/>
            <w:left w:w="0" w:type="dxa"/>
            <w:bottom w:w="0" w:type="dxa"/>
            <w:right w:w="0" w:type="dxa"/>
          </w:tblCellMar>
        </w:tblPrEx>
        <w:trPr>
          <w:trHeight w:val="300" w:hRule="atLeast"/>
        </w:trPr>
        <w:tc>
          <w:tcPr>
            <w:tcW w:w="248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1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3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248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1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3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3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3388"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栏次</w:t>
            </w:r>
          </w:p>
        </w:tc>
        <w:tc>
          <w:tcPr>
            <w:tcW w:w="1512" w:type="dxa"/>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1</w:t>
            </w:r>
          </w:p>
        </w:tc>
        <w:tc>
          <w:tcPr>
            <w:tcW w:w="1133" w:type="dxa"/>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2</w:t>
            </w:r>
          </w:p>
        </w:tc>
        <w:tc>
          <w:tcPr>
            <w:tcW w:w="2932" w:type="dxa"/>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3</w:t>
            </w:r>
          </w:p>
        </w:tc>
      </w:tr>
      <w:tr>
        <w:tblPrEx>
          <w:shd w:val="clear"/>
          <w:tblLayout w:type="fixed"/>
          <w:tblCellMar>
            <w:top w:w="0" w:type="dxa"/>
            <w:left w:w="0" w:type="dxa"/>
            <w:bottom w:w="0" w:type="dxa"/>
            <w:right w:w="0" w:type="dxa"/>
          </w:tblCellMar>
        </w:tblPrEx>
        <w:trPr>
          <w:trHeight w:val="300" w:hRule="atLeast"/>
        </w:trPr>
        <w:tc>
          <w:tcPr>
            <w:tcW w:w="3388"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合计</w:t>
            </w:r>
          </w:p>
        </w:tc>
        <w:tc>
          <w:tcPr>
            <w:tcW w:w="1512" w:type="dxa"/>
            <w:tcBorders>
              <w:top w:val="single" w:color="D4D4D4" w:sz="4" w:space="0"/>
              <w:left w:val="single" w:color="D4D4D4" w:sz="4" w:space="0"/>
              <w:bottom w:val="single" w:color="D4D4D4" w:sz="4" w:space="0"/>
              <w:right w:val="single" w:color="D4D4D4" w:sz="4" w:space="0"/>
            </w:tcBorders>
            <w:shd w:val="clear" w:color="auto" w:fill="FFFFFF"/>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133" w:type="dxa"/>
            <w:tcBorders>
              <w:top w:val="single" w:color="D4D4D4" w:sz="4" w:space="0"/>
              <w:left w:val="single" w:color="D4D4D4" w:sz="4" w:space="0"/>
              <w:bottom w:val="single" w:color="D4D4D4" w:sz="4" w:space="0"/>
              <w:right w:val="single" w:color="D4D4D4" w:sz="4" w:space="0"/>
            </w:tcBorders>
            <w:shd w:val="clear" w:color="auto" w:fill="FFFFFF"/>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2932" w:type="dxa"/>
            <w:tcBorders>
              <w:top w:val="single" w:color="D4D4D4" w:sz="4" w:space="0"/>
              <w:left w:val="single" w:color="D4D4D4" w:sz="4" w:space="0"/>
              <w:bottom w:val="single" w:color="D4D4D4" w:sz="4" w:space="0"/>
              <w:right w:val="single" w:color="D4D4D4" w:sz="4" w:space="0"/>
            </w:tcBorders>
            <w:shd w:val="clear" w:color="auto" w:fill="FFFFFF"/>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r>
      <w:tr>
        <w:tblPrEx>
          <w:shd w:val="clear"/>
          <w:tblLayout w:type="fixed"/>
          <w:tblCellMar>
            <w:top w:w="0" w:type="dxa"/>
            <w:left w:w="0" w:type="dxa"/>
            <w:bottom w:w="0" w:type="dxa"/>
            <w:right w:w="0" w:type="dxa"/>
          </w:tblCellMar>
        </w:tblPrEx>
        <w:trPr>
          <w:trHeight w:val="300" w:hRule="atLeast"/>
        </w:trPr>
        <w:tc>
          <w:tcPr>
            <w:tcW w:w="2484"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04" w:type="dxa"/>
            <w:tcBorders>
              <w:top w:val="single" w:color="D4D4D4" w:sz="4" w:space="0"/>
              <w:left w:val="single" w:color="D4D4D4" w:sz="4" w:space="0"/>
              <w:bottom w:val="single" w:color="D4D4D4" w:sz="4" w:space="0"/>
              <w:right w:val="single" w:color="D4D4D4"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512" w:type="dxa"/>
            <w:tcBorders>
              <w:top w:val="single" w:color="D4D4D4" w:sz="4" w:space="0"/>
              <w:left w:val="single" w:color="D4D4D4" w:sz="4" w:space="0"/>
              <w:bottom w:val="single" w:color="D4D4D4" w:sz="4" w:space="0"/>
              <w:right w:val="single" w:color="D4D4D4"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33" w:type="dxa"/>
            <w:tcBorders>
              <w:top w:val="single" w:color="D4D4D4" w:sz="4" w:space="0"/>
              <w:left w:val="single" w:color="D4D4D4" w:sz="4" w:space="0"/>
              <w:bottom w:val="single" w:color="D4D4D4" w:sz="4" w:space="0"/>
              <w:right w:val="single" w:color="D4D4D4"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932" w:type="dxa"/>
            <w:tcBorders>
              <w:top w:val="single" w:color="D4D4D4" w:sz="4" w:space="0"/>
              <w:left w:val="single" w:color="D4D4D4" w:sz="4" w:space="0"/>
              <w:bottom w:val="single" w:color="D4D4D4" w:sz="4" w:space="0"/>
              <w:right w:val="single" w:color="D4D4D4"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540" w:hRule="atLeast"/>
        </w:trPr>
        <w:tc>
          <w:tcPr>
            <w:tcW w:w="8965" w:type="dxa"/>
            <w:gridSpan w:val="7"/>
            <w:tcBorders>
              <w:top w:val="single" w:color="D4D4D4" w:sz="4" w:space="0"/>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注：本表反映部门本年度国有资本经营预算财政拨款支出情况。</w:t>
            </w:r>
          </w:p>
        </w:tc>
      </w:tr>
      <w:tr>
        <w:tblPrEx>
          <w:shd w:val="clear"/>
          <w:tblLayout w:type="fixed"/>
          <w:tblCellMar>
            <w:top w:w="0" w:type="dxa"/>
            <w:left w:w="0" w:type="dxa"/>
            <w:bottom w:w="0" w:type="dxa"/>
            <w:right w:w="0" w:type="dxa"/>
          </w:tblCellMar>
        </w:tblPrEx>
        <w:trPr>
          <w:trHeight w:val="300" w:hRule="atLeast"/>
        </w:trPr>
        <w:tc>
          <w:tcPr>
            <w:tcW w:w="8965" w:type="dxa"/>
            <w:gridSpan w:val="7"/>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bdr w:val="none" w:color="auto" w:sz="0" w:space="0"/>
                <w:lang w:val="en-US" w:eastAsia="zh-CN" w:bidi="ar"/>
              </w:rPr>
              <w:t>本部门2024年度无国有资本经营预算财政拨款支出。</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r>
        <w:drawing>
          <wp:inline distT="0" distB="0" distL="114300" distR="114300">
            <wp:extent cx="5610860" cy="1828800"/>
            <wp:effectExtent l="0" t="0" r="12700" b="0"/>
            <wp:docPr id="3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4"/>
                    <pic:cNvPicPr>
                      <a:picLocks noChangeAspect="1"/>
                    </pic:cNvPicPr>
                  </pic:nvPicPr>
                  <pic:blipFill>
                    <a:blip r:embed="rId12"/>
                    <a:stretch>
                      <a:fillRect/>
                    </a:stretch>
                  </pic:blipFill>
                  <pic:spPr>
                    <a:xfrm>
                      <a:off x="0" y="0"/>
                      <a:ext cx="5610860" cy="1828800"/>
                    </a:xfrm>
                    <a:prstGeom prst="rect">
                      <a:avLst/>
                    </a:prstGeom>
                    <a:noFill/>
                    <a:ln>
                      <a:noFill/>
                    </a:ln>
                  </pic:spPr>
                </pic:pic>
              </a:graphicData>
            </a:graphic>
          </wp:inline>
        </w:drawing>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default"/>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eastAsia="zh-CN"/>
        </w:rPr>
        <w:t>武汉市光谷第七小学</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u w:val="single" w:color="auto"/>
          <w:lang w:val="en-US" w:eastAsia="zh-CN"/>
        </w:rPr>
        <w:t>2789.09</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eastAsia" w:ascii="Times New Roman" w:hAnsi="Times New Roman" w:eastAsia="仿宋_GB2312" w:cs="Times New Roman"/>
          <w:spacing w:val="-5"/>
          <w:lang w:eastAsia="zh-CN"/>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5"/>
        </w:rPr>
        <w:t>年度</w:t>
      </w:r>
      <w:r>
        <w:rPr>
          <w:rFonts w:hint="default" w:ascii="Times New Roman" w:hAnsi="Times New Roman" w:eastAsia="仿宋_GB2312" w:cs="Times New Roman"/>
          <w:bCs/>
          <w:color w:val="auto"/>
          <w:kern w:val="44"/>
          <w:sz w:val="32"/>
          <w:szCs w:val="32"/>
          <w:u w:val="none"/>
        </w:rPr>
        <w:t>26</w:t>
      </w:r>
      <w:r>
        <w:rPr>
          <w:rFonts w:hint="eastAsia" w:ascii="Times New Roman" w:hAnsi="Times New Roman" w:eastAsia="仿宋_GB2312" w:cs="Times New Roman"/>
          <w:bCs/>
          <w:color w:val="auto"/>
          <w:kern w:val="44"/>
          <w:sz w:val="32"/>
          <w:szCs w:val="32"/>
          <w:u w:val="none"/>
          <w:lang w:val="en-US" w:eastAsia="zh-CN"/>
        </w:rPr>
        <w:t>96.18万元</w:t>
      </w:r>
      <w:r>
        <w:rPr>
          <w:rFonts w:hint="default" w:ascii="Times New Roman" w:hAnsi="Times New Roman" w:eastAsia="仿宋_GB2312" w:cs="Times New Roman"/>
          <w:spacing w:val="-5"/>
        </w:rPr>
        <w:t>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92.91</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0.34</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w:t>
      </w:r>
      <w:r>
        <w:rPr>
          <w:rFonts w:hint="default" w:ascii="Times New Roman" w:hAnsi="Times New Roman" w:eastAsia="仿宋_GB2312" w:cs="Times New Roman"/>
          <w:spacing w:val="-14"/>
        </w:rPr>
        <w:t>。</w:t>
      </w:r>
    </w:p>
    <w:p>
      <w:pPr>
        <w:pStyle w:val="4"/>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pStyle w:val="4"/>
        <w:spacing w:before="74" w:line="224" w:lineRule="auto"/>
        <w:jc w:val="center"/>
        <w:rPr>
          <w:rFonts w:hint="eastAsia" w:ascii="Times New Roman" w:hAnsi="Times New Roman" w:eastAsia="楷体_GB2312" w:cs="Times New Roman"/>
          <w:spacing w:val="3"/>
          <w:sz w:val="32"/>
          <w:szCs w:val="32"/>
          <w:lang w:eastAsia="zh-CN"/>
        </w:rPr>
      </w:pPr>
      <w:r>
        <w:rPr>
          <w:rFonts w:hint="eastAsia" w:ascii="Times New Roman" w:hAnsi="Times New Roman" w:eastAsia="楷体_GB2312" w:cs="Times New Roman"/>
          <w:spacing w:val="3"/>
          <w:sz w:val="32"/>
          <w:szCs w:val="32"/>
          <w:lang w:val="en-US" w:eastAsia="zh-CN"/>
        </w:rPr>
        <w:t xml:space="preserve">                        </w:t>
      </w:r>
      <w:r>
        <w:rPr>
          <w:rFonts w:hint="eastAsia" w:ascii="Times New Roman" w:hAnsi="Times New Roman" w:eastAsia="楷体_GB2312" w:cs="Times New Roman"/>
          <w:spacing w:val="3"/>
          <w:sz w:val="32"/>
          <w:szCs w:val="32"/>
          <w:lang w:eastAsia="zh-CN"/>
        </w:rPr>
        <w:t>单位：万元</w:t>
      </w:r>
    </w:p>
    <w:p>
      <w:pPr>
        <w:pStyle w:val="4"/>
        <w:spacing w:before="74" w:line="224" w:lineRule="auto"/>
        <w:jc w:val="center"/>
        <w:rPr>
          <w:rFonts w:hint="eastAsia" w:ascii="Times New Roman" w:hAnsi="Times New Roman" w:eastAsia="楷体_GB2312" w:cs="Times New Roman"/>
          <w:spacing w:val="3"/>
          <w:sz w:val="32"/>
          <w:szCs w:val="32"/>
          <w:lang w:eastAsia="zh-CN"/>
        </w:rPr>
      </w:pPr>
    </w:p>
    <w:p>
      <w:pPr>
        <w:pStyle w:val="4"/>
        <w:spacing w:before="74" w:line="224" w:lineRule="auto"/>
        <w:jc w:val="center"/>
        <w:rPr>
          <w:rFonts w:hint="default" w:ascii="Times New Roman" w:hAnsi="Times New Roman" w:cs="Times New Roman"/>
        </w:rPr>
      </w:pPr>
      <w:r>
        <w:drawing>
          <wp:inline distT="0" distB="0" distL="114300" distR="114300">
            <wp:extent cx="4084320" cy="2697480"/>
            <wp:effectExtent l="0" t="0" r="0" b="0"/>
            <wp:docPr id="3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5"/>
                    <pic:cNvPicPr>
                      <a:picLocks noChangeAspect="1"/>
                    </pic:cNvPicPr>
                  </pic:nvPicPr>
                  <pic:blipFill>
                    <a:blip r:embed="rId13"/>
                    <a:stretch>
                      <a:fillRect/>
                    </a:stretch>
                  </pic:blipFill>
                  <pic:spPr>
                    <a:xfrm>
                      <a:off x="0" y="0"/>
                      <a:ext cx="4084320" cy="2697480"/>
                    </a:xfrm>
                    <a:prstGeom prst="rect">
                      <a:avLst/>
                    </a:prstGeom>
                    <a:noFill/>
                    <a:ln>
                      <a:noFill/>
                    </a:ln>
                  </pic:spPr>
                </pic:pic>
              </a:graphicData>
            </a:graphic>
          </wp:inline>
        </w:drawing>
      </w: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lang w:val="en-US" w:eastAsia="zh-CN"/>
        </w:rPr>
        <w:t>2789.09</w:t>
      </w:r>
      <w:r>
        <w:rPr>
          <w:rFonts w:hint="default" w:ascii="Times New Roman" w:hAnsi="Times New Roman" w:eastAsia="仿宋_GB2312" w:cs="Times New Roman"/>
          <w:spacing w:val="-130"/>
          <w:sz w:val="32"/>
          <w:szCs w:val="32"/>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w:t>
      </w:r>
      <w:r>
        <w:rPr>
          <w:rFonts w:hint="default" w:ascii="Times New Roman" w:hAnsi="Times New Roman" w:eastAsia="仿宋_GB2312" w:cs="Times New Roman"/>
          <w:bCs/>
          <w:color w:val="auto"/>
          <w:kern w:val="44"/>
          <w:sz w:val="32"/>
          <w:szCs w:val="32"/>
          <w:u w:val="none"/>
        </w:rPr>
        <w:t>26</w:t>
      </w:r>
      <w:r>
        <w:rPr>
          <w:rFonts w:hint="eastAsia" w:ascii="Times New Roman" w:hAnsi="Times New Roman" w:eastAsia="仿宋_GB2312" w:cs="Times New Roman"/>
          <w:bCs/>
          <w:color w:val="auto"/>
          <w:kern w:val="44"/>
          <w:sz w:val="32"/>
          <w:szCs w:val="32"/>
          <w:u w:val="none"/>
          <w:lang w:val="en-US" w:eastAsia="zh-CN"/>
        </w:rPr>
        <w:t>96.18万元</w:t>
      </w:r>
      <w:r>
        <w:rPr>
          <w:rFonts w:hint="eastAsia" w:ascii="仿宋_GB2312" w:hAnsi="仿宋_GB2312" w:eastAsia="仿宋_GB2312" w:cs="仿宋_GB2312"/>
          <w:bCs/>
          <w:sz w:val="32"/>
          <w:szCs w:val="32"/>
          <w:highlight w:val="none"/>
          <w:lang w:val="en-US" w:eastAsia="zh-CN"/>
        </w:rPr>
        <w:t>相比，收入合计增加</w:t>
      </w:r>
      <w:r>
        <w:rPr>
          <w:rFonts w:hint="eastAsia" w:ascii="仿宋_GB2312" w:hAnsi="仿宋_GB2312" w:eastAsia="仿宋_GB2312" w:cs="仿宋_GB2312"/>
          <w:bCs/>
          <w:sz w:val="32"/>
          <w:szCs w:val="32"/>
          <w:highlight w:val="none"/>
          <w:u w:val="single"/>
          <w:lang w:val="en-US" w:eastAsia="zh-CN"/>
        </w:rPr>
        <w:t>92.91</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0.34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2597.52</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93.13</w:t>
      </w:r>
      <w:r>
        <w:rPr>
          <w:rFonts w:hint="eastAsia" w:ascii="仿宋_GB2312" w:hAnsi="仿宋_GB2312" w:eastAsia="仿宋_GB2312" w:cs="仿宋_GB2312"/>
          <w:bCs/>
          <w:kern w:val="44"/>
          <w:sz w:val="32"/>
          <w:szCs w:val="32"/>
          <w:highlight w:val="none"/>
        </w:rPr>
        <w:t>%；上级补助收入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rPr>
        <w:t>%；事业收入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191.57</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6.87</w:t>
      </w:r>
      <w:r>
        <w:rPr>
          <w:rFonts w:hint="eastAsia" w:ascii="仿宋_GB2312" w:hAnsi="仿宋_GB2312" w:eastAsia="仿宋_GB2312" w:cs="仿宋_GB2312"/>
          <w:bCs/>
          <w:kern w:val="44"/>
          <w:sz w:val="32"/>
          <w:szCs w:val="32"/>
          <w:highlight w:val="none"/>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spacing w:line="269" w:lineRule="auto"/>
        <w:jc w:val="center"/>
        <w:rPr>
          <w:rFonts w:hint="default" w:ascii="Times New Roman" w:hAnsi="Times New Roman" w:cs="Times New Roman"/>
          <w:sz w:val="21"/>
        </w:rPr>
      </w:pPr>
      <w:r>
        <w:drawing>
          <wp:inline distT="0" distB="0" distL="114300" distR="114300">
            <wp:extent cx="4229100" cy="2621280"/>
            <wp:effectExtent l="0" t="0" r="7620" b="0"/>
            <wp:docPr id="3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6"/>
                    <pic:cNvPicPr>
                      <a:picLocks noChangeAspect="1"/>
                    </pic:cNvPicPr>
                  </pic:nvPicPr>
                  <pic:blipFill>
                    <a:blip r:embed="rId14"/>
                    <a:stretch>
                      <a:fillRect/>
                    </a:stretch>
                  </pic:blipFill>
                  <pic:spPr>
                    <a:xfrm>
                      <a:off x="0" y="0"/>
                      <a:ext cx="4229100" cy="2621280"/>
                    </a:xfrm>
                    <a:prstGeom prst="rect">
                      <a:avLst/>
                    </a:prstGeom>
                    <a:noFill/>
                    <a:ln>
                      <a:noFill/>
                    </a:ln>
                  </pic:spPr>
                </pic:pic>
              </a:graphicData>
            </a:graphic>
          </wp:inline>
        </w:drawing>
      </w:r>
    </w:p>
    <w:p>
      <w:pPr>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before="104" w:line="222" w:lineRule="auto"/>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2789.09</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w:t>
      </w:r>
      <w:r>
        <w:rPr>
          <w:rFonts w:hint="default" w:ascii="Times New Roman" w:hAnsi="Times New Roman" w:eastAsia="仿宋_GB2312" w:cs="Times New Roman"/>
          <w:bCs/>
          <w:color w:val="auto"/>
          <w:kern w:val="44"/>
          <w:sz w:val="32"/>
          <w:szCs w:val="32"/>
          <w:u w:val="none"/>
        </w:rPr>
        <w:t>2696.18</w:t>
      </w:r>
      <w:r>
        <w:rPr>
          <w:rFonts w:hint="eastAsia" w:ascii="Times New Roman" w:hAnsi="Times New Roman" w:eastAsia="仿宋_GB2312" w:cs="Times New Roman"/>
          <w:bCs/>
          <w:color w:val="auto"/>
          <w:kern w:val="44"/>
          <w:sz w:val="32"/>
          <w:szCs w:val="32"/>
          <w:u w:val="none"/>
          <w:lang w:val="en-US" w:eastAsia="zh-CN"/>
        </w:rPr>
        <w:t>万元</w:t>
      </w:r>
      <w:r>
        <w:rPr>
          <w:rFonts w:hint="eastAsia" w:ascii="仿宋_GB2312" w:hAnsi="仿宋_GB2312" w:eastAsia="仿宋_GB2312" w:cs="仿宋_GB2312"/>
          <w:sz w:val="32"/>
          <w:szCs w:val="32"/>
          <w:lang w:val="en-US" w:eastAsia="zh-CN"/>
        </w:rPr>
        <w:t>相比，支出</w:t>
      </w:r>
      <w:r>
        <w:rPr>
          <w:rFonts w:hint="eastAsia" w:ascii="仿宋_GB2312" w:hAnsi="仿宋_GB2312" w:eastAsia="仿宋_GB2312" w:cs="仿宋_GB2312"/>
          <w:bCs/>
          <w:sz w:val="32"/>
          <w:szCs w:val="32"/>
          <w:highlight w:val="none"/>
          <w:lang w:val="en-US" w:eastAsia="zh-CN"/>
        </w:rPr>
        <w:t>合计增加</w:t>
      </w:r>
      <w:r>
        <w:rPr>
          <w:rFonts w:hint="eastAsia" w:ascii="仿宋_GB2312" w:hAnsi="仿宋_GB2312" w:eastAsia="仿宋_GB2312" w:cs="仿宋_GB2312"/>
          <w:bCs/>
          <w:sz w:val="32"/>
          <w:szCs w:val="32"/>
          <w:highlight w:val="none"/>
          <w:u w:val="single"/>
          <w:lang w:val="en-US" w:eastAsia="zh-CN"/>
        </w:rPr>
        <w:t>92.91</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0.34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2671.09</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lang w:val="en-US" w:eastAsia="zh-CN"/>
        </w:rPr>
        <w:t>99.07</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lang w:val="en-US" w:eastAsia="zh-CN"/>
        </w:rPr>
        <w:t>118</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0.93</w:t>
      </w:r>
      <w:r>
        <w:rPr>
          <w:rFonts w:hint="eastAsia" w:ascii="仿宋_GB2312" w:hAnsi="仿宋_GB2312" w:eastAsia="仿宋_GB2312" w:cs="仿宋_GB2312"/>
          <w:bCs/>
          <w:kern w:val="44"/>
          <w:sz w:val="32"/>
          <w:szCs w:val="32"/>
          <w:highlight w:val="none"/>
        </w:rPr>
        <w:t>%；上缴上级支出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%；经营支出</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pPr>
        <w:rPr>
          <w:rFonts w:hint="default" w:ascii="Times New Roman" w:hAnsi="Times New Roman" w:cs="Times New Roman"/>
          <w:lang w:val="en-US"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firstLine="2934" w:firstLineChars="900"/>
        <w:jc w:val="both"/>
        <w:textAlignment w:val="baseline"/>
        <w:rPr>
          <w:rFonts w:hint="default" w:ascii="Times New Roman" w:hAnsi="Times New Roman" w:eastAsia="楷体_GB2312" w:cs="Times New Roman"/>
          <w:spacing w:val="3"/>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firstLine="3260" w:firstLineChars="1000"/>
        <w:jc w:val="both"/>
        <w:textAlignment w:val="baseline"/>
        <w:rPr>
          <w:rFonts w:hint="eastAsia" w:ascii="Times New Roman" w:hAnsi="Times New Roman" w:eastAsia="楷体_GB2312" w:cs="Times New Roman"/>
          <w:spacing w:val="3"/>
          <w:sz w:val="32"/>
          <w:szCs w:val="32"/>
          <w:lang w:eastAsia="zh-CN"/>
        </w:rPr>
      </w:pPr>
      <w:r>
        <w:rPr>
          <w:rFonts w:hint="default" w:ascii="Times New Roman" w:hAnsi="Times New Roman" w:eastAsia="楷体_GB2312" w:cs="Times New Roman"/>
          <w:spacing w:val="3"/>
          <w:sz w:val="32"/>
          <w:szCs w:val="32"/>
        </w:rPr>
        <w:t>图 3：支出决算结</w:t>
      </w:r>
      <w:r>
        <w:rPr>
          <w:rFonts w:hint="eastAsia" w:ascii="Times New Roman" w:hAnsi="Times New Roman" w:eastAsia="楷体_GB2312" w:cs="Times New Roman"/>
          <w:spacing w:val="3"/>
          <w:sz w:val="32"/>
          <w:szCs w:val="32"/>
          <w:lang w:eastAsia="zh-CN"/>
        </w:rPr>
        <w:t>构</w:t>
      </w: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楷体_GB2312" w:cs="Times New Roman"/>
          <w:spacing w:val="3"/>
          <w:sz w:val="32"/>
          <w:szCs w:val="32"/>
        </w:rPr>
      </w:pPr>
      <w:r>
        <w:rPr>
          <w:rFonts w:hint="eastAsia"/>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楷体_GB2312" w:cs="Times New Roman"/>
          <w:spacing w:val="3"/>
          <w:sz w:val="32"/>
          <w:szCs w:val="32"/>
        </w:rPr>
      </w:pPr>
      <w:r>
        <w:drawing>
          <wp:anchor distT="0" distB="0" distL="114300" distR="114300" simplePos="0" relativeHeight="251658240" behindDoc="0" locked="0" layoutInCell="1" allowOverlap="1">
            <wp:simplePos x="0" y="0"/>
            <wp:positionH relativeFrom="column">
              <wp:posOffset>739140</wp:posOffset>
            </wp:positionH>
            <wp:positionV relativeFrom="paragraph">
              <wp:posOffset>132080</wp:posOffset>
            </wp:positionV>
            <wp:extent cx="4152900" cy="2674620"/>
            <wp:effectExtent l="0" t="0" r="7620" b="7620"/>
            <wp:wrapSquare wrapText="bothSides"/>
            <wp:docPr id="5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9"/>
                    <pic:cNvPicPr>
                      <a:picLocks noChangeAspect="1"/>
                    </pic:cNvPicPr>
                  </pic:nvPicPr>
                  <pic:blipFill>
                    <a:blip r:embed="rId15"/>
                    <a:stretch>
                      <a:fillRect/>
                    </a:stretch>
                  </pic:blipFill>
                  <pic:spPr>
                    <a:xfrm>
                      <a:off x="0" y="0"/>
                      <a:ext cx="4152900" cy="2674620"/>
                    </a:xfrm>
                    <a:prstGeom prst="rect">
                      <a:avLst/>
                    </a:prstGeom>
                    <a:noFill/>
                    <a:ln>
                      <a:noFill/>
                    </a:ln>
                  </pic:spPr>
                </pic:pic>
              </a:graphicData>
            </a:graphic>
          </wp:anchor>
        </w:drawing>
      </w:r>
    </w:p>
    <w:p>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sz w:val="32"/>
          <w:szCs w:val="32"/>
          <w:highlight w:val="none"/>
          <w:u w:val="single"/>
          <w:lang w:val="en-US" w:eastAsia="zh-CN"/>
        </w:rPr>
      </w:pPr>
    </w:p>
    <w:p>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sz w:val="32"/>
          <w:szCs w:val="32"/>
          <w:highlight w:val="none"/>
          <w:u w:val="single"/>
          <w:lang w:val="en-US" w:eastAsia="zh-CN"/>
        </w:rPr>
      </w:pPr>
    </w:p>
    <w:p>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sz w:val="32"/>
          <w:szCs w:val="32"/>
          <w:highlight w:val="none"/>
          <w:u w:val="single"/>
          <w:lang w:val="en-US" w:eastAsia="zh-CN"/>
        </w:rPr>
      </w:pPr>
    </w:p>
    <w:p>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sz w:val="32"/>
          <w:szCs w:val="32"/>
          <w:highlight w:val="none"/>
          <w:u w:val="single"/>
          <w:lang w:val="en-US" w:eastAsia="zh-CN"/>
        </w:rPr>
      </w:pPr>
    </w:p>
    <w:p>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sz w:val="32"/>
          <w:szCs w:val="32"/>
          <w:highlight w:val="none"/>
          <w:u w:val="single"/>
          <w:lang w:val="en-US" w:eastAsia="zh-CN"/>
        </w:rPr>
      </w:pPr>
    </w:p>
    <w:p>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sz w:val="32"/>
          <w:szCs w:val="32"/>
          <w:highlight w:val="none"/>
          <w:u w:val="single"/>
          <w:lang w:val="en-US" w:eastAsia="zh-CN"/>
        </w:rPr>
      </w:pPr>
    </w:p>
    <w:p>
      <w:pPr>
        <w:pageBreakBefore w:val="0"/>
        <w:widowControl w:val="0"/>
        <w:kinsoku/>
        <w:wordWrap/>
        <w:overflowPunct/>
        <w:topLinePunct w:val="0"/>
        <w:bidi w:val="0"/>
        <w:spacing w:line="600" w:lineRule="exact"/>
        <w:ind w:firstLine="640" w:firstLineChars="200"/>
        <w:textAlignment w:val="auto"/>
        <w:rPr>
          <w:rFonts w:hint="default" w:ascii="仿宋_GB2312" w:hAnsi="仿宋_GB2312" w:eastAsia="仿宋_GB2312" w:cs="仿宋_GB2312"/>
          <w:bCs/>
          <w:sz w:val="32"/>
          <w:szCs w:val="32"/>
          <w:highlight w:val="none"/>
          <w:u w:val="singl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2597.52 </w:t>
      </w:r>
      <w:r>
        <w:rPr>
          <w:rFonts w:hint="eastAsia" w:ascii="仿宋_GB2312" w:hAnsi="仿宋_GB2312" w:eastAsia="仿宋_GB2312" w:cs="仿宋_GB2312"/>
          <w:bCs/>
          <w:kern w:val="44"/>
          <w:sz w:val="32"/>
          <w:szCs w:val="32"/>
          <w:highlight w:val="none"/>
        </w:rPr>
        <w:t>万元。与</w:t>
      </w:r>
      <w:r>
        <w:rPr>
          <w:rFonts w:hint="eastAsia" w:ascii="仿宋_GB2312" w:hAnsi="仿宋_GB2312" w:eastAsia="仿宋_GB2312" w:cs="仿宋_GB2312"/>
          <w:bCs/>
          <w:kern w:val="44"/>
          <w:sz w:val="32"/>
          <w:szCs w:val="32"/>
          <w:highlight w:val="none"/>
          <w:lang w:eastAsia="zh-CN"/>
        </w:rPr>
        <w:t>202</w:t>
      </w:r>
      <w:r>
        <w:rPr>
          <w:rFonts w:hint="eastAsia" w:ascii="仿宋_GB2312" w:hAnsi="仿宋_GB2312" w:eastAsia="仿宋_GB2312" w:cs="仿宋_GB2312"/>
          <w:bCs/>
          <w:kern w:val="44"/>
          <w:sz w:val="32"/>
          <w:szCs w:val="32"/>
          <w:highlight w:val="none"/>
          <w:lang w:val="en-US" w:eastAsia="zh-CN"/>
        </w:rPr>
        <w:t>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default" w:ascii="Times New Roman" w:hAnsi="Times New Roman" w:eastAsia="仿宋_GB2312" w:cs="Times New Roman"/>
          <w:bCs/>
          <w:kern w:val="44"/>
          <w:sz w:val="32"/>
          <w:szCs w:val="32"/>
          <w:highlight w:val="none"/>
          <w:u w:val="none"/>
        </w:rPr>
        <w:t>2513.98</w:t>
      </w:r>
      <w:r>
        <w:rPr>
          <w:rFonts w:hint="eastAsia" w:ascii="Times New Roman" w:hAnsi="Times New Roman" w:eastAsia="仿宋_GB2312" w:cs="Times New Roman"/>
          <w:bCs/>
          <w:kern w:val="44"/>
          <w:sz w:val="32"/>
          <w:szCs w:val="32"/>
          <w:highlight w:val="none"/>
          <w:u w:val="none"/>
          <w:lang w:val="en-US" w:eastAsia="zh-CN"/>
        </w:rPr>
        <w:t>万元</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lang w:val="en-US" w:eastAsia="zh-CN"/>
        </w:rPr>
        <w:t>83.54</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lang w:val="en-US" w:eastAsia="zh-CN"/>
        </w:rPr>
        <w:t>3.32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2597.52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2023年度2513.98万元，决算数增加</w:t>
      </w:r>
      <w:r>
        <w:rPr>
          <w:rFonts w:hint="eastAsia" w:ascii="仿宋_GB2312" w:hAnsi="仿宋_GB2312" w:eastAsia="仿宋_GB2312" w:cs="仿宋_GB2312"/>
          <w:sz w:val="32"/>
          <w:szCs w:val="32"/>
          <w:u w:val="single"/>
          <w:lang w:val="en-US" w:eastAsia="zh-CN"/>
        </w:rPr>
        <w:t>83.54</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p>
    <w:p>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pPr>
        <w:jc w:val="center"/>
        <w:rPr>
          <w:rFonts w:hint="default" w:ascii="Times New Roman" w:hAnsi="Times New Roman" w:cs="Times New Roman"/>
          <w:lang w:val="en-US" w:eastAsia="zh-CN"/>
        </w:rPr>
      </w:pPr>
    </w:p>
    <w:p>
      <w:pPr>
        <w:jc w:val="center"/>
        <w:rPr>
          <w:rFonts w:hint="default" w:ascii="Times New Roman" w:hAnsi="Times New Roman" w:cs="Times New Roman"/>
          <w:lang w:val="en-US" w:eastAsia="zh-CN"/>
        </w:rPr>
      </w:pPr>
      <w:r>
        <w:drawing>
          <wp:inline distT="0" distB="0" distL="114300" distR="114300">
            <wp:extent cx="4244340" cy="2697480"/>
            <wp:effectExtent l="0" t="0" r="7620" b="0"/>
            <wp:docPr id="5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0"/>
                    <pic:cNvPicPr>
                      <a:picLocks noChangeAspect="1"/>
                    </pic:cNvPicPr>
                  </pic:nvPicPr>
                  <pic:blipFill>
                    <a:blip r:embed="rId16"/>
                    <a:stretch>
                      <a:fillRect/>
                    </a:stretch>
                  </pic:blipFill>
                  <pic:spPr>
                    <a:xfrm>
                      <a:off x="0" y="0"/>
                      <a:ext cx="4244340" cy="2697480"/>
                    </a:xfrm>
                    <a:prstGeom prst="rect">
                      <a:avLst/>
                    </a:prstGeom>
                    <a:noFill/>
                    <a:ln>
                      <a:noFill/>
                    </a:ln>
                  </pic:spPr>
                </pic:pic>
              </a:graphicData>
            </a:graphic>
          </wp:inline>
        </w:drawing>
      </w:r>
    </w:p>
    <w:p>
      <w:pPr>
        <w:jc w:val="both"/>
        <w:rPr>
          <w:rFonts w:hint="default" w:ascii="Times New Roman" w:hAnsi="Times New Roman" w:cs="Times New Roman"/>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2597.52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2023年度2513.98万元，决算数增加</w:t>
      </w:r>
      <w:r>
        <w:rPr>
          <w:rFonts w:hint="eastAsia" w:ascii="仿宋_GB2312" w:hAnsi="仿宋_GB2312" w:eastAsia="仿宋_GB2312" w:cs="仿宋_GB2312"/>
          <w:sz w:val="32"/>
          <w:szCs w:val="32"/>
          <w:u w:val="single"/>
          <w:lang w:val="en-US" w:eastAsia="zh-CN"/>
        </w:rPr>
        <w:t>83.54</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sz w:val="32"/>
          <w:szCs w:val="32"/>
          <w:u w:val="single"/>
          <w:lang w:val="en-US" w:eastAsia="zh-CN"/>
        </w:rPr>
        <w:t>2597.52</w:t>
      </w:r>
      <w:r>
        <w:rPr>
          <w:rFonts w:hint="eastAsia" w:ascii="仿宋_GB2312" w:hAnsi="仿宋_GB2312" w:eastAsia="仿宋_GB2312" w:cs="仿宋_GB2312"/>
          <w:bCs/>
          <w:kern w:val="44"/>
          <w:sz w:val="32"/>
          <w:szCs w:val="32"/>
          <w:highlight w:val="none"/>
        </w:rPr>
        <w:t>万元，主要用于以下方面：</w:t>
      </w:r>
    </w:p>
    <w:p>
      <w:pPr>
        <w:pStyle w:val="2"/>
        <w:keepNext w:val="0"/>
        <w:keepLines w:val="0"/>
        <w:pageBreakBefore w:val="0"/>
        <w:widowControl/>
        <w:kinsoku/>
        <w:wordWrap/>
        <w:overflowPunct/>
        <w:topLinePunct w:val="0"/>
        <w:autoSpaceDE w:val="0"/>
        <w:autoSpaceDN w:val="0"/>
        <w:bidi w:val="0"/>
        <w:adjustRightInd w:val="0"/>
        <w:snapToGrid w:val="0"/>
        <w:spacing w:line="580" w:lineRule="atLeast"/>
        <w:ind w:left="0" w:leftChars="0" w:firstLine="640" w:firstLineChars="200"/>
        <w:jc w:val="both"/>
        <w:textAlignment w:val="baseline"/>
        <w:rPr>
          <w:rFonts w:hint="default" w:ascii="Times New Roman" w:hAnsi="Times New Roman" w:eastAsia="仿宋_GB2312" w:cs="Times New Roman"/>
          <w:spacing w:val="0"/>
          <w:sz w:val="32"/>
          <w:lang w:val="en-US" w:eastAsia="zh-CN"/>
        </w:rPr>
      </w:pPr>
      <w:r>
        <w:rPr>
          <w:rFonts w:hint="eastAsia" w:ascii="仿宋_GB2312" w:hAnsi="仿宋_GB2312" w:eastAsia="仿宋_GB2312" w:cs="仿宋_GB2312"/>
          <w:bCs/>
          <w:kern w:val="44"/>
          <w:sz w:val="32"/>
          <w:szCs w:val="32"/>
          <w:highlight w:val="none"/>
          <w:lang w:val="en-US" w:eastAsia="zh-CN"/>
        </w:rPr>
        <w:t>1.</w:t>
      </w:r>
      <w:r>
        <w:rPr>
          <w:rFonts w:hint="eastAsia" w:ascii="Times New Roman" w:hAnsi="Times New Roman" w:cs="Times New Roman"/>
          <w:spacing w:val="0"/>
          <w:sz w:val="32"/>
          <w:lang w:eastAsia="zh-CN"/>
        </w:rPr>
        <w:t>社会保障和就业服务</w:t>
      </w:r>
      <w:r>
        <w:rPr>
          <w:rFonts w:hint="eastAsia" w:ascii="Times New Roman" w:hAnsi="Times New Roman" w:cs="Times New Roman"/>
          <w:spacing w:val="0"/>
          <w:sz w:val="32"/>
          <w:lang w:val="en-US" w:eastAsia="zh-CN"/>
        </w:rPr>
        <w:t>187.99</w:t>
      </w:r>
      <w:r>
        <w:rPr>
          <w:rFonts w:hint="eastAsia" w:ascii="Times New Roman" w:hAnsi="Times New Roman" w:cs="Times New Roman"/>
          <w:spacing w:val="0"/>
          <w:sz w:val="32"/>
          <w:lang w:eastAsia="zh-CN"/>
        </w:rPr>
        <w:t>万元，占比</w:t>
      </w:r>
      <w:r>
        <w:rPr>
          <w:rFonts w:hint="eastAsia" w:ascii="Times New Roman" w:hAnsi="Times New Roman" w:cs="Times New Roman"/>
          <w:spacing w:val="0"/>
          <w:sz w:val="32"/>
          <w:lang w:val="en-US" w:eastAsia="zh-CN"/>
        </w:rPr>
        <w:t>7.24%。主要用于  机关事业单位基本养老保险缴费支出与机关事业单位职业年金缴费支出。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lang w:eastAsia="zh-CN"/>
        </w:rPr>
      </w:pPr>
      <w:r>
        <w:rPr>
          <w:rFonts w:hint="eastAsia" w:ascii="仿宋_GB2312" w:hAnsi="仿宋_GB2312" w:eastAsia="仿宋_GB2312" w:cs="仿宋_GB2312"/>
          <w:bCs/>
          <w:kern w:val="44"/>
          <w:sz w:val="32"/>
          <w:szCs w:val="32"/>
          <w:highlight w:val="none"/>
          <w:lang w:val="en-US" w:eastAsia="zh-CN"/>
        </w:rPr>
        <w:t>2.教育支出(类)</w:t>
      </w:r>
      <w:r>
        <w:rPr>
          <w:rFonts w:hint="eastAsia" w:ascii="仿宋_GB2312" w:hAnsi="仿宋_GB2312" w:eastAsia="仿宋_GB2312" w:cs="仿宋_GB2312"/>
          <w:bCs/>
          <w:kern w:val="44"/>
          <w:sz w:val="32"/>
          <w:szCs w:val="32"/>
          <w:highlight w:val="none"/>
          <w:u w:val="single"/>
        </w:rPr>
        <w:t>2409.53</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single"/>
          <w:lang w:val="en-US" w:eastAsia="zh-CN"/>
        </w:rPr>
        <w:t>92.76</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w:t>
      </w:r>
      <w:r>
        <w:rPr>
          <w:rFonts w:hint="default" w:ascii="Times New Roman" w:hAnsi="Times New Roman" w:eastAsia="仿宋_GB2312" w:cs="Times New Roman"/>
          <w:spacing w:val="0"/>
          <w:sz w:val="32"/>
        </w:rPr>
        <w:t>主要是用于</w:t>
      </w:r>
      <w:r>
        <w:rPr>
          <w:rFonts w:hint="eastAsia" w:ascii="Times New Roman" w:hAnsi="Times New Roman" w:eastAsia="仿宋_GB2312" w:cs="Times New Roman"/>
          <w:bCs/>
          <w:kern w:val="44"/>
          <w:sz w:val="32"/>
          <w:szCs w:val="32"/>
          <w:lang w:eastAsia="zh-CN"/>
        </w:rPr>
        <w:t>基本支出与项目支出。</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p>
    <w:p>
      <w:pPr>
        <w:rPr>
          <w:rFonts w:hint="default" w:ascii="Times New Roman" w:hAnsi="Times New Roman" w:cs="Times New Roman"/>
          <w:spacing w:val="0"/>
          <w:sz w:val="32"/>
        </w:rPr>
      </w:pPr>
      <w:r>
        <w:rPr>
          <w:rFonts w:hint="default" w:ascii="Times New Roman" w:hAnsi="Times New Roman" w:cs="Times New Roman"/>
          <w:spacing w:val="0"/>
          <w:sz w:val="32"/>
        </w:rPr>
        <w:br w:type="page"/>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6"/>
          <w:lang w:val="en-US" w:eastAsia="zh-C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Times New Roman" w:hAnsi="Times New Roman" w:eastAsia="仿宋_GB2312" w:cs="Times New Roman"/>
          <w:spacing w:val="-3"/>
          <w:lang w:val="en-US" w:eastAsia="zh-CN"/>
        </w:rPr>
        <w:t>2561.64</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eastAsia" w:ascii="仿宋_GB2312" w:hAnsi="仿宋_GB2312" w:eastAsia="仿宋_GB2312" w:cs="仿宋_GB2312"/>
          <w:sz w:val="32"/>
          <w:szCs w:val="32"/>
          <w:u w:val="single"/>
          <w:lang w:val="en-US" w:eastAsia="zh-CN"/>
        </w:rPr>
        <w:t>2597.52</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
        </w:rPr>
        <w:t>万元，完成年初预算的</w:t>
      </w:r>
      <w:r>
        <w:rPr>
          <w:rFonts w:hint="eastAsia" w:ascii="Times New Roman" w:hAnsi="Times New Roman" w:eastAsia="仿宋_GB2312" w:cs="Times New Roman"/>
          <w:spacing w:val="-1"/>
          <w:u w:val="single" w:color="auto"/>
          <w:lang w:val="en-US" w:eastAsia="zh-CN"/>
        </w:rPr>
        <w:t>101.4</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eastAsia" w:ascii="Times New Roman" w:hAnsi="Times New Roman" w:eastAsia="仿宋_GB2312" w:cs="Times New Roman"/>
          <w:lang w:val="en-US" w:eastAsia="zh-CN"/>
        </w:rPr>
        <w:t>2527.15</w:t>
      </w:r>
      <w:r>
        <w:rPr>
          <w:rFonts w:hint="default" w:ascii="Times New Roman" w:hAnsi="Times New Roman" w:eastAsia="仿宋_GB2312" w:cs="Times New Roman"/>
          <w:spacing w:val="-6"/>
        </w:rPr>
        <w:t>万元，项目支出</w:t>
      </w:r>
      <w:r>
        <w:rPr>
          <w:rFonts w:hint="eastAsia" w:ascii="Times New Roman" w:hAnsi="Times New Roman" w:eastAsia="仿宋_GB2312" w:cs="Times New Roman"/>
          <w:spacing w:val="-6"/>
          <w:u w:val="single" w:color="auto"/>
          <w:lang w:val="en-US" w:eastAsia="zh-CN"/>
        </w:rPr>
        <w:t>70.37</w:t>
      </w:r>
      <w:r>
        <w:rPr>
          <w:rFonts w:hint="default" w:ascii="Times New Roman" w:hAnsi="Times New Roman" w:eastAsia="仿宋_GB2312" w:cs="Times New Roman"/>
          <w:spacing w:val="-6"/>
        </w:rPr>
        <w:t>万元。项目支出主要用于</w:t>
      </w:r>
      <w:r>
        <w:rPr>
          <w:rFonts w:hint="eastAsia" w:ascii="Times New Roman" w:hAnsi="Times New Roman" w:eastAsia="仿宋_GB2312" w:cs="Times New Roman"/>
          <w:spacing w:val="-6"/>
          <w:lang w:eastAsia="zh-CN"/>
        </w:rPr>
        <w:t>支付城乡义务教育补助经费。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2527.15</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2294.13</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其他工资福利支出、退休费、抚恤金、生活补助</w:t>
      </w:r>
      <w:r>
        <w:rPr>
          <w:rFonts w:hint="default" w:ascii="Times New Roman" w:hAnsi="Times New Roman" w:eastAsia="仿宋_GB2312" w:cs="Times New Roman"/>
          <w:spacing w:val="-6"/>
        </w:rPr>
        <w:t>、救济费、医疗费</w:t>
      </w:r>
      <w:r>
        <w:rPr>
          <w:rFonts w:hint="default" w:ascii="Times New Roman" w:hAnsi="Times New Roman" w:eastAsia="仿宋_GB2312" w:cs="Times New Roman"/>
          <w:spacing w:val="-3"/>
        </w:rPr>
        <w:t>补助、助学金、奖励金、</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233.02</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因公出国</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境</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费用、维修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费、租赁费、会议费、培训费、公</w:t>
      </w:r>
      <w:r>
        <w:rPr>
          <w:rFonts w:hint="default" w:ascii="Times New Roman" w:hAnsi="Times New Roman" w:eastAsia="仿宋_GB2312" w:cs="Times New Roman"/>
          <w:spacing w:val="-5"/>
        </w:rPr>
        <w:t>务接待费、专用材料费、劳务费、委托业务费、工会经费、福利费、公务用车运行维护费、其他交通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专用设备购置、信息网络及软件购置更新、公务用车购置、文物</w:t>
      </w:r>
      <w:r>
        <w:rPr>
          <w:rFonts w:hint="default" w:ascii="Times New Roman" w:hAnsi="Times New Roman" w:eastAsia="仿宋_GB2312" w:cs="Times New Roman"/>
          <w:spacing w:val="-1"/>
        </w:rPr>
        <w:t>和陈列品购置、无形资产购置、其他资本性支出。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eastAsia" w:ascii="Times New Roman" w:hAnsi="Times New Roman" w:eastAsia="仿宋_GB2312" w:cs="Times New Roman"/>
          <w:spacing w:val="-1"/>
          <w:lang w:eastAsia="zh-CN"/>
        </w:rPr>
      </w:pPr>
      <w:r>
        <w:rPr>
          <w:rFonts w:hint="default" w:ascii="Times New Roman" w:hAnsi="Times New Roman" w:eastAsia="仿宋_GB2312" w:cs="Times New Roman"/>
          <w:spacing w:val="-1"/>
        </w:rPr>
        <w:t>本部门当年无政府性基金预算财政拨款收入支出</w:t>
      </w:r>
      <w:r>
        <w:rPr>
          <w:rFonts w:hint="eastAsia" w:ascii="Times New Roman" w:hAnsi="Times New Roman" w:eastAsia="仿宋_GB2312" w:cs="Times New Roman"/>
          <w:spacing w:val="-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eastAsia" w:ascii="Times New Roman" w:hAnsi="Times New Roman" w:eastAsia="仿宋_GB2312" w:cs="Times New Roman"/>
          <w:spacing w:val="-1"/>
          <w:lang w:eastAsia="zh-CN"/>
        </w:rPr>
      </w:pPr>
      <w:r>
        <w:rPr>
          <w:rFonts w:hint="default" w:ascii="Times New Roman" w:hAnsi="Times New Roman" w:eastAsia="仿宋_GB2312" w:cs="Times New Roman"/>
          <w:spacing w:val="-1"/>
        </w:rPr>
        <w:t>本部门当年无国有资本经营预算财政拨款支出</w:t>
      </w:r>
      <w:r>
        <w:rPr>
          <w:rFonts w:hint="eastAsia" w:ascii="Times New Roman" w:hAnsi="Times New Roman" w:eastAsia="仿宋_GB2312" w:cs="Times New Roman"/>
          <w:spacing w:val="-1"/>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(一)“三公”经费财政拨款支出决算总体情况说明</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color w:val="000000"/>
          <w:sz w:val="32"/>
          <w:szCs w:val="32"/>
          <w:highlight w:val="yellow"/>
          <w:u w:val="none"/>
          <w:lang w:val="en-US" w:eastAsia="zh-CN"/>
        </w:rPr>
      </w:pPr>
      <w:r>
        <w:rPr>
          <w:rFonts w:hint="eastAsia"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年度“三公”经费财政</w:t>
      </w:r>
      <w:r>
        <w:rPr>
          <w:rFonts w:hint="default" w:ascii="Times New Roman" w:hAnsi="Times New Roman" w:eastAsia="仿宋_GB2312" w:cs="Times New Roman"/>
          <w:color w:val="000000"/>
          <w:sz w:val="32"/>
          <w:szCs w:val="32"/>
          <w:u w:val="none"/>
        </w:rPr>
        <w:t>拨款年初预算数为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万元，支出决算为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万元，完成年初预算的</w:t>
      </w:r>
      <w:r>
        <w:rPr>
          <w:rFonts w:hint="eastAsia" w:ascii="Times New Roman" w:hAnsi="Times New Roman" w:eastAsia="仿宋_GB2312" w:cs="Times New Roman"/>
          <w:color w:val="000000"/>
          <w:sz w:val="32"/>
          <w:szCs w:val="32"/>
          <w:u w:val="none"/>
          <w:lang w:val="en-US" w:eastAsia="zh-CN"/>
        </w:rPr>
        <w:t>100</w:t>
      </w:r>
      <w:r>
        <w:rPr>
          <w:rFonts w:hint="default"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，2024</w:t>
      </w:r>
      <w:r>
        <w:rPr>
          <w:rFonts w:hint="default" w:ascii="Times New Roman" w:hAnsi="Times New Roman" w:eastAsia="仿宋_GB2312" w:cs="Times New Roman"/>
          <w:color w:val="000000"/>
          <w:sz w:val="32"/>
          <w:szCs w:val="32"/>
          <w:u w:val="none"/>
        </w:rPr>
        <w:t>年度“三公”经费财政拨款支出决算数比</w:t>
      </w:r>
      <w:r>
        <w:rPr>
          <w:rFonts w:hint="eastAsia" w:ascii="Times New Roman" w:hAnsi="Times New Roman" w:eastAsia="仿宋_GB2312" w:cs="Times New Roman"/>
          <w:color w:val="000000"/>
          <w:sz w:val="32"/>
          <w:szCs w:val="32"/>
          <w:u w:val="none"/>
          <w:lang w:eastAsia="zh-CN"/>
        </w:rPr>
        <w:t>2023</w:t>
      </w:r>
      <w:r>
        <w:rPr>
          <w:rFonts w:hint="default" w:ascii="Times New Roman" w:hAnsi="Times New Roman" w:eastAsia="仿宋_GB2312" w:cs="Times New Roman"/>
          <w:color w:val="000000"/>
          <w:sz w:val="32"/>
          <w:szCs w:val="32"/>
          <w:u w:val="none"/>
        </w:rPr>
        <w:t>年度</w:t>
      </w:r>
      <w:r>
        <w:rPr>
          <w:rFonts w:hint="eastAsia" w:ascii="Times New Roman" w:hAnsi="Times New Roman" w:eastAsia="仿宋_GB2312" w:cs="Times New Roman"/>
          <w:color w:val="000000"/>
          <w:sz w:val="32"/>
          <w:szCs w:val="32"/>
          <w:u w:val="none"/>
          <w:lang w:val="en-US" w:eastAsia="zh-CN"/>
        </w:rPr>
        <w:t>无增减。</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(二)“三公”经费财政拨款支出决算具体情况说明</w:t>
      </w:r>
    </w:p>
    <w:p>
      <w:pPr>
        <w:keepNext w:val="0"/>
        <w:keepLines w:val="0"/>
        <w:pageBreakBefore w:val="0"/>
        <w:widowControl w:val="0"/>
        <w:numPr>
          <w:ilvl w:val="0"/>
          <w:numId w:val="0"/>
        </w:numPr>
        <w:kinsoku/>
        <w:wordWrap/>
        <w:overflowPunct/>
        <w:topLinePunct w:val="0"/>
        <w:bidi w:val="0"/>
        <w:adjustRightInd w:val="0"/>
        <w:snapToGrid w:val="0"/>
        <w:spacing w:line="580" w:lineRule="exact"/>
        <w:ind w:left="630" w:leftChars="0"/>
        <w:textAlignment w:val="auto"/>
        <w:outlineLvl w:val="9"/>
        <w:rPr>
          <w:rFonts w:hint="default" w:ascii="Times New Roman" w:hAnsi="Times New Roman" w:eastAsia="仿宋_GB2312" w:cs="Times New Roman"/>
          <w:color w:val="000000"/>
          <w:kern w:val="0"/>
          <w:sz w:val="32"/>
          <w:szCs w:val="32"/>
          <w:highlight w:val="yellow"/>
          <w:u w:val="none"/>
          <w:lang w:val="en-US"/>
        </w:rPr>
      </w:pPr>
      <w:r>
        <w:rPr>
          <w:rFonts w:hint="default" w:ascii="Times New Roman" w:hAnsi="Times New Roman" w:eastAsia="仿宋_GB2312" w:cs="Times New Roman"/>
          <w:color w:val="000000"/>
          <w:sz w:val="32"/>
          <w:szCs w:val="32"/>
          <w:u w:val="none"/>
        </w:rPr>
        <w:t>1.因公出国</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境</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 xml:space="preserve">费支出决算为 </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eastAsia" w:ascii="Times New Roman" w:hAnsi="Times New Roman" w:eastAsia="仿宋_GB2312" w:cs="Times New Roman"/>
          <w:color w:val="000000"/>
          <w:sz w:val="32"/>
          <w:szCs w:val="32"/>
          <w:u w:val="none"/>
          <w:lang w:eastAsia="zh-CN"/>
        </w:rPr>
        <w:t>。</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000000"/>
          <w:sz w:val="32"/>
          <w:szCs w:val="32"/>
          <w:highlight w:val="yellow"/>
          <w:u w:val="none"/>
        </w:rPr>
      </w:pPr>
      <w:r>
        <w:rPr>
          <w:rFonts w:hint="default" w:ascii="Times New Roman" w:hAnsi="Times New Roman" w:eastAsia="仿宋_GB2312" w:cs="Times New Roman"/>
          <w:color w:val="000000"/>
          <w:sz w:val="32"/>
          <w:szCs w:val="32"/>
          <w:u w:val="none"/>
        </w:rPr>
        <w:t>2.公务用车购置及运行费支出决算为</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 xml:space="preserve">万元，完成年初预算的 </w:t>
      </w:r>
      <w:r>
        <w:rPr>
          <w:rFonts w:hint="eastAsia" w:ascii="Times New Roman" w:hAnsi="Times New Roman" w:eastAsia="仿宋_GB2312" w:cs="Times New Roman"/>
          <w:color w:val="000000"/>
          <w:sz w:val="32"/>
          <w:szCs w:val="32"/>
          <w:u w:val="none"/>
          <w:lang w:val="en-US" w:eastAsia="zh-CN"/>
        </w:rPr>
        <w:t>100</w:t>
      </w:r>
      <w:r>
        <w:rPr>
          <w:rFonts w:hint="default" w:ascii="Times New Roman" w:hAnsi="Times New Roman" w:eastAsia="仿宋_GB2312" w:cs="Times New Roman"/>
          <w:color w:val="000000"/>
          <w:sz w:val="32"/>
          <w:szCs w:val="32"/>
          <w:u w:val="none"/>
        </w:rPr>
        <w:t>%；其中：</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 xml:space="preserve">公务用车购置费 </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 xml:space="preserve"> 万元</w:t>
      </w:r>
      <w:r>
        <w:rPr>
          <w:rFonts w:hint="eastAsia" w:ascii="Times New Roman" w:hAnsi="Times New Roman" w:eastAsia="仿宋_GB2312"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eastAsia"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公务用车运行费</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万元，完成年初预算的</w:t>
      </w:r>
      <w:r>
        <w:rPr>
          <w:rFonts w:hint="eastAsia" w:ascii="Times New Roman" w:hAnsi="Times New Roman" w:eastAsia="仿宋_GB2312" w:cs="Times New Roman"/>
          <w:color w:val="000000"/>
          <w:sz w:val="32"/>
          <w:szCs w:val="32"/>
          <w:u w:val="none"/>
          <w:lang w:val="en-US" w:eastAsia="zh-CN"/>
        </w:rPr>
        <w:t>100</w:t>
      </w:r>
      <w:r>
        <w:rPr>
          <w:rFonts w:hint="default" w:ascii="Times New Roman" w:hAnsi="Times New Roman" w:eastAsia="仿宋_GB2312" w:cs="Times New Roman"/>
          <w:color w:val="000000"/>
          <w:sz w:val="32"/>
          <w:szCs w:val="32"/>
          <w:u w:val="none"/>
        </w:rPr>
        <w:t>%，比年初预算</w:t>
      </w:r>
      <w:r>
        <w:rPr>
          <w:rFonts w:hint="eastAsia" w:ascii="Times New Roman" w:hAnsi="Times New Roman" w:eastAsia="仿宋_GB2312" w:cs="Times New Roman"/>
          <w:color w:val="000000"/>
          <w:sz w:val="32"/>
          <w:szCs w:val="32"/>
          <w:u w:val="none"/>
          <w:lang w:val="en-US" w:eastAsia="zh-CN"/>
        </w:rPr>
        <w:t>无增减。</w:t>
      </w:r>
    </w:p>
    <w:p>
      <w:pPr>
        <w:keepNext w:val="0"/>
        <w:keepLines w:val="0"/>
        <w:pageBreakBefore w:val="0"/>
        <w:widowControl w:val="0"/>
        <w:numPr>
          <w:ilvl w:val="0"/>
          <w:numId w:val="0"/>
        </w:numPr>
        <w:kinsoku/>
        <w:wordWrap/>
        <w:overflowPunct/>
        <w:topLinePunct w:val="0"/>
        <w:bidi w:val="0"/>
        <w:adjustRightInd w:val="0"/>
        <w:snapToGrid w:val="0"/>
        <w:spacing w:line="580" w:lineRule="exact"/>
        <w:ind w:left="630" w:leftChars="0"/>
        <w:textAlignment w:val="auto"/>
        <w:outlineLvl w:val="9"/>
        <w:rPr>
          <w:rFonts w:hint="default" w:ascii="Times New Roman" w:hAnsi="Times New Roman" w:eastAsia="仿宋_GB2312" w:cs="Times New Roman"/>
          <w:b/>
          <w:bCs/>
          <w:color w:val="000000"/>
          <w:kern w:val="44"/>
          <w:sz w:val="32"/>
          <w:szCs w:val="32"/>
          <w:highlight w:val="yellow"/>
          <w:u w:val="none"/>
        </w:rPr>
      </w:pPr>
      <w:r>
        <w:rPr>
          <w:rFonts w:hint="eastAsia"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rPr>
        <w:t xml:space="preserve">公务接待费支出决算为 </w:t>
      </w:r>
      <w:r>
        <w:rPr>
          <w:rFonts w:hint="eastAsia"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万元</w:t>
      </w:r>
      <w:r>
        <w:rPr>
          <w:rFonts w:hint="eastAsia" w:ascii="Times New Roman" w:hAnsi="Times New Roman" w:eastAsia="仿宋_GB2312" w:cs="Times New Roman"/>
          <w:color w:val="000000"/>
          <w:sz w:val="32"/>
          <w:szCs w:val="32"/>
          <w:u w:val="none"/>
          <w:lang w:eastAsia="zh-CN"/>
        </w:rPr>
        <w:t>。</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color w:val="000000"/>
          <w:lang w:val="en-US" w:eastAsia="zh-CN"/>
        </w:rPr>
      </w:pPr>
      <w:r>
        <w:rPr>
          <w:rFonts w:hint="eastAsia" w:ascii="Times New Roman" w:hAnsi="Times New Roman" w:eastAsia="仿宋_GB2312" w:cs="Times New Roman"/>
          <w:color w:val="000000"/>
          <w:sz w:val="32"/>
          <w:szCs w:val="32"/>
          <w:u w:val="none"/>
          <w:lang w:eastAsia="zh-CN"/>
        </w:rPr>
        <w:t>2024</w:t>
      </w:r>
      <w:r>
        <w:rPr>
          <w:rFonts w:hint="default" w:ascii="Times New Roman" w:hAnsi="Times New Roman" w:eastAsia="仿宋_GB2312" w:cs="Times New Roman"/>
          <w:color w:val="000000"/>
          <w:sz w:val="32"/>
          <w:szCs w:val="32"/>
          <w:u w:val="none"/>
        </w:rPr>
        <w:t>年度“三公”经费财政拨款支出决算数比</w:t>
      </w:r>
      <w:r>
        <w:rPr>
          <w:rFonts w:hint="eastAsia" w:ascii="Times New Roman" w:hAnsi="Times New Roman" w:eastAsia="仿宋_GB2312" w:cs="Times New Roman"/>
          <w:color w:val="000000"/>
          <w:sz w:val="32"/>
          <w:szCs w:val="32"/>
          <w:u w:val="none"/>
          <w:lang w:eastAsia="zh-CN"/>
        </w:rPr>
        <w:t>2023</w:t>
      </w:r>
      <w:r>
        <w:rPr>
          <w:rFonts w:hint="default" w:ascii="Times New Roman" w:hAnsi="Times New Roman" w:eastAsia="仿宋_GB2312" w:cs="Times New Roman"/>
          <w:color w:val="000000"/>
          <w:sz w:val="32"/>
          <w:szCs w:val="32"/>
          <w:u w:val="none"/>
        </w:rPr>
        <w:t>年度</w:t>
      </w:r>
      <w:r>
        <w:rPr>
          <w:rFonts w:hint="eastAsia" w:ascii="Times New Roman" w:hAnsi="Times New Roman" w:eastAsia="仿宋_GB2312" w:cs="Times New Roman"/>
          <w:color w:val="000000"/>
          <w:sz w:val="32"/>
          <w:szCs w:val="32"/>
          <w:u w:val="none"/>
          <w:lang w:val="en-US" w:eastAsia="zh-CN"/>
        </w:rPr>
        <w:t>无增减。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lang w:eastAsia="zh-C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single" w:color="auto"/>
          <w:lang w:eastAsia="zh-CN"/>
        </w:rPr>
        <w:t>武汉市光谷第七小学无</w:t>
      </w:r>
      <w:r>
        <w:rPr>
          <w:rFonts w:hint="default" w:ascii="Times New Roman" w:hAnsi="Times New Roman" w:eastAsia="仿宋_GB2312" w:cs="Times New Roman"/>
        </w:rPr>
        <w:t>机关运行经费</w:t>
      </w:r>
      <w:r>
        <w:rPr>
          <w:rFonts w:hint="eastAsia" w:ascii="Times New Roman" w:hAnsi="Times New Roman" w:eastAsia="仿宋_GB2312" w:cs="Times New Roman"/>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outlineLvl w:val="9"/>
        <w:rPr>
          <w:rFonts w:hint="default" w:ascii="Times New Roman" w:hAnsi="Times New Roman" w:eastAsia="楷体" w:cs="Times New Roman"/>
          <w:bCs/>
          <w:color w:val="000000"/>
          <w:kern w:val="44"/>
          <w:sz w:val="32"/>
          <w:szCs w:val="32"/>
          <w:highlight w:val="yellow"/>
          <w:u w:val="none"/>
        </w:rPr>
      </w:pPr>
      <w:r>
        <w:rPr>
          <w:rFonts w:hint="eastAsia" w:ascii="Times New Roman" w:hAnsi="Times New Roman" w:eastAsia="仿宋_GB2312" w:cs="Times New Roman"/>
          <w:bCs/>
          <w:color w:val="000000"/>
          <w:kern w:val="44"/>
          <w:sz w:val="32"/>
          <w:szCs w:val="32"/>
          <w:highlight w:val="none"/>
          <w:u w:val="none"/>
          <w:lang w:eastAsia="zh-CN"/>
        </w:rPr>
        <w:t>202</w:t>
      </w:r>
      <w:r>
        <w:rPr>
          <w:rFonts w:hint="eastAsia" w:ascii="Times New Roman" w:hAnsi="Times New Roman" w:eastAsia="仿宋_GB2312" w:cs="Times New Roman"/>
          <w:bCs/>
          <w:color w:val="000000"/>
          <w:kern w:val="44"/>
          <w:sz w:val="32"/>
          <w:szCs w:val="32"/>
          <w:highlight w:val="none"/>
          <w:u w:val="none"/>
          <w:lang w:val="en-US" w:eastAsia="zh-CN"/>
        </w:rPr>
        <w:t>4</w:t>
      </w:r>
      <w:r>
        <w:rPr>
          <w:rFonts w:hint="default" w:ascii="Times New Roman" w:hAnsi="Times New Roman" w:eastAsia="仿宋_GB2312" w:cs="Times New Roman"/>
          <w:bCs/>
          <w:color w:val="000000"/>
          <w:kern w:val="44"/>
          <w:sz w:val="32"/>
          <w:szCs w:val="32"/>
          <w:highlight w:val="none"/>
          <w:u w:val="none"/>
        </w:rPr>
        <w:t>年度</w:t>
      </w:r>
      <w:r>
        <w:rPr>
          <w:rFonts w:hint="default" w:ascii="Times New Roman" w:hAnsi="Times New Roman" w:eastAsia="仿宋_GB2312" w:cs="Times New Roman"/>
          <w:bCs/>
          <w:color w:val="000000"/>
          <w:sz w:val="32"/>
          <w:szCs w:val="32"/>
          <w:highlight w:val="none"/>
          <w:u w:val="none"/>
        </w:rPr>
        <w:t>部门名称</w:t>
      </w:r>
      <w:r>
        <w:rPr>
          <w:rFonts w:hint="default" w:ascii="Times New Roman" w:hAnsi="Times New Roman" w:eastAsia="仿宋_GB2312" w:cs="Times New Roman"/>
          <w:bCs/>
          <w:color w:val="000000"/>
          <w:kern w:val="44"/>
          <w:sz w:val="32"/>
          <w:szCs w:val="32"/>
          <w:highlight w:val="none"/>
          <w:u w:val="none"/>
        </w:rPr>
        <w:t>政府采购支出总额</w:t>
      </w:r>
      <w:r>
        <w:rPr>
          <w:rFonts w:hint="eastAsia" w:ascii="Times New Roman" w:hAnsi="Times New Roman" w:eastAsia="仿宋_GB2312" w:cs="Times New Roman"/>
          <w:bCs/>
          <w:color w:val="000000"/>
          <w:kern w:val="44"/>
          <w:sz w:val="32"/>
          <w:szCs w:val="32"/>
          <w:highlight w:val="none"/>
          <w:u w:val="none"/>
          <w:lang w:val="en-US" w:eastAsia="zh-CN"/>
        </w:rPr>
        <w:t>379701.6</w:t>
      </w:r>
      <w:r>
        <w:rPr>
          <w:rFonts w:hint="default" w:ascii="Times New Roman" w:hAnsi="Times New Roman" w:eastAsia="仿宋_GB2312" w:cs="Times New Roman"/>
          <w:bCs/>
          <w:color w:val="000000"/>
          <w:kern w:val="44"/>
          <w:sz w:val="32"/>
          <w:szCs w:val="32"/>
          <w:highlight w:val="none"/>
          <w:u w:val="none"/>
        </w:rPr>
        <w:t>元，其中：政府采购货物支出</w:t>
      </w:r>
      <w:r>
        <w:rPr>
          <w:rFonts w:hint="eastAsia" w:ascii="Times New Roman" w:hAnsi="Times New Roman" w:eastAsia="仿宋_GB2312" w:cs="Times New Roman"/>
          <w:bCs/>
          <w:color w:val="000000"/>
          <w:kern w:val="44"/>
          <w:sz w:val="32"/>
          <w:szCs w:val="32"/>
          <w:highlight w:val="none"/>
          <w:u w:val="none"/>
          <w:lang w:val="en-US" w:eastAsia="zh-CN"/>
        </w:rPr>
        <w:t>179997.6</w:t>
      </w:r>
      <w:r>
        <w:rPr>
          <w:rFonts w:hint="default" w:ascii="Times New Roman" w:hAnsi="Times New Roman" w:eastAsia="仿宋_GB2312" w:cs="Times New Roman"/>
          <w:bCs/>
          <w:color w:val="000000"/>
          <w:kern w:val="44"/>
          <w:sz w:val="32"/>
          <w:szCs w:val="32"/>
          <w:highlight w:val="none"/>
          <w:u w:val="none"/>
        </w:rPr>
        <w:t xml:space="preserve">元、政府采购工程支出 </w:t>
      </w:r>
      <w:r>
        <w:rPr>
          <w:rFonts w:hint="eastAsia" w:ascii="Times New Roman" w:hAnsi="Times New Roman" w:eastAsia="仿宋_GB2312" w:cs="Times New Roman"/>
          <w:bCs/>
          <w:color w:val="000000"/>
          <w:kern w:val="44"/>
          <w:sz w:val="32"/>
          <w:szCs w:val="32"/>
          <w:highlight w:val="none"/>
          <w:u w:val="none"/>
          <w:lang w:val="en-US" w:eastAsia="zh-CN"/>
        </w:rPr>
        <w:t>0</w:t>
      </w:r>
      <w:r>
        <w:rPr>
          <w:rFonts w:hint="default" w:ascii="Times New Roman" w:hAnsi="Times New Roman" w:eastAsia="仿宋_GB2312" w:cs="Times New Roman"/>
          <w:bCs/>
          <w:color w:val="000000"/>
          <w:kern w:val="44"/>
          <w:sz w:val="32"/>
          <w:szCs w:val="32"/>
          <w:highlight w:val="none"/>
          <w:u w:val="none"/>
        </w:rPr>
        <w:t>元、政府采购服务支出</w:t>
      </w:r>
      <w:r>
        <w:rPr>
          <w:rFonts w:hint="eastAsia" w:ascii="Times New Roman" w:hAnsi="Times New Roman" w:eastAsia="仿宋_GB2312" w:cs="Times New Roman"/>
          <w:bCs/>
          <w:color w:val="000000"/>
          <w:kern w:val="44"/>
          <w:sz w:val="32"/>
          <w:szCs w:val="32"/>
          <w:highlight w:val="none"/>
          <w:u w:val="none"/>
          <w:lang w:val="en-US" w:eastAsia="zh-CN"/>
        </w:rPr>
        <w:t>199704</w:t>
      </w:r>
      <w:r>
        <w:rPr>
          <w:rFonts w:hint="default" w:ascii="Times New Roman" w:hAnsi="Times New Roman" w:eastAsia="仿宋_GB2312" w:cs="Times New Roman"/>
          <w:bCs/>
          <w:color w:val="000000"/>
          <w:kern w:val="44"/>
          <w:sz w:val="32"/>
          <w:szCs w:val="32"/>
          <w:highlight w:val="none"/>
          <w:u w:val="none"/>
        </w:rPr>
        <w:t>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黑体" w:cs="Times New Roman"/>
          <w:color w:val="000000"/>
          <w:sz w:val="32"/>
          <w:szCs w:val="32"/>
          <w:highlight w:val="none"/>
          <w:u w:val="none"/>
        </w:rPr>
      </w:pPr>
      <w:r>
        <w:rPr>
          <w:rFonts w:hint="default" w:ascii="Times New Roman" w:hAnsi="Times New Roman" w:eastAsia="仿宋_GB2312" w:cs="Times New Roman"/>
          <w:bCs/>
          <w:color w:val="000000"/>
          <w:kern w:val="44"/>
          <w:sz w:val="32"/>
          <w:szCs w:val="32"/>
          <w:highlight w:val="none"/>
          <w:u w:val="none"/>
        </w:rPr>
        <w:t>截至</w:t>
      </w:r>
      <w:r>
        <w:rPr>
          <w:rFonts w:hint="eastAsia" w:ascii="Times New Roman" w:hAnsi="Times New Roman" w:eastAsia="仿宋_GB2312" w:cs="Times New Roman"/>
          <w:bCs/>
          <w:color w:val="000000"/>
          <w:kern w:val="44"/>
          <w:sz w:val="32"/>
          <w:szCs w:val="32"/>
          <w:highlight w:val="none"/>
          <w:u w:val="none"/>
          <w:lang w:eastAsia="zh-CN"/>
        </w:rPr>
        <w:t>202</w:t>
      </w:r>
      <w:r>
        <w:rPr>
          <w:rFonts w:hint="eastAsia" w:ascii="Times New Roman" w:hAnsi="Times New Roman" w:eastAsia="仿宋_GB2312" w:cs="Times New Roman"/>
          <w:bCs/>
          <w:color w:val="000000"/>
          <w:kern w:val="44"/>
          <w:sz w:val="32"/>
          <w:szCs w:val="32"/>
          <w:highlight w:val="none"/>
          <w:u w:val="none"/>
          <w:lang w:val="en-US" w:eastAsia="zh-CN"/>
        </w:rPr>
        <w:t>4</w:t>
      </w:r>
      <w:r>
        <w:rPr>
          <w:rFonts w:hint="default" w:ascii="Times New Roman" w:hAnsi="Times New Roman" w:eastAsia="仿宋_GB2312" w:cs="Times New Roman"/>
          <w:bCs/>
          <w:color w:val="000000"/>
          <w:kern w:val="44"/>
          <w:sz w:val="32"/>
          <w:szCs w:val="32"/>
          <w:highlight w:val="none"/>
          <w:u w:val="none"/>
        </w:rPr>
        <w:t>年12月31日，</w:t>
      </w:r>
      <w:r>
        <w:rPr>
          <w:rFonts w:hint="eastAsia" w:ascii="Times New Roman" w:hAnsi="Times New Roman" w:eastAsia="仿宋_GB2312" w:cs="Times New Roman"/>
          <w:bCs/>
          <w:color w:val="000000"/>
          <w:sz w:val="32"/>
          <w:szCs w:val="32"/>
          <w:highlight w:val="none"/>
          <w:u w:val="none"/>
          <w:lang w:val="en-US" w:eastAsia="zh-CN"/>
        </w:rPr>
        <w:t>武汉市光谷第七小学</w:t>
      </w:r>
      <w:r>
        <w:rPr>
          <w:rFonts w:hint="default" w:ascii="Times New Roman" w:hAnsi="Times New Roman" w:eastAsia="仿宋_GB2312" w:cs="Times New Roman"/>
          <w:bCs/>
          <w:color w:val="000000"/>
          <w:kern w:val="44"/>
          <w:sz w:val="32"/>
          <w:szCs w:val="32"/>
          <w:highlight w:val="none"/>
          <w:u w:val="none"/>
        </w:rPr>
        <w:t xml:space="preserve">共有车辆 </w:t>
      </w:r>
      <w:r>
        <w:rPr>
          <w:rFonts w:hint="eastAsia" w:ascii="Times New Roman" w:hAnsi="Times New Roman" w:eastAsia="仿宋_GB2312" w:cs="Times New Roman"/>
          <w:bCs/>
          <w:color w:val="000000"/>
          <w:kern w:val="44"/>
          <w:sz w:val="32"/>
          <w:szCs w:val="32"/>
          <w:highlight w:val="none"/>
          <w:u w:val="none"/>
          <w:lang w:val="en-US" w:eastAsia="zh-CN"/>
        </w:rPr>
        <w:t>0</w:t>
      </w:r>
      <w:r>
        <w:rPr>
          <w:rFonts w:hint="default" w:ascii="Times New Roman" w:hAnsi="Times New Roman" w:eastAsia="仿宋_GB2312" w:cs="Times New Roman"/>
          <w:bCs/>
          <w:color w:val="000000"/>
          <w:kern w:val="44"/>
          <w:sz w:val="32"/>
          <w:szCs w:val="32"/>
          <w:highlight w:val="none"/>
          <w:u w:val="none"/>
        </w:rPr>
        <w:t xml:space="preserve"> 辆，单价50 万元(含)以上通用设备 </w:t>
      </w:r>
      <w:r>
        <w:rPr>
          <w:rFonts w:hint="eastAsia" w:ascii="Times New Roman" w:hAnsi="Times New Roman" w:eastAsia="仿宋_GB2312" w:cs="Times New Roman"/>
          <w:bCs/>
          <w:color w:val="000000"/>
          <w:kern w:val="44"/>
          <w:sz w:val="32"/>
          <w:szCs w:val="32"/>
          <w:highlight w:val="none"/>
          <w:u w:val="none"/>
          <w:lang w:val="en-US" w:eastAsia="zh-CN"/>
        </w:rPr>
        <w:t>0</w:t>
      </w:r>
      <w:r>
        <w:rPr>
          <w:rFonts w:hint="default" w:ascii="Times New Roman" w:hAnsi="Times New Roman" w:eastAsia="仿宋_GB2312" w:cs="Times New Roman"/>
          <w:bCs/>
          <w:color w:val="000000"/>
          <w:kern w:val="44"/>
          <w:sz w:val="32"/>
          <w:szCs w:val="32"/>
          <w:highlight w:val="none"/>
          <w:u w:val="none"/>
        </w:rPr>
        <w:t xml:space="preserve"> 台(套)，单价100万元(含)以上专用设备</w:t>
      </w:r>
      <w:r>
        <w:rPr>
          <w:rFonts w:hint="eastAsia" w:ascii="Times New Roman" w:hAnsi="Times New Roman" w:eastAsia="仿宋_GB2312" w:cs="Times New Roman"/>
          <w:bCs/>
          <w:color w:val="000000"/>
          <w:kern w:val="44"/>
          <w:sz w:val="32"/>
          <w:szCs w:val="32"/>
          <w:highlight w:val="none"/>
          <w:u w:val="none"/>
          <w:lang w:val="en-US" w:eastAsia="zh-CN"/>
        </w:rPr>
        <w:t>0</w:t>
      </w:r>
      <w:r>
        <w:rPr>
          <w:rFonts w:hint="default" w:ascii="Times New Roman" w:hAnsi="Times New Roman" w:eastAsia="仿宋_GB2312" w:cs="Times New Roman"/>
          <w:bCs/>
          <w:color w:val="000000"/>
          <w:kern w:val="44"/>
          <w:sz w:val="32"/>
          <w:szCs w:val="32"/>
          <w:highlight w:val="none"/>
          <w:u w:val="none"/>
        </w:rPr>
        <w:t xml:space="preserve"> 台(套)。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eastAsia" w:ascii="FangSong_GB2312" w:hAnsi="FangSong_GB2312" w:eastAsia="FangSong_GB2312"/>
          <w:color w:val="000000"/>
          <w:sz w:val="32"/>
        </w:rPr>
      </w:pPr>
      <w:r>
        <w:rPr>
          <w:rFonts w:hint="default" w:ascii="Times New Roman" w:hAnsi="Times New Roman" w:eastAsia="仿宋" w:cs="Times New Roman"/>
          <w:color w:val="000000"/>
          <w:sz w:val="32"/>
          <w:szCs w:val="32"/>
          <w:lang w:eastAsia="zh-CN"/>
        </w:rPr>
        <w:t>根据预算绩效管理要求，我部门（单位）组织对</w:t>
      </w:r>
      <w:r>
        <w:rPr>
          <w:rFonts w:hint="eastAsia" w:ascii="Times New Roman" w:hAnsi="Times New Roman" w:eastAsia="仿宋" w:cs="Times New Roman"/>
          <w:color w:val="000000"/>
          <w:sz w:val="32"/>
          <w:szCs w:val="32"/>
          <w:lang w:val="en-US" w:eastAsia="zh-CN"/>
        </w:rPr>
        <w:t>2024</w:t>
      </w:r>
      <w:r>
        <w:rPr>
          <w:rFonts w:hint="default" w:ascii="Times New Roman" w:hAnsi="Times New Roman" w:eastAsia="仿宋" w:cs="Times New Roman"/>
          <w:color w:val="000000"/>
          <w:sz w:val="32"/>
          <w:szCs w:val="32"/>
          <w:lang w:val="en-US" w:eastAsia="zh-CN"/>
        </w:rPr>
        <w:t>年度一般公共预算项目支出全面开展绩效自评，共涉及项目</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lang w:val="en-US" w:eastAsia="zh-CN"/>
        </w:rPr>
        <w:t>个，资金</w:t>
      </w:r>
      <w:r>
        <w:rPr>
          <w:rFonts w:hint="eastAsia" w:ascii="Times New Roman" w:hAnsi="Times New Roman" w:eastAsia="仿宋" w:cs="Times New Roman"/>
          <w:color w:val="000000"/>
          <w:sz w:val="32"/>
          <w:szCs w:val="32"/>
          <w:lang w:val="en-US" w:eastAsia="zh-CN"/>
        </w:rPr>
        <w:t>118</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_GB2312" w:cs="Times New Roman"/>
          <w:color w:val="000000"/>
          <w:sz w:val="32"/>
          <w:szCs w:val="32"/>
        </w:rPr>
        <w:t>占一般公共预算项目支出总额的</w:t>
      </w:r>
      <w:r>
        <w:rPr>
          <w:rFonts w:hint="eastAsia"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%。从绩效评价情况来看，</w:t>
      </w:r>
      <w:r>
        <w:rPr>
          <w:rFonts w:hint="eastAsia" w:ascii="FangSong_GB2312" w:hAnsi="FangSong_GB2312" w:eastAsia="FangSong_GB2312"/>
          <w:color w:val="000000"/>
          <w:sz w:val="32"/>
          <w:lang w:eastAsia="zh-CN"/>
        </w:rPr>
        <w:t>武汉市光谷第七小学</w:t>
      </w:r>
      <w:r>
        <w:rPr>
          <w:rFonts w:hint="eastAsia" w:ascii="FangSong_GB2312" w:hAnsi="FangSong_GB2312" w:eastAsia="FangSong_GB2312"/>
          <w:color w:val="000000"/>
          <w:sz w:val="32"/>
          <w:lang w:val="en-US" w:eastAsia="zh-CN"/>
        </w:rPr>
        <w:t>2024</w:t>
      </w:r>
      <w:r>
        <w:rPr>
          <w:rFonts w:hint="eastAsia" w:ascii="FangSong_GB2312" w:hAnsi="FangSong_GB2312" w:eastAsia="FangSong_GB2312"/>
          <w:color w:val="000000"/>
          <w:sz w:val="32"/>
        </w:rPr>
        <w:t>年</w:t>
      </w:r>
      <w:r>
        <w:rPr>
          <w:rFonts w:hint="eastAsia" w:ascii="FangSong_GB2312" w:hAnsi="FangSong_GB2312" w:eastAsia="FangSong_GB2312"/>
          <w:color w:val="000000"/>
          <w:sz w:val="32"/>
          <w:lang w:eastAsia="zh-CN"/>
        </w:rPr>
        <w:t>度</w:t>
      </w:r>
      <w:r>
        <w:rPr>
          <w:rFonts w:hint="eastAsia" w:ascii="FangSong_GB2312" w:hAnsi="FangSong_GB2312" w:eastAsia="FangSong_GB2312"/>
          <w:color w:val="000000"/>
          <w:sz w:val="32"/>
        </w:rPr>
        <w:t>部门支出管理及绩效较好</w:t>
      </w:r>
      <w:r>
        <w:rPr>
          <w:rFonts w:hint="default" w:ascii="Times New Roman" w:hAnsi="Times New Roman" w:eastAsia="仿宋_GB2312" w:cs="Times New Roman"/>
          <w:color w:val="000000"/>
          <w:sz w:val="32"/>
          <w:szCs w:val="32"/>
        </w:rPr>
        <w:t>。</w:t>
      </w:r>
      <w:r>
        <w:rPr>
          <w:rFonts w:hint="eastAsia" w:ascii="FangSong_GB2312" w:hAnsi="FangSong_GB2312" w:eastAsia="FangSong_GB2312"/>
          <w:color w:val="000000"/>
          <w:sz w:val="32"/>
        </w:rPr>
        <w:t>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color w:val="auto"/>
          <w:sz w:val="32"/>
          <w:szCs w:val="32"/>
        </w:rPr>
      </w:pP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二</w:t>
      </w: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部门</w:t>
      </w: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单位</w:t>
      </w:r>
      <w:r>
        <w:rPr>
          <w:rFonts w:hint="eastAsia" w:ascii="Times New Roman" w:hAnsi="Times New Roman" w:eastAsia="楷体_GB2312" w:cs="Times New Roman"/>
          <w:color w:val="auto"/>
          <w:spacing w:val="-5"/>
          <w:sz w:val="32"/>
          <w:szCs w:val="32"/>
          <w:lang w:eastAsia="zh-CN"/>
        </w:rPr>
        <w:t>）</w:t>
      </w:r>
      <w:r>
        <w:rPr>
          <w:rFonts w:hint="default" w:ascii="Times New Roman" w:hAnsi="Times New Roman" w:eastAsia="楷体_GB2312" w:cs="Times New Roman"/>
          <w:color w:val="auto"/>
          <w:spacing w:val="-5"/>
          <w:sz w:val="32"/>
          <w:szCs w:val="32"/>
        </w:rPr>
        <w:t>整体支出自评结果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3"/>
        </w:rPr>
        <w:t>我部门</w:t>
      </w:r>
      <w:r>
        <w:rPr>
          <w:rFonts w:hint="default" w:ascii="Times New Roman" w:hAnsi="Times New Roman" w:eastAsia="仿宋_GB2312" w:cs="Times New Roman"/>
          <w:color w:val="auto"/>
          <w:spacing w:val="-70"/>
        </w:rPr>
        <w:t xml:space="preserve"> </w:t>
      </w:r>
      <w:r>
        <w:rPr>
          <w:rFonts w:hint="eastAsia" w:ascii="Times New Roman" w:hAnsi="Times New Roman" w:eastAsia="仿宋_GB2312" w:cs="Times New Roman"/>
          <w:color w:val="auto"/>
          <w:spacing w:val="-3"/>
          <w:lang w:eastAsia="zh-CN"/>
        </w:rPr>
        <w:t>（</w:t>
      </w:r>
      <w:r>
        <w:rPr>
          <w:rFonts w:hint="default" w:ascii="Times New Roman" w:hAnsi="Times New Roman" w:eastAsia="仿宋_GB2312" w:cs="Times New Roman"/>
          <w:color w:val="auto"/>
          <w:spacing w:val="-3"/>
        </w:rPr>
        <w:t>单位</w:t>
      </w:r>
      <w:r>
        <w:rPr>
          <w:rFonts w:hint="eastAsia" w:ascii="Times New Roman" w:hAnsi="Times New Roman" w:eastAsia="仿宋_GB2312" w:cs="Times New Roman"/>
          <w:color w:val="auto"/>
          <w:spacing w:val="-3"/>
          <w:lang w:eastAsia="zh-CN"/>
        </w:rPr>
        <w:t>）</w:t>
      </w:r>
      <w:r>
        <w:rPr>
          <w:rFonts w:hint="default" w:ascii="Times New Roman" w:hAnsi="Times New Roman" w:eastAsia="仿宋_GB2312" w:cs="Times New Roman"/>
          <w:color w:val="auto"/>
          <w:spacing w:val="-3"/>
        </w:rPr>
        <w:t>组织对</w:t>
      </w:r>
      <w:r>
        <w:rPr>
          <w:rFonts w:hint="default" w:ascii="Times New Roman" w:hAnsi="Times New Roman" w:eastAsia="仿宋_GB2312" w:cs="Times New Roman"/>
          <w:color w:val="auto"/>
          <w:spacing w:val="-151"/>
        </w:rPr>
        <w:t xml:space="preserve"> </w:t>
      </w:r>
      <w:r>
        <w:rPr>
          <w:rFonts w:hint="default" w:ascii="Times New Roman" w:hAnsi="Times New Roman" w:eastAsia="仿宋_GB2312" w:cs="Times New Roman"/>
          <w:color w:val="auto"/>
          <w:spacing w:val="7"/>
          <w:u w:val="single" w:color="auto"/>
        </w:rPr>
        <w:t xml:space="preserve"> </w:t>
      </w:r>
      <w:r>
        <w:rPr>
          <w:rFonts w:hint="eastAsia" w:ascii="Times New Roman" w:hAnsi="Times New Roman" w:eastAsia="仿宋_GB2312" w:cs="Times New Roman"/>
          <w:color w:val="auto"/>
          <w:spacing w:val="7"/>
          <w:u w:val="single" w:color="auto"/>
          <w:lang w:val="en-US" w:eastAsia="zh-CN"/>
        </w:rPr>
        <w:t>1</w:t>
      </w:r>
      <w:r>
        <w:rPr>
          <w:rFonts w:hint="default" w:ascii="Times New Roman" w:hAnsi="Times New Roman" w:eastAsia="仿宋_GB2312" w:cs="Times New Roman"/>
          <w:color w:val="auto"/>
          <w:spacing w:val="-3"/>
        </w:rPr>
        <w:t>个部门</w:t>
      </w:r>
      <w:r>
        <w:rPr>
          <w:rFonts w:hint="default" w:ascii="Times New Roman" w:hAnsi="Times New Roman" w:eastAsia="仿宋_GB2312" w:cs="Times New Roman"/>
          <w:color w:val="auto"/>
          <w:spacing w:val="-75"/>
        </w:rPr>
        <w:t xml:space="preserve"> </w:t>
      </w:r>
      <w:r>
        <w:rPr>
          <w:rFonts w:hint="eastAsia" w:ascii="Times New Roman" w:hAnsi="Times New Roman" w:eastAsia="仿宋_GB2312" w:cs="Times New Roman"/>
          <w:color w:val="auto"/>
          <w:spacing w:val="-3"/>
          <w:lang w:eastAsia="zh-CN"/>
        </w:rPr>
        <w:t>（</w:t>
      </w:r>
      <w:r>
        <w:rPr>
          <w:rFonts w:hint="default" w:ascii="Times New Roman" w:hAnsi="Times New Roman" w:eastAsia="仿宋_GB2312" w:cs="Times New Roman"/>
          <w:color w:val="auto"/>
          <w:spacing w:val="-3"/>
        </w:rPr>
        <w:t>单位</w:t>
      </w:r>
      <w:r>
        <w:rPr>
          <w:rFonts w:hint="eastAsia" w:ascii="Times New Roman" w:hAnsi="Times New Roman" w:eastAsia="仿宋_GB2312" w:cs="Times New Roman"/>
          <w:color w:val="auto"/>
          <w:spacing w:val="-3"/>
          <w:lang w:eastAsia="zh-CN"/>
        </w:rPr>
        <w:t>）</w:t>
      </w:r>
      <w:r>
        <w:rPr>
          <w:rFonts w:hint="default" w:ascii="Times New Roman" w:hAnsi="Times New Roman" w:eastAsia="仿宋_GB2312" w:cs="Times New Roman"/>
          <w:color w:val="auto"/>
          <w:spacing w:val="-3"/>
        </w:rPr>
        <w:t>开展整体支出绩</w:t>
      </w:r>
      <w:r>
        <w:rPr>
          <w:rFonts w:hint="default" w:ascii="Times New Roman" w:hAnsi="Times New Roman" w:eastAsia="仿宋_GB2312" w:cs="Times New Roman"/>
          <w:color w:val="auto"/>
          <w:spacing w:val="-7"/>
        </w:rPr>
        <w:t>效自评，资金</w:t>
      </w:r>
      <w:r>
        <w:rPr>
          <w:rFonts w:hint="eastAsia" w:ascii="Times New Roman" w:hAnsi="Times New Roman" w:eastAsia="仿宋_GB2312" w:cs="Times New Roman"/>
          <w:color w:val="auto"/>
          <w:spacing w:val="-5"/>
          <w:u w:val="single" w:color="auto"/>
          <w:lang w:val="en-US" w:eastAsia="zh-CN"/>
        </w:rPr>
        <w:t>2789.09</w:t>
      </w:r>
      <w:r>
        <w:rPr>
          <w:rFonts w:hint="default" w:ascii="Times New Roman" w:hAnsi="Times New Roman" w:eastAsia="仿宋_GB2312" w:cs="Times New Roman"/>
          <w:color w:val="auto"/>
          <w:spacing w:val="-130"/>
        </w:rPr>
        <w:t xml:space="preserve"> </w:t>
      </w:r>
      <w:r>
        <w:rPr>
          <w:rFonts w:hint="default" w:ascii="Times New Roman" w:hAnsi="Times New Roman" w:eastAsia="仿宋_GB2312" w:cs="Times New Roman"/>
          <w:color w:val="auto"/>
          <w:spacing w:val="-7"/>
        </w:rPr>
        <w:t>万元，从评价情况来看</w:t>
      </w:r>
      <w:r>
        <w:rPr>
          <w:rFonts w:hint="default" w:ascii="Times New Roman" w:hAnsi="Times New Roman" w:eastAsia="仿宋_GB2312" w:cs="Times New Roman"/>
          <w:color w:val="auto"/>
          <w:sz w:val="32"/>
          <w:szCs w:val="32"/>
        </w:rPr>
        <w:t>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306" w:firstLineChars="100"/>
        <w:rPr>
          <w:rFonts w:hint="default" w:ascii="Times New Roman" w:hAnsi="Times New Roman" w:eastAsia="楷体_GB2312" w:cs="Times New Roman"/>
          <w:color w:val="auto"/>
          <w:sz w:val="32"/>
          <w:szCs w:val="32"/>
        </w:rPr>
      </w:pPr>
      <w:r>
        <w:rPr>
          <w:rFonts w:hint="eastAsia" w:ascii="Times New Roman" w:hAnsi="Times New Roman" w:eastAsia="楷体_GB2312" w:cs="Times New Roman"/>
          <w:color w:val="auto"/>
          <w:spacing w:val="-7"/>
          <w:sz w:val="32"/>
          <w:szCs w:val="32"/>
          <w:lang w:eastAsia="zh-CN"/>
        </w:rPr>
        <w:t>（</w:t>
      </w:r>
      <w:r>
        <w:rPr>
          <w:rFonts w:hint="default" w:ascii="Times New Roman" w:hAnsi="Times New Roman" w:eastAsia="楷体_GB2312" w:cs="Times New Roman"/>
          <w:color w:val="auto"/>
          <w:spacing w:val="-7"/>
          <w:sz w:val="32"/>
          <w:szCs w:val="32"/>
        </w:rPr>
        <w:t>三</w:t>
      </w:r>
      <w:r>
        <w:rPr>
          <w:rFonts w:hint="eastAsia" w:ascii="Times New Roman" w:hAnsi="Times New Roman" w:eastAsia="楷体_GB2312" w:cs="Times New Roman"/>
          <w:color w:val="auto"/>
          <w:spacing w:val="-7"/>
          <w:sz w:val="32"/>
          <w:szCs w:val="32"/>
          <w:lang w:eastAsia="zh-CN"/>
        </w:rPr>
        <w:t>）</w:t>
      </w:r>
      <w:r>
        <w:rPr>
          <w:rFonts w:hint="default" w:ascii="Times New Roman" w:hAnsi="Times New Roman" w:eastAsia="楷体_GB2312" w:cs="Times New Roman"/>
          <w:color w:val="auto"/>
          <w:spacing w:val="-7"/>
          <w:sz w:val="32"/>
          <w:szCs w:val="32"/>
        </w:rPr>
        <w:t>项目支出自评结果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rPr>
        <w:t>我部门</w:t>
      </w:r>
      <w:r>
        <w:rPr>
          <w:rFonts w:hint="default" w:ascii="Times New Roman" w:hAnsi="Times New Roman" w:eastAsia="仿宋_GB2312" w:cs="Times New Roman"/>
          <w:color w:val="auto"/>
          <w:spacing w:val="-68"/>
        </w:rPr>
        <w:t xml:space="preserve"> </w:t>
      </w:r>
      <w:r>
        <w:rPr>
          <w:rFonts w:hint="eastAsia"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单位</w:t>
      </w:r>
      <w:r>
        <w:rPr>
          <w:rFonts w:hint="eastAsia"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在</w:t>
      </w:r>
      <w:r>
        <w:rPr>
          <w:rFonts w:hint="default" w:ascii="Times New Roman" w:hAnsi="Times New Roman" w:eastAsia="仿宋_GB2312" w:cs="Times New Roman"/>
          <w:color w:val="auto"/>
          <w:spacing w:val="-54"/>
        </w:rPr>
        <w:t xml:space="preserve"> </w:t>
      </w:r>
      <w:r>
        <w:rPr>
          <w:rFonts w:hint="default" w:ascii="Times New Roman" w:hAnsi="Times New Roman" w:eastAsia="仿宋_GB2312" w:cs="Times New Roman"/>
          <w:color w:val="auto"/>
          <w:spacing w:val="-4"/>
        </w:rPr>
        <w:t>202</w:t>
      </w:r>
      <w:r>
        <w:rPr>
          <w:rFonts w:hint="eastAsia" w:ascii="Times New Roman" w:hAnsi="Times New Roman" w:eastAsia="仿宋_GB2312" w:cs="Times New Roman"/>
          <w:color w:val="auto"/>
          <w:spacing w:val="-4"/>
          <w:lang w:val="en-US" w:eastAsia="zh-CN"/>
        </w:rPr>
        <w:t>4</w:t>
      </w:r>
      <w:r>
        <w:rPr>
          <w:rFonts w:hint="default" w:ascii="Times New Roman" w:hAnsi="Times New Roman" w:eastAsia="仿宋_GB2312" w:cs="Times New Roman"/>
          <w:color w:val="auto"/>
          <w:spacing w:val="-4"/>
        </w:rPr>
        <w:t>年度部门决算中反映所有项目绩效自</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spacing w:val="-1"/>
        </w:rPr>
        <w:t>评结果</w:t>
      </w:r>
      <w:r>
        <w:rPr>
          <w:rFonts w:hint="eastAsia" w:ascii="Times New Roman" w:hAnsi="Times New Roman" w:eastAsia="仿宋_GB2312" w:cs="Times New Roman"/>
          <w:color w:val="auto"/>
          <w:spacing w:val="-1"/>
          <w:lang w:eastAsia="zh-CN"/>
        </w:rPr>
        <w:t>（</w:t>
      </w:r>
      <w:r>
        <w:rPr>
          <w:rFonts w:hint="default" w:ascii="Times New Roman" w:hAnsi="Times New Roman" w:eastAsia="仿宋_GB2312" w:cs="Times New Roman"/>
          <w:color w:val="auto"/>
          <w:spacing w:val="-1"/>
        </w:rPr>
        <w:t>不包括涉密项目</w:t>
      </w:r>
      <w:r>
        <w:rPr>
          <w:rFonts w:hint="eastAsia" w:ascii="Times New Roman" w:hAnsi="Times New Roman" w:eastAsia="仿宋_GB2312" w:cs="Times New Roman"/>
          <w:color w:val="auto"/>
          <w:spacing w:val="-1"/>
          <w:lang w:eastAsia="zh-CN"/>
        </w:rPr>
        <w:t>）</w:t>
      </w:r>
      <w:r>
        <w:rPr>
          <w:rFonts w:hint="default" w:ascii="Times New Roman" w:hAnsi="Times New Roman" w:eastAsia="仿宋_GB2312" w:cs="Times New Roman"/>
          <w:color w:val="auto"/>
          <w:spacing w:val="-1"/>
        </w:rPr>
        <w:t>，共涉及</w:t>
      </w:r>
      <w:r>
        <w:rPr>
          <w:rFonts w:hint="eastAsia" w:ascii="Times New Roman" w:hAnsi="Times New Roman" w:eastAsia="仿宋_GB2312" w:cs="Times New Roman"/>
          <w:color w:val="auto"/>
          <w:spacing w:val="-1"/>
          <w:u w:val="single" w:color="auto"/>
          <w:lang w:val="en-US" w:eastAsia="zh-CN"/>
        </w:rPr>
        <w:t>3</w:t>
      </w:r>
      <w:r>
        <w:rPr>
          <w:rFonts w:hint="default" w:ascii="Times New Roman" w:hAnsi="Times New Roman" w:eastAsia="仿宋_GB2312" w:cs="Times New Roman"/>
          <w:color w:val="auto"/>
          <w:spacing w:val="-1"/>
        </w:rPr>
        <w:t>个一级项目</w:t>
      </w:r>
      <w:r>
        <w:rPr>
          <w:rFonts w:hint="eastAsia" w:ascii="Times New Roman" w:hAnsi="Times New Roman" w:eastAsia="仿宋_GB2312" w:cs="Times New Roman"/>
          <w:color w:val="auto"/>
          <w:spacing w:val="-1"/>
          <w:lang w:eastAsia="zh-CN"/>
        </w:rPr>
        <w:t>，</w:t>
      </w:r>
      <w:r>
        <w:rPr>
          <w:rFonts w:hint="default" w:ascii="Times New Roman" w:hAnsi="Times New Roman" w:eastAsia="仿宋_GB2312" w:cs="Times New Roman"/>
          <w:color w:val="auto"/>
          <w:sz w:val="32"/>
          <w:szCs w:val="32"/>
        </w:rPr>
        <w:t>从评价情况来看，在产出方面，绩效目标完成率较高；在效益方面，整体工作具有较好的社会效益，服务对象满意度高。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320" w:firstLineChars="1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outlineLvl w:val="9"/>
        <w:rPr>
          <w:rFonts w:hint="default"/>
          <w:color w:val="000000"/>
        </w:rPr>
      </w:pPr>
      <w:r>
        <w:rPr>
          <w:rFonts w:hint="eastAsia" w:ascii="Times New Roman" w:hAnsi="Times New Roman" w:eastAsia="仿宋" w:cs="Times New Roman"/>
          <w:color w:val="000000"/>
          <w:sz w:val="32"/>
          <w:szCs w:val="32"/>
          <w:lang w:val="en-US" w:eastAsia="zh-CN"/>
        </w:rPr>
        <w:t>武汉市光谷第七小学</w:t>
      </w:r>
      <w:r>
        <w:rPr>
          <w:rFonts w:hint="default" w:ascii="Times New Roman" w:hAnsi="Times New Roman" w:eastAsia="仿宋" w:cs="Times New Roman"/>
          <w:color w:val="000000"/>
          <w:sz w:val="32"/>
          <w:szCs w:val="32"/>
          <w:lang w:val="en-US" w:eastAsia="zh-CN"/>
        </w:rPr>
        <w:t>绩效评价结果应用情况。加强</w:t>
      </w:r>
      <w:r>
        <w:rPr>
          <w:rFonts w:hint="eastAsia" w:ascii="Times New Roman" w:hAnsi="Times New Roman" w:eastAsia="仿宋" w:cs="Times New Roman"/>
          <w:color w:val="000000"/>
          <w:sz w:val="32"/>
          <w:szCs w:val="32"/>
          <w:lang w:val="en-US" w:eastAsia="zh-CN"/>
        </w:rPr>
        <w:t>了</w:t>
      </w:r>
      <w:r>
        <w:rPr>
          <w:rFonts w:hint="default" w:ascii="Times New Roman" w:hAnsi="Times New Roman" w:eastAsia="仿宋" w:cs="Times New Roman"/>
          <w:color w:val="000000"/>
          <w:sz w:val="32"/>
          <w:szCs w:val="32"/>
          <w:lang w:val="en-US" w:eastAsia="zh-CN"/>
        </w:rPr>
        <w:t>项目规划、绩效目标管理，完善</w:t>
      </w:r>
      <w:r>
        <w:rPr>
          <w:rFonts w:hint="eastAsia" w:ascii="Times New Roman" w:hAnsi="Times New Roman" w:eastAsia="仿宋" w:cs="Times New Roman"/>
          <w:color w:val="000000"/>
          <w:sz w:val="32"/>
          <w:szCs w:val="32"/>
          <w:lang w:val="en-US" w:eastAsia="zh-CN"/>
        </w:rPr>
        <w:t>了</w:t>
      </w:r>
      <w:r>
        <w:rPr>
          <w:rFonts w:hint="default" w:ascii="Times New Roman" w:hAnsi="Times New Roman" w:eastAsia="仿宋" w:cs="Times New Roman"/>
          <w:color w:val="000000"/>
          <w:sz w:val="32"/>
          <w:szCs w:val="32"/>
          <w:lang w:val="en-US" w:eastAsia="zh-CN"/>
        </w:rPr>
        <w:t>项目分配和管理办法、加强</w:t>
      </w:r>
      <w:r>
        <w:rPr>
          <w:rFonts w:hint="eastAsia" w:ascii="Times New Roman" w:hAnsi="Times New Roman" w:eastAsia="仿宋" w:cs="Times New Roman"/>
          <w:color w:val="000000"/>
          <w:sz w:val="32"/>
          <w:szCs w:val="32"/>
          <w:lang w:val="en-US" w:eastAsia="zh-CN"/>
        </w:rPr>
        <w:t>了</w:t>
      </w:r>
      <w:r>
        <w:rPr>
          <w:rFonts w:hint="default" w:ascii="Times New Roman" w:hAnsi="Times New Roman" w:eastAsia="仿宋" w:cs="Times New Roman"/>
          <w:color w:val="000000"/>
          <w:sz w:val="32"/>
          <w:szCs w:val="32"/>
          <w:lang w:val="en-US" w:eastAsia="zh-CN"/>
        </w:rPr>
        <w:t>项目管理。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872" w:firstLineChars="200"/>
        <w:jc w:val="both"/>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pPr>
        <w:spacing w:line="249" w:lineRule="auto"/>
        <w:rPr>
          <w:rFonts w:hint="default" w:ascii="Times New Roman" w:hAnsi="Times New Roman" w:cs="Times New Roman"/>
          <w:sz w:val="21"/>
        </w:rPr>
      </w:pPr>
    </w:p>
    <w:p>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一、重点工作事项标题</w:t>
      </w:r>
    </w:p>
    <w:p>
      <w:pPr>
        <w:pageBreakBefore w:val="0"/>
        <w:widowControl w:val="0"/>
        <w:kinsoku/>
        <w:wordWrap/>
        <w:overflowPunct/>
        <w:topLinePunct w:val="0"/>
        <w:bidi w:val="0"/>
        <w:adjustRightInd w:val="0"/>
        <w:snapToGrid w:val="0"/>
        <w:spacing w:line="360" w:lineRule="auto"/>
        <w:ind w:firstLine="960" w:firstLineChars="300"/>
        <w:jc w:val="left"/>
        <w:textAlignment w:val="auto"/>
        <w:rPr>
          <w:rFonts w:hint="eastAsia" w:ascii="宋体" w:hAnsi="宋体" w:eastAsia="宋体" w:cs="宋体"/>
          <w:b w:val="0"/>
          <w:bCs w:val="0"/>
          <w:sz w:val="32"/>
        </w:rPr>
      </w:pPr>
      <w:r>
        <w:rPr>
          <w:rFonts w:hint="eastAsia" w:ascii="宋体" w:hAnsi="宋体" w:eastAsia="宋体" w:cs="宋体"/>
          <w:b w:val="0"/>
          <w:bCs w:val="0"/>
          <w:sz w:val="32"/>
        </w:rPr>
        <w:t>推进</w:t>
      </w:r>
      <w:r>
        <w:rPr>
          <w:rFonts w:hint="eastAsia" w:ascii="宋体" w:hAnsi="宋体" w:cs="宋体"/>
          <w:b w:val="0"/>
          <w:bCs w:val="0"/>
          <w:sz w:val="32"/>
          <w:lang w:eastAsia="zh-CN"/>
        </w:rPr>
        <w:t>新</w:t>
      </w:r>
      <w:r>
        <w:rPr>
          <w:rFonts w:hint="eastAsia" w:ascii="宋体" w:hAnsi="宋体" w:eastAsia="宋体" w:cs="宋体"/>
          <w:b w:val="0"/>
          <w:bCs w:val="0"/>
          <w:sz w:val="32"/>
        </w:rPr>
        <w:t>课堂工程建设，提升学生综合素质</w:t>
      </w:r>
    </w:p>
    <w:p>
      <w:pPr>
        <w:pageBreakBefore w:val="0"/>
        <w:widowControl w:val="0"/>
        <w:kinsoku/>
        <w:wordWrap/>
        <w:overflowPunct/>
        <w:topLinePunct w:val="0"/>
        <w:bidi w:val="0"/>
        <w:adjustRightInd w:val="0"/>
        <w:snapToGrid w:val="0"/>
        <w:spacing w:line="360" w:lineRule="auto"/>
        <w:ind w:firstLine="960" w:firstLineChars="300"/>
        <w:jc w:val="left"/>
        <w:textAlignment w:val="auto"/>
        <w:rPr>
          <w:rFonts w:hint="eastAsia" w:ascii="宋体" w:hAnsi="宋体" w:eastAsia="宋体" w:cs="宋体"/>
          <w:b w:val="0"/>
          <w:bCs w:val="0"/>
          <w:kern w:val="2"/>
          <w:sz w:val="32"/>
          <w:szCs w:val="22"/>
          <w:lang w:val="en-US" w:eastAsia="zh-CN" w:bidi="ar-SA"/>
        </w:rPr>
      </w:pPr>
      <w:r>
        <w:rPr>
          <w:rFonts w:hint="eastAsia" w:ascii="宋体" w:hAnsi="宋体" w:eastAsia="宋体" w:cs="宋体"/>
          <w:b w:val="0"/>
          <w:bCs w:val="0"/>
          <w:kern w:val="2"/>
          <w:sz w:val="32"/>
          <w:szCs w:val="22"/>
          <w:lang w:val="en-US" w:eastAsia="zh-CN" w:bidi="ar-SA"/>
        </w:rPr>
        <w:t>做好后勤服务与保障工作，抓好综治安全稳定工作</w:t>
      </w:r>
    </w:p>
    <w:p>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二、重点工作事项标题</w:t>
      </w:r>
    </w:p>
    <w:p>
      <w:pPr>
        <w:pageBreakBefore w:val="0"/>
        <w:widowControl w:val="0"/>
        <w:kinsoku/>
        <w:wordWrap/>
        <w:overflowPunct/>
        <w:topLinePunct w:val="0"/>
        <w:bidi w:val="0"/>
        <w:adjustRightInd w:val="0"/>
        <w:snapToGrid w:val="0"/>
        <w:spacing w:line="360" w:lineRule="auto"/>
        <w:textAlignment w:val="auto"/>
        <w:rPr>
          <w:rFonts w:hint="default" w:ascii="Times New Roman" w:hAnsi="Times New Roman" w:eastAsia="黑体" w:cs="Times New Roman"/>
          <w:sz w:val="32"/>
          <w:szCs w:val="32"/>
          <w:highlight w:val="none"/>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818"/>
        <w:gridCol w:w="277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311"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序号</w:t>
            </w:r>
          </w:p>
        </w:tc>
        <w:tc>
          <w:tcPr>
            <w:tcW w:w="1818"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highlight w:val="none"/>
              </w:rPr>
              <w:t>重要事项</w:t>
            </w:r>
          </w:p>
        </w:tc>
        <w:tc>
          <w:tcPr>
            <w:tcW w:w="2777"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highlight w:val="none"/>
              </w:rPr>
              <w:t>工作内容及目标</w:t>
            </w:r>
          </w:p>
        </w:tc>
        <w:tc>
          <w:tcPr>
            <w:tcW w:w="2616"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trPr>
        <w:tc>
          <w:tcPr>
            <w:tcW w:w="1311"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p>
        </w:tc>
        <w:tc>
          <w:tcPr>
            <w:tcW w:w="1818"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仿宋_GB2312" w:cs="Times New Roman"/>
                <w:sz w:val="32"/>
                <w:szCs w:val="22"/>
                <w:highlight w:val="none"/>
              </w:rPr>
            </w:pPr>
            <w:r>
              <w:rPr>
                <w:rFonts w:hint="eastAsia" w:ascii="Times New Roman" w:hAnsi="Times New Roman" w:eastAsia="仿宋_GB2312" w:cs="Times New Roman"/>
                <w:sz w:val="32"/>
                <w:szCs w:val="22"/>
                <w:highlight w:val="none"/>
              </w:rPr>
              <w:t>推进高效课堂提升学生综合素质</w:t>
            </w:r>
          </w:p>
        </w:tc>
        <w:tc>
          <w:tcPr>
            <w:tcW w:w="2777"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仿宋_GB2312" w:cs="Times New Roman"/>
                <w:sz w:val="32"/>
                <w:szCs w:val="22"/>
                <w:highlight w:val="none"/>
              </w:rPr>
            </w:pPr>
            <w:r>
              <w:rPr>
                <w:rFonts w:hint="eastAsia" w:ascii="Times New Roman" w:hAnsi="Times New Roman" w:eastAsia="仿宋_GB2312" w:cs="Times New Roman"/>
                <w:sz w:val="32"/>
                <w:szCs w:val="22"/>
                <w:highlight w:val="none"/>
              </w:rPr>
              <w:t>推进高效课堂提升学生综合素质</w:t>
            </w:r>
          </w:p>
        </w:tc>
        <w:tc>
          <w:tcPr>
            <w:tcW w:w="2616"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仿宋_GB2312" w:cs="Times New Roman"/>
                <w:sz w:val="32"/>
                <w:szCs w:val="22"/>
                <w:highlight w:val="none"/>
                <w:lang w:val="en-US" w:eastAsia="zh-CN"/>
              </w:rPr>
            </w:pPr>
            <w:r>
              <w:rPr>
                <w:rFonts w:hint="eastAsia" w:ascii="Times New Roman" w:hAnsi="Times New Roman" w:eastAsia="仿宋_GB2312" w:cs="Times New Roman"/>
                <w:sz w:val="32"/>
                <w:szCs w:val="22"/>
                <w:highlight w:val="none"/>
                <w:lang w:val="en-US" w:eastAsia="zh-CN"/>
              </w:rPr>
              <w:t>光谷七小严格执行课程计划，聘请专家下校指导工作，开展经典诵读活动。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trPr>
        <w:tc>
          <w:tcPr>
            <w:tcW w:w="1311"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sz w:val="32"/>
                <w:szCs w:val="32"/>
                <w:highlight w:val="none"/>
                <w:lang w:eastAsia="zh-CN"/>
              </w:rPr>
            </w:pPr>
            <w:r>
              <w:rPr>
                <w:rFonts w:hint="eastAsia" w:ascii="Times New Roman" w:hAnsi="Times New Roman" w:eastAsia="仿宋_GB2312" w:cs="Times New Roman"/>
                <w:sz w:val="32"/>
                <w:szCs w:val="22"/>
                <w:highlight w:val="none"/>
                <w:lang w:val="en-US" w:eastAsia="zh-CN"/>
              </w:rPr>
              <w:t>2</w:t>
            </w:r>
          </w:p>
        </w:tc>
        <w:tc>
          <w:tcPr>
            <w:tcW w:w="1818"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仿宋_GB2312" w:cs="Times New Roman"/>
                <w:sz w:val="32"/>
                <w:szCs w:val="22"/>
                <w:highlight w:val="none"/>
              </w:rPr>
            </w:pPr>
            <w:r>
              <w:rPr>
                <w:rFonts w:hint="eastAsia" w:ascii="Times New Roman" w:hAnsi="Times New Roman" w:eastAsia="仿宋_GB2312" w:cs="Times New Roman"/>
                <w:sz w:val="32"/>
                <w:szCs w:val="22"/>
                <w:highlight w:val="none"/>
              </w:rPr>
              <w:t>做好后勤服务与保障工作，抓好综治安全稳定工作</w:t>
            </w:r>
          </w:p>
        </w:tc>
        <w:tc>
          <w:tcPr>
            <w:tcW w:w="2777"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仿宋_GB2312" w:cs="Times New Roman"/>
                <w:sz w:val="32"/>
                <w:szCs w:val="22"/>
                <w:highlight w:val="none"/>
                <w:lang w:eastAsia="zh-CN"/>
              </w:rPr>
            </w:pPr>
            <w:r>
              <w:rPr>
                <w:rFonts w:hint="eastAsia" w:ascii="Times New Roman" w:hAnsi="Times New Roman" w:eastAsia="仿宋_GB2312" w:cs="Times New Roman"/>
                <w:sz w:val="32"/>
                <w:szCs w:val="22"/>
                <w:highlight w:val="none"/>
              </w:rPr>
              <w:t>做好后勤服务与保障工作，抓好综治安全稳定工作。</w:t>
            </w:r>
          </w:p>
          <w:p>
            <w:pPr>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仿宋_GB2312" w:cs="Times New Roman"/>
                <w:sz w:val="32"/>
                <w:szCs w:val="22"/>
                <w:highlight w:val="none"/>
              </w:rPr>
            </w:pPr>
          </w:p>
        </w:tc>
        <w:tc>
          <w:tcPr>
            <w:tcW w:w="2616"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仿宋_GB2312" w:cs="Times New Roman"/>
                <w:sz w:val="32"/>
                <w:szCs w:val="22"/>
                <w:highlight w:val="none"/>
              </w:rPr>
            </w:pPr>
            <w:r>
              <w:rPr>
                <w:rFonts w:hint="eastAsia" w:ascii="Times New Roman" w:hAnsi="Times New Roman" w:eastAsia="仿宋_GB2312" w:cs="Times New Roman"/>
                <w:sz w:val="32"/>
                <w:szCs w:val="22"/>
                <w:highlight w:val="none"/>
              </w:rPr>
              <w:t>做好后勤服务与保障工作，全年无重大校园安全事故</w:t>
            </w:r>
            <w:r>
              <w:rPr>
                <w:rFonts w:hint="eastAsia" w:ascii="Times New Roman" w:hAnsi="Times New Roman" w:eastAsia="仿宋_GB2312" w:cs="Times New Roman"/>
                <w:sz w:val="32"/>
                <w:szCs w:val="22"/>
                <w:highlight w:val="none"/>
                <w:lang w:eastAsia="zh-CN"/>
              </w:rPr>
              <w:t>的</w:t>
            </w:r>
            <w:r>
              <w:rPr>
                <w:rFonts w:hint="eastAsia" w:ascii="Times New Roman" w:hAnsi="Times New Roman" w:eastAsia="仿宋_GB2312" w:cs="Times New Roman"/>
                <w:sz w:val="32"/>
                <w:szCs w:val="22"/>
                <w:highlight w:val="none"/>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311"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仿宋_GB2312" w:cs="Times New Roman"/>
                <w:sz w:val="32"/>
                <w:szCs w:val="22"/>
                <w:highlight w:val="none"/>
                <w:lang w:eastAsia="zh-CN"/>
              </w:rPr>
            </w:pPr>
            <w:r>
              <w:rPr>
                <w:rFonts w:hint="eastAsia" w:ascii="Times New Roman" w:hAnsi="Times New Roman" w:eastAsia="仿宋_GB2312" w:cs="Times New Roman"/>
                <w:sz w:val="32"/>
                <w:szCs w:val="22"/>
                <w:highlight w:val="none"/>
                <w:lang w:val="en-US" w:eastAsia="zh-CN"/>
              </w:rPr>
              <w:t>3</w:t>
            </w:r>
          </w:p>
        </w:tc>
        <w:tc>
          <w:tcPr>
            <w:tcW w:w="1818"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仿宋_GB2312" w:cs="Times New Roman"/>
                <w:sz w:val="32"/>
                <w:szCs w:val="22"/>
                <w:highlight w:val="none"/>
                <w:lang w:val="en-US" w:eastAsia="zh-CN"/>
              </w:rPr>
            </w:pPr>
            <w:r>
              <w:rPr>
                <w:rFonts w:hint="eastAsia" w:ascii="Times New Roman" w:hAnsi="Times New Roman" w:eastAsia="仿宋_GB2312" w:cs="Times New Roman"/>
                <w:sz w:val="32"/>
                <w:szCs w:val="22"/>
                <w:highlight w:val="none"/>
                <w:lang w:val="en-US" w:eastAsia="zh-CN"/>
              </w:rPr>
              <w:t>推进现代化学校建设，打造智慧校园。</w:t>
            </w:r>
          </w:p>
        </w:tc>
        <w:tc>
          <w:tcPr>
            <w:tcW w:w="2777"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仿宋_GB2312" w:cs="Times New Roman"/>
                <w:sz w:val="32"/>
                <w:szCs w:val="22"/>
                <w:highlight w:val="none"/>
                <w:lang w:eastAsia="zh-CN"/>
              </w:rPr>
            </w:pPr>
            <w:r>
              <w:rPr>
                <w:rFonts w:hint="eastAsia" w:ascii="Times New Roman" w:hAnsi="Times New Roman" w:eastAsia="仿宋_GB2312" w:cs="Times New Roman"/>
                <w:sz w:val="32"/>
                <w:szCs w:val="22"/>
                <w:highlight w:val="none"/>
                <w:lang w:val="en-US" w:eastAsia="zh-CN"/>
              </w:rPr>
              <w:t>推进现代化学校建设，打造智慧校园。</w:t>
            </w:r>
          </w:p>
        </w:tc>
        <w:tc>
          <w:tcPr>
            <w:tcW w:w="2616" w:type="dxa"/>
            <w:noWrap w:val="0"/>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仿宋_GB2312" w:cs="Times New Roman"/>
                <w:sz w:val="32"/>
                <w:szCs w:val="22"/>
                <w:highlight w:val="none"/>
                <w:lang w:val="en-US" w:eastAsia="zh-CN"/>
              </w:rPr>
            </w:pPr>
            <w:r>
              <w:rPr>
                <w:rFonts w:hint="eastAsia" w:ascii="Times New Roman" w:hAnsi="Times New Roman" w:eastAsia="仿宋_GB2312" w:cs="Times New Roman"/>
                <w:sz w:val="32"/>
                <w:szCs w:val="22"/>
                <w:highlight w:val="none"/>
                <w:lang w:eastAsia="zh-CN"/>
              </w:rPr>
              <w:t>电子白板覆盖率</w:t>
            </w:r>
            <w:r>
              <w:rPr>
                <w:rFonts w:hint="eastAsia" w:ascii="Times New Roman" w:hAnsi="Times New Roman" w:eastAsia="仿宋_GB2312" w:cs="Times New Roman"/>
                <w:sz w:val="32"/>
                <w:szCs w:val="22"/>
                <w:highlight w:val="none"/>
                <w:lang w:val="en-US" w:eastAsia="zh-CN"/>
              </w:rPr>
              <w:t>100%。</w:t>
            </w:r>
          </w:p>
        </w:tc>
      </w:tr>
    </w:tbl>
    <w:p>
      <w:pPr>
        <w:rPr>
          <w:rFonts w:hint="default" w:ascii="Times New Roman" w:hAnsi="Times New Roman" w:cs="Times New Roman"/>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1.一般公共服务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财政事务</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行政运行</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8"/>
        </w:rPr>
        <w:t>2.</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18"/>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参考《202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56"/>
        </w:rPr>
        <w:t xml:space="preserve"> </w:t>
      </w:r>
      <w:r>
        <w:rPr>
          <w:rFonts w:hint="default" w:ascii="Times New Roman" w:hAnsi="Times New Roman" w:eastAsia="仿宋_GB2312" w:cs="Times New Roman"/>
          <w:spacing w:val="-4"/>
        </w:rPr>
        <w:t>年政府收支分类科目》说明逐项解释</w:t>
      </w:r>
      <w:r>
        <w:rPr>
          <w:rFonts w:hint="default" w:ascii="Times New Roman" w:hAnsi="Times New Roman" w:eastAsia="仿宋_GB2312" w:cs="Times New Roman"/>
          <w:spacing w:val="-4"/>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rPr>
        <w:t>根据本部门使用的其他专用名词补充解释</w:t>
      </w:r>
      <w:r>
        <w:rPr>
          <w:rFonts w:hint="default" w:ascii="Times New Roman" w:hAnsi="Times New Roman" w:cs="Times New Roman"/>
          <w:b/>
          <w:bCs/>
          <w:spacing w:val="-4"/>
          <w:lang w:eastAsia="zh-CN"/>
        </w:rPr>
        <w:t>）</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spacing w:val="-1"/>
          <w:sz w:val="32"/>
          <w:szCs w:val="32"/>
          <w:u w:val="single" w:color="auto"/>
          <w:lang w:eastAsia="zh-CN"/>
        </w:rPr>
        <w:t>武汉市光谷第七小学</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default" w:ascii="Times New Roman" w:hAnsi="Times New Roman" w:eastAsia="黑体" w:cs="Times New Roman"/>
          <w:spacing w:val="-2"/>
          <w:sz w:val="32"/>
          <w:szCs w:val="32"/>
          <w:u w:val="single" w:color="auto"/>
        </w:rPr>
        <w:t xml:space="preserve">        </w:t>
      </w:r>
      <w:r>
        <w:rPr>
          <w:rFonts w:hint="default" w:ascii="Times New Roman" w:hAnsi="Times New Roman" w:eastAsia="黑体" w:cs="Times New Roman"/>
          <w:spacing w:val="-147"/>
          <w:sz w:val="32"/>
          <w:szCs w:val="32"/>
        </w:rPr>
        <w:t xml:space="preserve"> </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pacing w:val="-5"/>
          <w:sz w:val="32"/>
          <w:szCs w:val="32"/>
          <w:lang w:eastAsia="zh-CN"/>
        </w:rPr>
        <w:t>（</w:t>
      </w:r>
      <w:r>
        <w:rPr>
          <w:rFonts w:hint="default" w:ascii="Times New Roman" w:hAnsi="Times New Roman" w:eastAsia="黑体" w:cs="Times New Roman"/>
          <w:spacing w:val="-5"/>
          <w:sz w:val="32"/>
          <w:szCs w:val="32"/>
        </w:rPr>
        <w:t>请按部门一级项目个数公开</w:t>
      </w:r>
      <w:r>
        <w:rPr>
          <w:rFonts w:hint="eastAsia" w:ascii="Times New Roman" w:hAnsi="Times New Roman" w:eastAsia="黑体" w:cs="Times New Roman"/>
          <w:spacing w:val="-5"/>
          <w:sz w:val="32"/>
          <w:szCs w:val="32"/>
          <w:lang w:eastAsia="zh-CN"/>
        </w:rPr>
        <w:t>）</w:t>
      </w:r>
    </w:p>
    <w:p>
      <w:pPr>
        <w:rPr>
          <w:rFonts w:hint="default" w:ascii="Times New Roman" w:hAnsi="Times New Roman" w:cs="Times New Roman"/>
          <w:lang w:val="en-US" w:eastAsia="zh-CN"/>
        </w:rPr>
      </w:pPr>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3">
    <w:panose1 w:val="050401020108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FangSong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097B3"/>
    <w:multiLevelType w:val="singleLevel"/>
    <w:tmpl w:val="426097B3"/>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066EBC"/>
    <w:rsid w:val="031130F5"/>
    <w:rsid w:val="04967087"/>
    <w:rsid w:val="05E87BD1"/>
    <w:rsid w:val="068838C2"/>
    <w:rsid w:val="06997E80"/>
    <w:rsid w:val="07180E92"/>
    <w:rsid w:val="089839BA"/>
    <w:rsid w:val="09701ABC"/>
    <w:rsid w:val="09AB4631"/>
    <w:rsid w:val="09D5721E"/>
    <w:rsid w:val="09D71527"/>
    <w:rsid w:val="0B492353"/>
    <w:rsid w:val="0CF012FD"/>
    <w:rsid w:val="0D442700"/>
    <w:rsid w:val="0ECD0BC6"/>
    <w:rsid w:val="117A5E54"/>
    <w:rsid w:val="12CA1FCB"/>
    <w:rsid w:val="12FE3B58"/>
    <w:rsid w:val="13747DAA"/>
    <w:rsid w:val="15B33792"/>
    <w:rsid w:val="172355D3"/>
    <w:rsid w:val="187F2042"/>
    <w:rsid w:val="19627551"/>
    <w:rsid w:val="1B2466E5"/>
    <w:rsid w:val="1C0E2A35"/>
    <w:rsid w:val="1C365FDC"/>
    <w:rsid w:val="1C817790"/>
    <w:rsid w:val="1DCD7D00"/>
    <w:rsid w:val="1E7F5C67"/>
    <w:rsid w:val="1EA628CB"/>
    <w:rsid w:val="1EE21DA7"/>
    <w:rsid w:val="1F1C3B61"/>
    <w:rsid w:val="1F3C5B49"/>
    <w:rsid w:val="20017382"/>
    <w:rsid w:val="20620BA9"/>
    <w:rsid w:val="21676B90"/>
    <w:rsid w:val="216E1A80"/>
    <w:rsid w:val="219376F2"/>
    <w:rsid w:val="21961EB7"/>
    <w:rsid w:val="21A05F7E"/>
    <w:rsid w:val="22384334"/>
    <w:rsid w:val="25B64D8F"/>
    <w:rsid w:val="28A65FBE"/>
    <w:rsid w:val="29ED3B89"/>
    <w:rsid w:val="2A857986"/>
    <w:rsid w:val="2AA34A80"/>
    <w:rsid w:val="2AEF2177"/>
    <w:rsid w:val="2BE83F94"/>
    <w:rsid w:val="2BF42D02"/>
    <w:rsid w:val="2BF7779C"/>
    <w:rsid w:val="2D8E4C36"/>
    <w:rsid w:val="2F8119D0"/>
    <w:rsid w:val="319F6255"/>
    <w:rsid w:val="32C24615"/>
    <w:rsid w:val="33B603DC"/>
    <w:rsid w:val="34EA2EB6"/>
    <w:rsid w:val="34F62908"/>
    <w:rsid w:val="353B695E"/>
    <w:rsid w:val="390037A2"/>
    <w:rsid w:val="39F72424"/>
    <w:rsid w:val="3BD42B6E"/>
    <w:rsid w:val="3C411FBF"/>
    <w:rsid w:val="3C4F2C50"/>
    <w:rsid w:val="3DA60130"/>
    <w:rsid w:val="3DBD4C69"/>
    <w:rsid w:val="3EEA2A4D"/>
    <w:rsid w:val="3FFF47B3"/>
    <w:rsid w:val="40586425"/>
    <w:rsid w:val="410C362B"/>
    <w:rsid w:val="42011B46"/>
    <w:rsid w:val="42072045"/>
    <w:rsid w:val="4268313C"/>
    <w:rsid w:val="42CB1772"/>
    <w:rsid w:val="43DA5B87"/>
    <w:rsid w:val="44C60C63"/>
    <w:rsid w:val="453942C3"/>
    <w:rsid w:val="465063C0"/>
    <w:rsid w:val="467E1CDE"/>
    <w:rsid w:val="47403369"/>
    <w:rsid w:val="4787624B"/>
    <w:rsid w:val="49F321F7"/>
    <w:rsid w:val="4C746661"/>
    <w:rsid w:val="4C8C3F07"/>
    <w:rsid w:val="4D555CB1"/>
    <w:rsid w:val="4E715C5E"/>
    <w:rsid w:val="4FB12E81"/>
    <w:rsid w:val="501757A3"/>
    <w:rsid w:val="50371C4A"/>
    <w:rsid w:val="5037383B"/>
    <w:rsid w:val="523C29F8"/>
    <w:rsid w:val="542F756E"/>
    <w:rsid w:val="54777E46"/>
    <w:rsid w:val="54E80D56"/>
    <w:rsid w:val="550223C7"/>
    <w:rsid w:val="5507618C"/>
    <w:rsid w:val="57327F9E"/>
    <w:rsid w:val="57B31914"/>
    <w:rsid w:val="5D7B3155"/>
    <w:rsid w:val="5DE402B6"/>
    <w:rsid w:val="5E8048B9"/>
    <w:rsid w:val="5E875C48"/>
    <w:rsid w:val="5E9743D8"/>
    <w:rsid w:val="5EE05566"/>
    <w:rsid w:val="5FCE1F54"/>
    <w:rsid w:val="604A5C2C"/>
    <w:rsid w:val="61966CA6"/>
    <w:rsid w:val="62B410C2"/>
    <w:rsid w:val="62C17492"/>
    <w:rsid w:val="62F51C0D"/>
    <w:rsid w:val="639835A3"/>
    <w:rsid w:val="64237A1A"/>
    <w:rsid w:val="687B3694"/>
    <w:rsid w:val="6B6066A7"/>
    <w:rsid w:val="6B8342AA"/>
    <w:rsid w:val="6BB34631"/>
    <w:rsid w:val="6C877AC0"/>
    <w:rsid w:val="6D745521"/>
    <w:rsid w:val="6DA422E5"/>
    <w:rsid w:val="6F1E5F26"/>
    <w:rsid w:val="6FA755CF"/>
    <w:rsid w:val="70846AFD"/>
    <w:rsid w:val="70E57BE1"/>
    <w:rsid w:val="717E072D"/>
    <w:rsid w:val="71F16470"/>
    <w:rsid w:val="72614EAD"/>
    <w:rsid w:val="73F15019"/>
    <w:rsid w:val="749073E1"/>
    <w:rsid w:val="767D6EE6"/>
    <w:rsid w:val="76FB12E3"/>
    <w:rsid w:val="776F6C79"/>
    <w:rsid w:val="77CA6886"/>
    <w:rsid w:val="78581807"/>
    <w:rsid w:val="7D514751"/>
    <w:rsid w:val="7D597821"/>
    <w:rsid w:val="7E213413"/>
    <w:rsid w:val="7EE12780"/>
    <w:rsid w:val="7FF1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1"/>
    <w:qFormat/>
    <w:uiPriority w:val="0"/>
    <w:pPr>
      <w:snapToGrid w:val="0"/>
      <w:jc w:val="left"/>
    </w:pPr>
    <w:rPr>
      <w:sz w:val="32"/>
    </w:r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8724</Words>
  <Characters>9376</Characters>
  <Lines>0</Lines>
  <Paragraphs>0</Paragraphs>
  <TotalTime>0</TotalTime>
  <ScaleCrop>false</ScaleCrop>
  <LinksUpToDate>false</LinksUpToDate>
  <CharactersWithSpaces>10829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cp:lastModifiedBy>
  <cp:lastPrinted>2025-08-20T07:46:00Z</cp:lastPrinted>
  <dcterms:modified xsi:type="dcterms:W3CDTF">2025-09-12T05:47:10Z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97F5AA9F10244A548CDE7546F29A47B5_13</vt:lpwstr>
  </property>
  <property fmtid="{D5CDD505-2E9C-101B-9397-08002B2CF9AE}" pid="4" name="KSOTemplateDocerSaveRecord">
    <vt:lpwstr>eyJoZGlkIjoiYTA0MjYwMWVkMTBlNjAzYjY3MGNjMDIwNmNkNDMwYmEiLCJ1c2VySWQiOiI1MTYzMjU1OTgifQ==</vt:lpwstr>
  </property>
</Properties>
</file>