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6" w:lineRule="auto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附件 1</w:t>
      </w: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before="156" w:line="221" w:lineRule="auto"/>
        <w:ind w:right="20"/>
        <w:jc w:val="center"/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single" w:color="auto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single" w:color="auto"/>
          <w:lang w:eastAsia="zh-CN"/>
        </w:rPr>
        <w:t>武汉市光谷第十二小学</w:t>
      </w:r>
    </w:p>
    <w:p>
      <w:pPr>
        <w:spacing w:before="156" w:line="221" w:lineRule="auto"/>
        <w:ind w:right="20"/>
        <w:jc w:val="center"/>
        <w:rPr>
          <w:rFonts w:hint="default" w:ascii="Times New Roman" w:hAnsi="Times New Roman" w:eastAsia="黑体" w:cs="Times New Roman"/>
          <w:spacing w:val="0"/>
          <w:w w:val="100"/>
          <w:position w:val="0"/>
          <w:sz w:val="48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部门决算公开</w:t>
      </w: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pStyle w:val="5"/>
        <w:spacing w:before="104" w:line="224" w:lineRule="auto"/>
        <w:ind w:left="316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202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年9月29日</w:t>
      </w:r>
    </w:p>
    <w:p>
      <w:pPr>
        <w:spacing w:line="28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pStyle w:val="9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before="143" w:line="222" w:lineRule="auto"/>
        <w:ind w:left="3361"/>
        <w:outlineLvl w:val="0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目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录</w:t>
      </w: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第一部分  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  <w:lang w:eastAsia="zh-CN"/>
        </w:rPr>
        <w:t>武汉市光谷第十二小学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概况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一、部门主要职责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4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二、机构设置情况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第二部分  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  <w:lang w:eastAsia="zh-CN"/>
        </w:rPr>
        <w:t>武汉市光谷第十二小学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年度部门决算表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一、收入支出决算总表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二、收入决算表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三、支出决算表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四、财政拨款收入支出决算总表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五、一般公共预算财政拨款支出决算表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六、一般公共预算财政拨款基本支出决算明细表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七、政府性基金预算财政拨款收入支出决算表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八、国有资本经营预算财政拨款支出决算表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第三部分  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  <w:lang w:eastAsia="zh-CN"/>
        </w:rPr>
        <w:t>武汉市光谷第十二小学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年度部门决算情况说明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一、收入支出决算总体情况说明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二、收入决算情况说明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三、支出决算情况说明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四、财政拨款收入支出决算总体情况说明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五、一般公共预算财政拨款支出决算情况说明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六、一般公共预算财政拨款基本支出决算情况说明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七、政府性基金预算财政拨款收入支出决算情况说明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八、国有资本经营预算财政拨款支出决算情况说明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九、财政拨款“三公”经费支出决算情况说明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十、机关运行经费支出说明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十一、政府采购支出说明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十二、国有资产占用情况说明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十三、预算绩效情况说明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第四部分  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年重点工作完成情况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第五部分  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第六部分  附件</w:t>
      </w:r>
    </w:p>
    <w:p>
      <w:pPr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spacing w:before="143" w:line="222" w:lineRule="auto"/>
        <w:jc w:val="center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第一部分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single" w:color="auto"/>
          <w:lang w:eastAsia="zh-CN"/>
        </w:rPr>
        <w:t>武汉市光谷第十二小学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概况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一、部门主要职责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0"/>
          <w:w w:val="100"/>
          <w:position w:val="0"/>
          <w:sz w:val="32"/>
          <w:szCs w:val="32"/>
          <w:lang w:val="en-US" w:eastAsia="zh-CN"/>
        </w:rPr>
        <w:t>贯彻落实党和国家的教育方针政策、法律法规，根据上级批示精神，全面贯彻落实党和国家的教育方针政策、法律法规，根据上级指示精神，结合我校实际情况，全面实施小学阶段义务教育，完成小学段学历教育，培养全面发展的合格人才，努力办好人民满意的光谷教育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二、机构设置情况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武汉市光谷第十二小学部门预算由单位本级预算组成，全额拨款事业单位 1个。</w:t>
      </w:r>
    </w:p>
    <w:p>
      <w:pPr>
        <w:pStyle w:val="9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9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9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9"/>
        <w:rPr>
          <w:rFonts w:hint="default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9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9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 xml:space="preserve">第二部分  </w:t>
      </w:r>
      <w:r>
        <w:rPr>
          <w:rFonts w:hint="default" w:ascii="Times New Roman" w:hAnsi="Times New Roman" w:eastAsia="方正小标宋_GBK" w:cs="Times New Roman"/>
          <w:spacing w:val="-193"/>
          <w:sz w:val="44"/>
          <w:szCs w:val="44"/>
          <w:u w:val="single" w:color="auto"/>
        </w:rPr>
        <w:t xml:space="preserve"> </w:t>
      </w:r>
      <w:r>
        <w:rPr>
          <w:rFonts w:hint="eastAsia" w:ascii="Times New Roman" w:hAnsi="Times New Roman" w:eastAsia="方正小标宋_GBK" w:cs="Times New Roman"/>
          <w:spacing w:val="-3"/>
          <w:sz w:val="44"/>
          <w:szCs w:val="44"/>
          <w:u w:val="single" w:color="auto"/>
          <w:lang w:eastAsia="zh-CN"/>
        </w:rPr>
        <w:t>武汉市光谷第十二小学</w:t>
      </w:r>
      <w:r>
        <w:rPr>
          <w:rFonts w:hint="default" w:ascii="Times New Roman" w:hAnsi="Times New Roman" w:eastAsia="方正小标宋_GBK" w:cs="Times New Roman"/>
          <w:spacing w:val="-103"/>
          <w:sz w:val="44"/>
          <w:szCs w:val="44"/>
          <w:u w:val="single" w:color="auto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96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年度部门决算表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年度收入支出决算总表</w:t>
      </w:r>
    </w:p>
    <w:p>
      <w:pPr>
        <w:pStyle w:val="9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公开01表</w:t>
      </w:r>
    </w:p>
    <w:p>
      <w:pPr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部门：武汉市光谷第十二小学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金额单位：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万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元</w:t>
      </w:r>
    </w:p>
    <w:tbl>
      <w:tblPr>
        <w:tblStyle w:val="10"/>
        <w:tblW w:w="10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2"/>
        <w:gridCol w:w="706"/>
        <w:gridCol w:w="707"/>
        <w:gridCol w:w="3740"/>
        <w:gridCol w:w="707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3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</w:t>
            </w:r>
          </w:p>
        </w:tc>
        <w:tc>
          <w:tcPr>
            <w:tcW w:w="515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行次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行次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3,480.65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3,585.89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328.14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3,808.79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使用非财政拨款结余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3,813.58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3,813.58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注：1.本表反映部门本年度的总收支和年末结转结余情况。     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2.本套报表金额单位转换时可能存在尾数误差。   </w:t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年度收入决算表</w:t>
      </w:r>
    </w:p>
    <w:p>
      <w:pPr>
        <w:pStyle w:val="9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公开02表</w:t>
      </w:r>
    </w:p>
    <w:p>
      <w:pPr>
        <w:pStyle w:val="9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部门：武汉市光谷第十二小学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单位：万元</w:t>
      </w:r>
    </w:p>
    <w:tbl>
      <w:tblPr>
        <w:tblStyle w:val="10"/>
        <w:tblW w:w="90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426"/>
        <w:gridCol w:w="1056"/>
        <w:gridCol w:w="1035"/>
        <w:gridCol w:w="1035"/>
        <w:gridCol w:w="1036"/>
        <w:gridCol w:w="792"/>
        <w:gridCol w:w="792"/>
        <w:gridCol w:w="1279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3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8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功能分类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0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2050202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3,585.76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3,257.62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223.03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223.03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注：本表反映部门本年度取得的各项收入情况。</w:t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年度支出决算表</w:t>
      </w:r>
    </w:p>
    <w:p>
      <w:pPr>
        <w:pStyle w:val="9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公开03表</w:t>
      </w:r>
    </w:p>
    <w:p>
      <w:pPr>
        <w:pStyle w:val="9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部门：武汉市光谷第十二小学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单位：万元</w:t>
      </w:r>
    </w:p>
    <w:tbl>
      <w:tblPr>
        <w:tblStyle w:val="10"/>
        <w:tblW w:w="919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426"/>
        <w:gridCol w:w="1056"/>
        <w:gridCol w:w="1223"/>
        <w:gridCol w:w="904"/>
        <w:gridCol w:w="904"/>
        <w:gridCol w:w="1223"/>
        <w:gridCol w:w="905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33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8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2050202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3,585.89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3,345.22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240.67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223.03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223.03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注：本表反映部门本年度各项支出情况。</w:t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年度财政拨款收入支出决算总表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公开04表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部门：武汉市光谷第十二小学                   </w:t>
      </w:r>
      <w:r>
        <w:rPr>
          <w:rFonts w:hint="default" w:ascii="Times New Roman" w:hAnsi="Times New Roman" w:eastAsia="微软雅黑" w:cs="Times New Roman"/>
          <w:sz w:val="16"/>
          <w:szCs w:val="16"/>
        </w:rPr>
        <w:t xml:space="preserve"> </w:t>
      </w:r>
      <w:r>
        <w:rPr>
          <w:rFonts w:hint="default" w:ascii="Times New Roman" w:hAnsi="Times New Roman" w:eastAsia="微软雅黑" w:cs="Times New Roman"/>
          <w:sz w:val="16"/>
          <w:szCs w:val="16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16"/>
          <w:szCs w:val="16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 ：万元</w:t>
      </w:r>
    </w:p>
    <w:tbl>
      <w:tblPr>
        <w:tblStyle w:val="10"/>
        <w:tblW w:w="11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489"/>
        <w:gridCol w:w="450"/>
        <w:gridCol w:w="2675"/>
        <w:gridCol w:w="521"/>
        <w:gridCol w:w="414"/>
        <w:gridCol w:w="1152"/>
        <w:gridCol w:w="1350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36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745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目</w:t>
            </w:r>
          </w:p>
        </w:tc>
        <w:tc>
          <w:tcPr>
            <w:tcW w:w="48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决算数</w:t>
            </w:r>
          </w:p>
        </w:tc>
        <w:tc>
          <w:tcPr>
            <w:tcW w:w="26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52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425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vMerge w:val="continue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3,480.65</w:t>
            </w: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3,257.62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3,257.62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223.03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223.03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3,480.65</w:t>
            </w: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3,480.65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3,480.65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年初财政拨款结转和结余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年末财政拨款结转和结余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3,480.65</w:t>
            </w: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3,480.65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3,480.65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注 ：本表反映部门本年度一般公共预算财政拨款 、政府性基金预算财政拨款和国有资本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经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营预算财政拨款的总收支和年末结转结余情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况。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年度一般公共预算财政拨款支出决算表</w:t>
      </w:r>
    </w:p>
    <w:p>
      <w:pPr>
        <w:pStyle w:val="9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公开05表</w:t>
      </w:r>
    </w:p>
    <w:p>
      <w:pPr>
        <w:pStyle w:val="9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部门：武汉市光谷第十二小学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单位：万元</w:t>
      </w:r>
    </w:p>
    <w:tbl>
      <w:tblPr>
        <w:tblStyle w:val="10"/>
        <w:tblW w:w="915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768"/>
        <w:gridCol w:w="768"/>
        <w:gridCol w:w="1903"/>
        <w:gridCol w:w="1146"/>
        <w:gridCol w:w="1903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20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495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304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4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304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304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2050202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3,257.62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3,115.35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223.03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223.03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304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注：本表反映部门本年度一般公共预算财政拨款支出情况。 </w:t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年度一般公共预算财政拨款基本支出决算明细表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公开06表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：武汉市光谷第十二小学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 万元</w:t>
      </w:r>
    </w:p>
    <w:tbl>
      <w:tblPr>
        <w:tblStyle w:val="12"/>
        <w:tblW w:w="10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366"/>
        <w:gridCol w:w="667"/>
        <w:gridCol w:w="869"/>
        <w:gridCol w:w="1541"/>
        <w:gridCol w:w="536"/>
        <w:gridCol w:w="851"/>
        <w:gridCol w:w="2282"/>
        <w:gridCol w:w="7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779" w:type="dxa"/>
            <w:gridSpan w:val="3"/>
            <w:vAlign w:val="center"/>
          </w:tcPr>
          <w:p>
            <w:pPr>
              <w:spacing w:before="80" w:line="177" w:lineRule="auto"/>
              <w:ind w:left="114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</w:rPr>
              <w:t>人员经费</w:t>
            </w:r>
          </w:p>
        </w:tc>
        <w:tc>
          <w:tcPr>
            <w:tcW w:w="6800" w:type="dxa"/>
            <w:gridSpan w:val="6"/>
            <w:vAlign w:val="center"/>
          </w:tcPr>
          <w:p>
            <w:pPr>
              <w:spacing w:before="80" w:line="177" w:lineRule="auto"/>
              <w:ind w:left="248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1"/>
                <w:szCs w:val="21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经济分类科目编码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决算数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类科目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决算 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类科目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2,989.71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346.31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30101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502.52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30201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办公费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21.27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31002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30102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127.74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30202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印刷费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31003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专用设备购置</w:t>
            </w: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30103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奖金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30203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咨询费</w:t>
            </w:r>
          </w:p>
        </w:tc>
        <w:tc>
          <w:tcPr>
            <w:tcW w:w="536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31007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信息网络及软件购置更新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30106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伙食补助费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30204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手续费</w:t>
            </w:r>
          </w:p>
        </w:tc>
        <w:tc>
          <w:tcPr>
            <w:tcW w:w="536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31013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公务用车购置</w:t>
            </w: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30107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1,812.80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30205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水费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9.24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文物和陈列品购置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30108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223.03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30206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电费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31.81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31022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无形资产购置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30109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30207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邮电费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31099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30110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118.05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30208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取暖费</w:t>
            </w:r>
          </w:p>
        </w:tc>
        <w:tc>
          <w:tcPr>
            <w:tcW w:w="536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30111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7.46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30209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24.49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30112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11.95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30211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差旅费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30113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186.16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30212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因公出国（境） 费用</w:t>
            </w:r>
          </w:p>
        </w:tc>
        <w:tc>
          <w:tcPr>
            <w:tcW w:w="536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30114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医疗费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30213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维修（护） 费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69.54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30199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30214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租赁费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30215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会议费</w:t>
            </w:r>
          </w:p>
        </w:tc>
        <w:tc>
          <w:tcPr>
            <w:tcW w:w="536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30301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离休费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30216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培训费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30302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退休费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30217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536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30303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退职（役）费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30218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专用材料费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12.02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30304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抚恤金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30224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被装购置费</w:t>
            </w:r>
          </w:p>
        </w:tc>
        <w:tc>
          <w:tcPr>
            <w:tcW w:w="536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30305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30225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专用燃料费</w:t>
            </w:r>
          </w:p>
        </w:tc>
        <w:tc>
          <w:tcPr>
            <w:tcW w:w="536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30306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救济费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30226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劳务费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32.18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30307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医疗费补助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30227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54.36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30308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助学金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30228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30309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奖励金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30229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福利费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30310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个人农业生产补贴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30231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公务用车运行维 护费</w:t>
            </w:r>
          </w:p>
        </w:tc>
        <w:tc>
          <w:tcPr>
            <w:tcW w:w="536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30311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代缴社会保险费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30239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2.94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30399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其他对个人和家庭的补助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30240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税金及附加费用</w:t>
            </w:r>
          </w:p>
        </w:tc>
        <w:tc>
          <w:tcPr>
            <w:tcW w:w="536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30299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64.93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112" w:type="dxa"/>
            <w:gridSpan w:val="2"/>
            <w:vAlign w:val="center"/>
          </w:tcPr>
          <w:p>
            <w:pPr>
              <w:spacing w:before="107" w:line="187" w:lineRule="auto"/>
              <w:ind w:left="71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</w:rPr>
              <w:t>人员经费合计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2,989.71</w:t>
            </w:r>
          </w:p>
        </w:tc>
        <w:tc>
          <w:tcPr>
            <w:tcW w:w="6079" w:type="dxa"/>
            <w:gridSpan w:val="5"/>
            <w:vAlign w:val="center"/>
          </w:tcPr>
          <w:p>
            <w:pPr>
              <w:spacing w:before="108" w:line="187" w:lineRule="auto"/>
              <w:ind w:left="204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</w:rPr>
              <w:t>公用经费合计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348.67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 ：本表反映部门本年度一般公共预算财政拨款基本支出明细情况。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年度政府性基金预算财政拨款收入支出决算表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公开07表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部门：武汉市光谷第十二小学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   </w:t>
      </w:r>
      <w:r>
        <w:rPr>
          <w:rFonts w:hint="default" w:ascii="Times New Roman" w:hAnsi="Times New Roman" w:eastAsia="微软雅黑" w:cs="Times New Roman"/>
          <w:sz w:val="22"/>
          <w:szCs w:val="2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单位：万元</w:t>
      </w:r>
    </w:p>
    <w:tbl>
      <w:tblPr>
        <w:tblStyle w:val="1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"/>
        <w:gridCol w:w="317"/>
        <w:gridCol w:w="319"/>
        <w:gridCol w:w="1169"/>
        <w:gridCol w:w="1167"/>
        <w:gridCol w:w="1167"/>
        <w:gridCol w:w="1167"/>
        <w:gridCol w:w="1167"/>
        <w:gridCol w:w="1171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116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年初结转和 结余</w:t>
            </w:r>
          </w:p>
        </w:tc>
        <w:tc>
          <w:tcPr>
            <w:tcW w:w="116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350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年末结转和 结余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9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 科目编码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1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21" w:type="dxa"/>
            <w:vMerge w:val="restart"/>
            <w:vAlign w:val="top"/>
          </w:tcPr>
          <w:p>
            <w:pPr>
              <w:spacing w:before="194" w:line="188" w:lineRule="auto"/>
              <w:ind w:left="5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类</w:t>
            </w:r>
          </w:p>
        </w:tc>
        <w:tc>
          <w:tcPr>
            <w:tcW w:w="317" w:type="dxa"/>
            <w:vMerge w:val="restart"/>
            <w:vAlign w:val="top"/>
          </w:tcPr>
          <w:p>
            <w:pPr>
              <w:spacing w:before="194" w:line="189" w:lineRule="auto"/>
              <w:ind w:left="47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款</w:t>
            </w:r>
          </w:p>
        </w:tc>
        <w:tc>
          <w:tcPr>
            <w:tcW w:w="319" w:type="dxa"/>
            <w:vMerge w:val="restart"/>
            <w:vAlign w:val="top"/>
          </w:tcPr>
          <w:p>
            <w:pPr>
              <w:spacing w:before="195" w:line="187" w:lineRule="auto"/>
              <w:ind w:left="4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</w:t>
            </w:r>
          </w:p>
        </w:tc>
        <w:tc>
          <w:tcPr>
            <w:tcW w:w="1169" w:type="dxa"/>
            <w:vAlign w:val="top"/>
          </w:tcPr>
          <w:p>
            <w:pPr>
              <w:spacing w:before="46" w:line="230" w:lineRule="exact"/>
              <w:ind w:left="344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w w:val="96"/>
                <w:position w:val="-1"/>
                <w:sz w:val="21"/>
                <w:szCs w:val="21"/>
              </w:rPr>
              <w:t>栏次</w:t>
            </w:r>
          </w:p>
        </w:tc>
        <w:tc>
          <w:tcPr>
            <w:tcW w:w="1167" w:type="dxa"/>
            <w:vAlign w:val="top"/>
          </w:tcPr>
          <w:p>
            <w:pPr>
              <w:spacing w:before="80" w:line="196" w:lineRule="exact"/>
              <w:ind w:left="50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1</w:t>
            </w:r>
          </w:p>
        </w:tc>
        <w:tc>
          <w:tcPr>
            <w:tcW w:w="1167" w:type="dxa"/>
            <w:vAlign w:val="top"/>
          </w:tcPr>
          <w:p>
            <w:pPr>
              <w:spacing w:before="81" w:line="195" w:lineRule="exact"/>
              <w:ind w:left="498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2</w:t>
            </w:r>
          </w:p>
        </w:tc>
        <w:tc>
          <w:tcPr>
            <w:tcW w:w="1167" w:type="dxa"/>
            <w:vAlign w:val="top"/>
          </w:tcPr>
          <w:p>
            <w:pPr>
              <w:spacing w:before="81" w:line="195" w:lineRule="exact"/>
              <w:ind w:left="50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3</w:t>
            </w:r>
          </w:p>
        </w:tc>
        <w:tc>
          <w:tcPr>
            <w:tcW w:w="1167" w:type="dxa"/>
            <w:vAlign w:val="top"/>
          </w:tcPr>
          <w:p>
            <w:pPr>
              <w:spacing w:before="81" w:line="195" w:lineRule="exact"/>
              <w:ind w:left="497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4</w:t>
            </w:r>
          </w:p>
        </w:tc>
        <w:tc>
          <w:tcPr>
            <w:tcW w:w="1171" w:type="dxa"/>
            <w:vAlign w:val="top"/>
          </w:tcPr>
          <w:p>
            <w:pPr>
              <w:spacing w:before="83" w:line="193" w:lineRule="exact"/>
              <w:ind w:left="50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5</w:t>
            </w:r>
          </w:p>
        </w:tc>
        <w:tc>
          <w:tcPr>
            <w:tcW w:w="1173" w:type="dxa"/>
            <w:vAlign w:val="top"/>
          </w:tcPr>
          <w:p>
            <w:pPr>
              <w:spacing w:before="81" w:line="195" w:lineRule="exact"/>
              <w:ind w:left="50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21" w:type="dxa"/>
            <w:vMerge w:val="continue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17" w:type="dxa"/>
            <w:vMerge w:val="continue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19" w:type="dxa"/>
            <w:vMerge w:val="continue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spacing w:before="51" w:line="226" w:lineRule="exact"/>
              <w:ind w:left="344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w w:val="96"/>
                <w:position w:val="-1"/>
                <w:sz w:val="21"/>
                <w:szCs w:val="21"/>
              </w:rPr>
              <w:t>合计</w:t>
            </w: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957" w:type="dxa"/>
            <w:gridSpan w:val="3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57" w:type="dxa"/>
            <w:gridSpan w:val="3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57" w:type="dxa"/>
            <w:gridSpan w:val="3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57" w:type="dxa"/>
            <w:gridSpan w:val="3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957" w:type="dxa"/>
            <w:gridSpan w:val="3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57" w:type="dxa"/>
            <w:gridSpan w:val="3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 ：本表反映部门本年度政府性基金预算财政拨款收入、支出及结转和结余情况。 本部门2024年度无政府性基金预算财政拨款收入支出。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ab/>
      </w: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年度国有资本经营预算财政拨款支出决算表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公开08表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部门：武汉市光谷第十二小学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单位：万元</w:t>
      </w:r>
    </w:p>
    <w:tbl>
      <w:tblPr>
        <w:tblStyle w:val="12"/>
        <w:tblW w:w="8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392"/>
        <w:gridCol w:w="410"/>
        <w:gridCol w:w="1128"/>
        <w:gridCol w:w="2129"/>
        <w:gridCol w:w="2272"/>
        <w:gridCol w:w="21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10" w:type="dxa"/>
            <w:gridSpan w:val="4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       目</w:t>
            </w:r>
          </w:p>
        </w:tc>
        <w:tc>
          <w:tcPr>
            <w:tcW w:w="6589" w:type="dxa"/>
            <w:gridSpan w:val="3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本年支出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282" w:type="dxa"/>
            <w:gridSpan w:val="3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功能分类</w:t>
            </w:r>
          </w:p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科目编码</w:t>
            </w:r>
          </w:p>
        </w:tc>
        <w:tc>
          <w:tcPr>
            <w:tcW w:w="1128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科目名称</w:t>
            </w:r>
          </w:p>
        </w:tc>
        <w:tc>
          <w:tcPr>
            <w:tcW w:w="2129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227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基本支出</w:t>
            </w:r>
          </w:p>
        </w:tc>
        <w:tc>
          <w:tcPr>
            <w:tcW w:w="2188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80" w:type="dxa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类</w:t>
            </w:r>
          </w:p>
        </w:tc>
        <w:tc>
          <w:tcPr>
            <w:tcW w:w="392" w:type="dxa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款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</w:t>
            </w:r>
          </w:p>
        </w:tc>
        <w:tc>
          <w:tcPr>
            <w:tcW w:w="1128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栏次</w:t>
            </w:r>
          </w:p>
        </w:tc>
        <w:tc>
          <w:tcPr>
            <w:tcW w:w="2129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</w:t>
            </w:r>
          </w:p>
        </w:tc>
        <w:tc>
          <w:tcPr>
            <w:tcW w:w="2188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80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92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2129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72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82" w:type="dxa"/>
            <w:gridSpan w:val="3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82" w:type="dxa"/>
            <w:gridSpan w:val="3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82" w:type="dxa"/>
            <w:gridSpan w:val="3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82" w:type="dxa"/>
            <w:gridSpan w:val="3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82" w:type="dxa"/>
            <w:gridSpan w:val="3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82" w:type="dxa"/>
            <w:gridSpan w:val="3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注：本表反映部门本年度国有资本经营预算财政拨款支出情况。本部门2024年度无国有资本经营预算财政拨款支出。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ab/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>
      <w:pP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</w:pPr>
      <w: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年度财政拨款“ 三公 ”经费支出决算表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公开09表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武汉市光谷第十二小学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    单位：万元</w:t>
      </w:r>
    </w:p>
    <w:tbl>
      <w:tblPr>
        <w:tblStyle w:val="12"/>
        <w:tblW w:w="99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061"/>
        <w:gridCol w:w="453"/>
        <w:gridCol w:w="1193"/>
        <w:gridCol w:w="1159"/>
        <w:gridCol w:w="634"/>
        <w:gridCol w:w="450"/>
        <w:gridCol w:w="970"/>
        <w:gridCol w:w="641"/>
        <w:gridCol w:w="887"/>
        <w:gridCol w:w="1181"/>
        <w:gridCol w:w="7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130" w:type="dxa"/>
            <w:gridSpan w:val="6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预算数</w:t>
            </w:r>
          </w:p>
        </w:tc>
        <w:tc>
          <w:tcPr>
            <w:tcW w:w="4836" w:type="dxa"/>
            <w:gridSpan w:val="6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1061" w:type="dxa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因公出国 （境）费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公务用车购置及运行维护费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公务接待费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因公出国 （境）费</w:t>
            </w:r>
          </w:p>
        </w:tc>
        <w:tc>
          <w:tcPr>
            <w:tcW w:w="2709" w:type="dxa"/>
            <w:gridSpan w:val="3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公务用车购置及运行维护费</w:t>
            </w:r>
          </w:p>
        </w:tc>
        <w:tc>
          <w:tcPr>
            <w:tcW w:w="707" w:type="dxa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公务接 待费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630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61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小计</w:t>
            </w:r>
          </w:p>
        </w:tc>
        <w:tc>
          <w:tcPr>
            <w:tcW w:w="1193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</w:t>
            </w:r>
          </w:p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购置费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</w:t>
            </w:r>
          </w:p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运行维护费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小计</w:t>
            </w:r>
          </w:p>
        </w:tc>
        <w:tc>
          <w:tcPr>
            <w:tcW w:w="887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 购置费</w:t>
            </w:r>
          </w:p>
        </w:tc>
        <w:tc>
          <w:tcPr>
            <w:tcW w:w="118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   运行维护费</w:t>
            </w:r>
          </w:p>
        </w:tc>
        <w:tc>
          <w:tcPr>
            <w:tcW w:w="707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630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106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</w:t>
            </w:r>
          </w:p>
        </w:tc>
        <w:tc>
          <w:tcPr>
            <w:tcW w:w="453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</w:t>
            </w:r>
          </w:p>
        </w:tc>
        <w:tc>
          <w:tcPr>
            <w:tcW w:w="1193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</w:t>
            </w:r>
          </w:p>
        </w:tc>
        <w:tc>
          <w:tcPr>
            <w:tcW w:w="634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</w:t>
            </w:r>
          </w:p>
        </w:tc>
        <w:tc>
          <w:tcPr>
            <w:tcW w:w="450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</w:t>
            </w:r>
          </w:p>
        </w:tc>
        <w:tc>
          <w:tcPr>
            <w:tcW w:w="970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</w:t>
            </w:r>
          </w:p>
        </w:tc>
        <w:tc>
          <w:tcPr>
            <w:tcW w:w="64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9</w:t>
            </w:r>
          </w:p>
        </w:tc>
        <w:tc>
          <w:tcPr>
            <w:tcW w:w="887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10</w:t>
            </w:r>
          </w:p>
        </w:tc>
        <w:tc>
          <w:tcPr>
            <w:tcW w:w="1181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11</w:t>
            </w:r>
          </w:p>
        </w:tc>
        <w:tc>
          <w:tcPr>
            <w:tcW w:w="707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6.55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6.55</w:t>
            </w:r>
          </w:p>
        </w:tc>
        <w:tc>
          <w:tcPr>
            <w:tcW w:w="453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6.55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6.55</w:t>
            </w:r>
          </w:p>
        </w:tc>
        <w:tc>
          <w:tcPr>
            <w:tcW w:w="64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 ：本表反映部门本年度财政拨款“三公 ”经费支出预决算情况 。其中，预算数为“三公 ”经费全年预算数，反映按规定程序调整后的预算数 ；决算数是包括当年财政拨款和以前年度结转资金安排的实际支出。</w:t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225" w:right="0" w:hanging="1225"/>
        <w:jc w:val="center"/>
        <w:textAlignment w:val="baseline"/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23"/>
          <w:sz w:val="44"/>
          <w:szCs w:val="44"/>
          <w:u w:val="single" w:color="auto"/>
          <w:lang w:eastAsia="zh-CN"/>
        </w:rPr>
        <w:t>武汉市光谷第十二小学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  <w:u w:val="single" w:color="auto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2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年度 部门决算情况说明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spacing w:before="10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一、收入支出决算总体情况说明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0" w:firstLineChars="200"/>
        <w:textAlignment w:val="baseline"/>
        <w:rPr>
          <w:rFonts w:hint="default" w:ascii="Times New Roman" w:hAnsi="Times New Roman" w:eastAsia="仿宋_GB2312" w:cs="Times New Roman"/>
          <w:spacing w:val="-1"/>
          <w:lang w:val="en-US"/>
        </w:rPr>
      </w:pPr>
      <w:r>
        <w:rPr>
          <w:rFonts w:hint="default" w:ascii="Times New Roman" w:hAnsi="Times New Roman" w:eastAsia="仿宋_GB2312" w:cs="Times New Roman"/>
          <w:spacing w:val="-5"/>
        </w:rPr>
        <w:t>202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50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年度收、支总计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>7617.71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万元。与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202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4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年度相比，收</w:t>
      </w:r>
      <w:r>
        <w:rPr>
          <w:rFonts w:hint="eastAsia" w:ascii="Times New Roman" w:hAnsi="Times New Roman" w:eastAsia="仿宋_GB2312" w:cs="Times New Roman"/>
          <w:spacing w:val="-5"/>
          <w:lang w:eastAsia="zh-CN"/>
        </w:rPr>
        <w:t>入</w:t>
      </w:r>
      <w:r>
        <w:rPr>
          <w:rFonts w:hint="default" w:ascii="Times New Roman" w:hAnsi="Times New Roman" w:eastAsia="仿宋_GB2312" w:cs="Times New Roman"/>
          <w:spacing w:val="-1"/>
        </w:rPr>
        <w:t>总计增加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984.34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万元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"/>
        </w:rPr>
        <w:t>增长</w:t>
      </w:r>
      <w:r>
        <w:rPr>
          <w:rFonts w:hint="default" w:ascii="Times New Roman" w:hAnsi="Times New Roman" w:eastAsia="仿宋_GB2312" w:cs="Times New Roman"/>
          <w:spacing w:val="-158"/>
        </w:rPr>
        <w:t xml:space="preserve"> 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34.85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3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%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1"/>
        </w:rPr>
        <w:t>支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出</w:t>
      </w:r>
      <w:r>
        <w:rPr>
          <w:rFonts w:hint="default" w:ascii="Times New Roman" w:hAnsi="Times New Roman" w:eastAsia="仿宋_GB2312" w:cs="Times New Roman"/>
          <w:spacing w:val="-1"/>
        </w:rPr>
        <w:t>总计增加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860.37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万元，增长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29.18</w:t>
      </w:r>
      <w:r>
        <w:rPr>
          <w:rFonts w:hint="default" w:ascii="Times New Roman" w:hAnsi="Times New Roman" w:eastAsia="仿宋_GB2312" w:cs="Times New Roman"/>
          <w:spacing w:val="-143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%，主要原</w:t>
      </w:r>
      <w:r>
        <w:rPr>
          <w:rFonts w:hint="default" w:ascii="Times New Roman" w:hAnsi="Times New Roman" w:eastAsia="仿宋_GB2312" w:cs="Times New Roman"/>
          <w:spacing w:val="-14"/>
        </w:rPr>
        <w:t>因是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我单位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2024年秋季学期学生及教师增长幅度较大。</w:t>
      </w:r>
    </w:p>
    <w:p>
      <w:pPr>
        <w:pStyle w:val="5"/>
        <w:spacing w:before="74" w:line="224" w:lineRule="auto"/>
        <w:jc w:val="center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</w:t>
      </w:r>
      <w:r>
        <w:rPr>
          <w:rFonts w:hint="default" w:ascii="Times New Roman" w:hAnsi="Times New Roman" w:eastAsia="楷体_GB2312" w:cs="Times New Roman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1：收、支决算总计变动情况</w:t>
      </w:r>
    </w:p>
    <w:p>
      <w:pPr>
        <w:pStyle w:val="5"/>
        <w:spacing w:before="74" w:line="224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050790" cy="2448560"/>
            <wp:effectExtent l="4445" t="4445" r="12065" b="2349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5"/>
        <w:spacing w:before="74" w:line="224" w:lineRule="auto"/>
        <w:jc w:val="center"/>
        <w:rPr>
          <w:rFonts w:hint="default" w:ascii="Times New Roman" w:hAnsi="Times New Roman" w:cs="Times New Roman"/>
        </w:rPr>
      </w:pPr>
    </w:p>
    <w:p>
      <w:pPr>
        <w:spacing w:before="29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二、收入决算情况说明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pacing w:val="-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年度收入合计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3,808.79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与2023年度相比，收入合计增加984.34万元，增长34.85%，主要原因是我单位2024年秋季学期学生及教师增长幅度较大。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其中：财政拨款收入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3,480.65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91.38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%；其他收入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>328.14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8.62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2：收入决算结构</w:t>
      </w:r>
    </w:p>
    <w:p>
      <w:pPr>
        <w:spacing w:line="269" w:lineRule="auto"/>
        <w:jc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drawing>
          <wp:inline distT="0" distB="0" distL="114300" distR="114300">
            <wp:extent cx="4956810" cy="2478405"/>
            <wp:effectExtent l="4445" t="4445" r="10795" b="1270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z w:val="21"/>
        </w:rPr>
      </w:pPr>
    </w:p>
    <w:p>
      <w:pPr>
        <w:spacing w:before="104" w:line="222" w:lineRule="auto"/>
        <w:ind w:left="64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三、支出决算情况说明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年度支出合计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3,808.92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与2023年度相比，支出合计增加860.37万元，增长29.18%，主要原因是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我单位2024年秋季学期学生及教师增长幅度较大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其中：基本支出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>3,568.25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93.68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%；项目支出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240.67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6.32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3：支出决算结构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1155065</wp:posOffset>
            </wp:positionH>
            <wp:positionV relativeFrom="paragraph">
              <wp:posOffset>48895</wp:posOffset>
            </wp:positionV>
            <wp:extent cx="3548380" cy="2047240"/>
            <wp:effectExtent l="4445" t="5080" r="9525" b="5080"/>
            <wp:wrapTopAndBottom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四、财政拨款收入支出决算总体情况说明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年度财政拨款收、支总计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6961.3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相比，财政拨款收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总计增加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796.64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万元，增长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29.68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总计增加796.64万元，增长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29.68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%。主要原因是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我单位2024年秋季学期学生及教师增长幅度较大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2024年度财政拨款收入中，一般公共预算财政拨款收入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3,480.65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2023年度决算数增加796.64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增加(减少)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我单位2024年秋季学期学生及教师增长幅度较大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2023年度决算数增加(减少)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无政府性基金预算财政拨款收入支出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国有资本经营预算财政拨款收入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2023年度决算数增加(减少)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无国有资本经营预算财政拨款支出。</w:t>
      </w: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4：财政拨款收、支决算总计变动情况</w:t>
      </w: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4851400" cy="3038475"/>
            <wp:effectExtent l="4445" t="4445" r="20955" b="508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0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五、一般公共预算财政拨款支出决算情况说明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一般公共预算财政拨款支出决算总体情况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3,480.65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万元，占本年支出合计的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91.38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 xml:space="preserve"> %。与20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相比，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财政拨款支出增加796.64万元，增长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29.68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 xml:space="preserve"> %。主要原因是我单位2024年秋季学期学生及教师增长幅度较大。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(二)一般公共预算财政拨款支出决算结构情况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3,480.65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万元，主要用于以下方面：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社会保障和就业支出（类）支出223.03 万元，占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6.41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 xml:space="preserve"> %。主要使用科目为工资福利支出（机关养老、职业年金、职工基本医疗、公务员医疗补助、其他社会保障、其他工资福利、医疗费）。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2. 教育支出（类）3,257.62万元，占93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.59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 xml:space="preserve"> %。主要使用科目为工资福利支出（基本工资、津补贴、绩效工资、机关养老、职业年金、职工基本医疗、公务员医疗补助、其他社会保障、公积金、其他工资福利、退休费、医疗费），商品和服务支出（办公费、水费、电费、邮电费、物业管理费、差旅费、培训费、维修费、租赁费、专用材料费、劳务费、业务委托费、工会经费、福利费、公务用车运行维护费、其他交通费、其他商品和服务支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（三）一般公共预算财政拨款支出决算具体情况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202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"/>
        </w:rPr>
        <w:t>年度一般公共预算财政拨款支出年初预算为</w:t>
      </w:r>
      <w:r>
        <w:rPr>
          <w:rFonts w:hint="eastAsia" w:ascii="Times New Roman" w:hAnsi="Times New Roman" w:eastAsia="仿宋_GB2312" w:cs="Times New Roman"/>
          <w:spacing w:val="54"/>
          <w:u w:val="single" w:color="auto"/>
          <w:lang w:val="en-US" w:eastAsia="zh-CN"/>
        </w:rPr>
        <w:t>3480.65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万元，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支出决算为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>3480.65</w:t>
      </w:r>
      <w:r>
        <w:rPr>
          <w:rFonts w:hint="default" w:ascii="Times New Roman" w:hAnsi="Times New Roman" w:eastAsia="仿宋_GB2312" w:cs="Times New Roman"/>
          <w:spacing w:val="-115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万元，完成年初预算的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%。其中：基本支出</w:t>
      </w:r>
      <w:r>
        <w:rPr>
          <w:rFonts w:hint="default" w:ascii="Times New Roman" w:hAnsi="Times New Roman" w:eastAsia="仿宋_GB2312" w:cs="Times New Roman"/>
        </w:rPr>
        <w:t>3,338.38</w:t>
      </w:r>
      <w:r>
        <w:rPr>
          <w:rFonts w:hint="default" w:ascii="Times New Roman" w:hAnsi="Times New Roman" w:eastAsia="仿宋_GB2312" w:cs="Times New Roman"/>
          <w:spacing w:val="-6"/>
        </w:rPr>
        <w:t>万元，项目支出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142.27 </w:t>
      </w:r>
      <w:r>
        <w:rPr>
          <w:rFonts w:hint="default" w:ascii="Times New Roman" w:hAnsi="Times New Roman" w:eastAsia="仿宋_GB2312" w:cs="Times New Roman"/>
          <w:spacing w:val="-127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万元。项目支出主要用于课后服务经费115.20万元，主要成效保障我校课后服务顺利进行，一定程度减轻学生及家长负担，丰富学生课余生活</w:t>
      </w:r>
      <w:r>
        <w:rPr>
          <w:rFonts w:hint="default" w:ascii="Times New Roman" w:hAnsi="Times New Roman" w:eastAsia="仿宋_GB2312" w:cs="Times New Roman"/>
          <w:spacing w:val="-16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7"/>
        </w:rPr>
        <w:t>1.一般公共服务支出</w:t>
      </w:r>
      <w:r>
        <w:rPr>
          <w:rFonts w:hint="default" w:ascii="Times New Roman" w:hAnsi="Times New Roman" w:eastAsia="仿宋_GB2312" w:cs="Times New Roman"/>
          <w:spacing w:val="-85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类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财政事务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款</w:t>
      </w:r>
      <w:r>
        <w:rPr>
          <w:rFonts w:hint="eastAsia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行政运行</w:t>
      </w:r>
      <w:r>
        <w:rPr>
          <w:rFonts w:hint="eastAsia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项</w:t>
      </w:r>
      <w:r>
        <w:rPr>
          <w:rFonts w:hint="eastAsia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。年初预算为</w:t>
      </w:r>
      <w:r>
        <w:rPr>
          <w:rFonts w:hint="default" w:ascii="Times New Roman" w:hAnsi="Times New Roman" w:eastAsia="仿宋_GB2312" w:cs="Times New Roman"/>
          <w:spacing w:val="-8"/>
          <w:u w:val="single" w:color="auto"/>
        </w:rPr>
        <w:t xml:space="preserve">3480.65 </w:t>
      </w:r>
      <w:r>
        <w:rPr>
          <w:rFonts w:hint="default" w:ascii="Times New Roman" w:hAnsi="Times New Roman" w:eastAsia="仿宋_GB2312" w:cs="Times New Roman"/>
          <w:spacing w:val="-129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</w:rPr>
        <w:t>万元，支出决算为</w:t>
      </w:r>
      <w:r>
        <w:rPr>
          <w:rFonts w:hint="default" w:ascii="Times New Roman" w:hAnsi="Times New Roman" w:eastAsia="仿宋_GB2312" w:cs="Times New Roman"/>
          <w:spacing w:val="-8"/>
          <w:u w:val="single" w:color="auto"/>
        </w:rPr>
        <w:t>3480.65</w:t>
      </w:r>
      <w:r>
        <w:rPr>
          <w:rFonts w:hint="default" w:ascii="Times New Roman" w:hAnsi="Times New Roman" w:eastAsia="仿宋_GB2312" w:cs="Times New Roman"/>
          <w:spacing w:val="-129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</w:rPr>
        <w:t>万元，完成年初预算的</w:t>
      </w:r>
      <w:r>
        <w:rPr>
          <w:rFonts w:hint="eastAsia" w:ascii="Times New Roman" w:hAnsi="Times New Roman" w:eastAsia="仿宋_GB2312" w:cs="Times New Roman"/>
          <w:spacing w:val="-8"/>
          <w:u w:val="singl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9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9"/>
        </w:rPr>
        <w:t>%</w:t>
      </w:r>
      <w:r>
        <w:rPr>
          <w:rFonts w:hint="eastAsia" w:ascii="Times New Roman" w:hAnsi="Times New Roman" w:eastAsia="仿宋_GB2312" w:cs="Times New Roman"/>
          <w:spacing w:val="-9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六、一般公共预算财政拨款基本支出决算情况说明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12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</w:rPr>
        <w:t>202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7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年度一般公共预算财政拨款基本支出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 xml:space="preserve"> 3,338.38 </w:t>
      </w:r>
      <w:r>
        <w:rPr>
          <w:rFonts w:hint="default" w:ascii="Times New Roman" w:hAnsi="Times New Roman" w:eastAsia="仿宋_GB2312" w:cs="Times New Roman"/>
          <w:spacing w:val="-7"/>
        </w:rPr>
        <w:t>万元，其中：</w:t>
      </w:r>
      <w:r>
        <w:rPr>
          <w:rFonts w:hint="default" w:ascii="Times New Roman" w:hAnsi="Times New Roman" w:eastAsia="仿宋_GB2312" w:cs="Times New Roman"/>
          <w:spacing w:val="-13"/>
        </w:rPr>
        <w:t>人员经费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 xml:space="preserve"> 2,989.71 </w:t>
      </w:r>
      <w:r>
        <w:rPr>
          <w:rFonts w:hint="default" w:ascii="Times New Roman" w:hAnsi="Times New Roman" w:eastAsia="仿宋_GB2312" w:cs="Times New Roman"/>
          <w:spacing w:val="-13"/>
        </w:rPr>
        <w:t>万元，主要包括：基本工资、津贴补贴、</w:t>
      </w:r>
      <w:r>
        <w:rPr>
          <w:rFonts w:hint="default" w:ascii="Times New Roman" w:hAnsi="Times New Roman" w:eastAsia="仿宋_GB2312" w:cs="Times New Roman"/>
          <w:spacing w:val="-14"/>
        </w:rPr>
        <w:t>奖金、</w:t>
      </w:r>
      <w:r>
        <w:rPr>
          <w:rFonts w:hint="default" w:ascii="Times New Roman" w:hAnsi="Times New Roman" w:eastAsia="仿宋_GB2312" w:cs="Times New Roman"/>
          <w:spacing w:val="-5"/>
        </w:rPr>
        <w:t>伙食补助费、绩效工资、机关事业单位基本养老保险缴费、职业年金缴费、职工基本医疗保险缴费、公务员医疗补助缴费、其他社会保障缴费、住房公积金、医疗费、其他工资福利支出、离休费、退休费、退职</w:t>
      </w:r>
      <w:r>
        <w:rPr>
          <w:rFonts w:hint="eastAsia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役</w:t>
      </w:r>
      <w:r>
        <w:rPr>
          <w:rFonts w:hint="eastAsia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费、抚恤金、生活补助</w:t>
      </w:r>
      <w:r>
        <w:rPr>
          <w:rFonts w:hint="default" w:ascii="Times New Roman" w:hAnsi="Times New Roman" w:eastAsia="仿宋_GB2312" w:cs="Times New Roman"/>
          <w:spacing w:val="-6"/>
        </w:rPr>
        <w:t>、救济费、医疗费</w:t>
      </w:r>
      <w:r>
        <w:rPr>
          <w:rFonts w:hint="default" w:ascii="Times New Roman" w:hAnsi="Times New Roman" w:eastAsia="仿宋_GB2312" w:cs="Times New Roman"/>
          <w:spacing w:val="-3"/>
        </w:rPr>
        <w:t>补助、助学金、奖励金、个人农业生产补贴、代缴社会保险费、</w:t>
      </w:r>
      <w:r>
        <w:rPr>
          <w:rFonts w:hint="default" w:ascii="Times New Roman" w:hAnsi="Times New Roman" w:eastAsia="仿宋_GB2312" w:cs="Times New Roman"/>
          <w:spacing w:val="12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其他对个人和家庭的补助。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</w:rPr>
        <w:t>公用经费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348.67</w:t>
      </w:r>
      <w:r>
        <w:rPr>
          <w:rFonts w:hint="default" w:ascii="Times New Roman" w:hAnsi="Times New Roman" w:eastAsia="仿宋_GB2312" w:cs="Times New Roman"/>
          <w:spacing w:val="-128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万元，主要包括：办公费、</w:t>
      </w:r>
      <w:r>
        <w:rPr>
          <w:rFonts w:hint="default" w:ascii="Times New Roman" w:hAnsi="Times New Roman" w:eastAsia="仿宋_GB2312" w:cs="Times New Roman"/>
          <w:spacing w:val="-93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印刷费、咨询费、</w:t>
      </w:r>
      <w:r>
        <w:rPr>
          <w:rFonts w:hint="default" w:ascii="Times New Roman" w:hAnsi="Times New Roman" w:eastAsia="仿宋_GB2312" w:cs="Times New Roman"/>
          <w:spacing w:val="-3"/>
        </w:rPr>
        <w:t>手续费、水费、电费、邮电费、取暖费、物业管理费、差旅费、</w:t>
      </w:r>
      <w:r>
        <w:rPr>
          <w:rFonts w:hint="default" w:ascii="Times New Roman" w:hAnsi="Times New Roman" w:eastAsia="仿宋_GB2312" w:cs="Times New Roman"/>
          <w:spacing w:val="-7"/>
        </w:rPr>
        <w:t>因公出国</w:t>
      </w:r>
      <w:r>
        <w:rPr>
          <w:rFonts w:hint="default" w:ascii="Times New Roman" w:hAnsi="Times New Roman" w:eastAsia="仿宋_GB2312" w:cs="Times New Roman"/>
          <w:spacing w:val="-75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境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费用、维修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护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费、租赁费、会议费、培训费、公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务接待费、专用材料费、被装购置费、专用燃料费、劳务费、委托业务费、工会经费、福利费、公务用车运行维护费、其他交通</w:t>
      </w:r>
      <w:r>
        <w:rPr>
          <w:rFonts w:hint="default" w:ascii="Times New Roman" w:hAnsi="Times New Roman" w:eastAsia="仿宋_GB2312" w:cs="Times New Roman"/>
          <w:spacing w:val="-3"/>
        </w:rPr>
        <w:t>费用、税金及附加费用、其他商品和服务支出、办公设备购置、</w:t>
      </w:r>
      <w:r>
        <w:rPr>
          <w:rFonts w:hint="default" w:ascii="Times New Roman" w:hAnsi="Times New Roman" w:eastAsia="仿宋_GB2312" w:cs="Times New Roman"/>
          <w:spacing w:val="-5"/>
        </w:rPr>
        <w:t>专用设备购置、信息网络及软件购置更新、公务用车购置、文物</w:t>
      </w:r>
      <w:r>
        <w:rPr>
          <w:rFonts w:hint="default" w:ascii="Times New Roman" w:hAnsi="Times New Roman" w:eastAsia="仿宋_GB2312" w:cs="Times New Roman"/>
          <w:spacing w:val="-1"/>
        </w:rPr>
        <w:t>和陈列品购置、无形资产购置、其他资本性支出。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七、政府性基金预算财政拨款收入支出决算情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况说明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本部门当年无政府性基金预算财政拨款收入支出</w:t>
      </w:r>
      <w:r>
        <w:rPr>
          <w:rFonts w:hint="eastAsia" w:ascii="Times New Roman" w:hAnsi="Times New Roman" w:eastAsia="仿宋_GB2312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八、国有资本经营预算财政拨款支出决算情况说明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>本部门当年无国有资本经营预算财政拨款支出</w:t>
      </w:r>
      <w:r>
        <w:rPr>
          <w:rFonts w:hint="eastAsia" w:ascii="Times New Roman" w:hAnsi="Times New Roman" w:eastAsia="仿宋_GB2312" w:cs="Times New Roman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6" w:firstLineChars="200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九、财政拨款“三公”经费支出决算情况说明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rPr>
          <w:rFonts w:hint="default" w:ascii="Times New Roman" w:hAnsi="Times New Roman" w:eastAsia="仿宋_GB2312" w:cs="Times New Roman"/>
          <w:spacing w:val="1"/>
          <w:lang w:eastAsia="zh-CN"/>
        </w:rPr>
      </w:pP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2024年度“三公”经费财政拨款支出全年预算为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>6.55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万元，支出决算为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>6.55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万元，完成全年预算的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%。较上年增加6.55万元，增长100 %。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（二）“三公”经费财政拨款支出决算具体情况说明。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</w:rPr>
        <w:t>1.因公出国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境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费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spacing w:val="-4"/>
        </w:rPr>
        <w:t>预算为</w:t>
      </w:r>
      <w:r>
        <w:rPr>
          <w:rFonts w:hint="default" w:ascii="Times New Roman" w:hAnsi="Times New Roman" w:eastAsia="仿宋_GB2312" w:cs="Times New Roman"/>
          <w:spacing w:val="-4"/>
          <w:u w:val="single" w:color="auto"/>
        </w:rPr>
        <w:t xml:space="preserve"> 6.55 </w:t>
      </w:r>
      <w:r>
        <w:rPr>
          <w:rFonts w:hint="default" w:ascii="Times New Roman" w:hAnsi="Times New Roman" w:eastAsia="仿宋_GB2312" w:cs="Times New Roman"/>
          <w:spacing w:val="-129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万元，支出决算</w:t>
      </w:r>
      <w:r>
        <w:rPr>
          <w:rFonts w:hint="default" w:ascii="Times New Roman" w:hAnsi="Times New Roman" w:eastAsia="仿宋_GB2312" w:cs="Times New Roman"/>
          <w:spacing w:val="-5"/>
        </w:rPr>
        <w:t>为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6.55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万元，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</w:rPr>
        <w:t>完成</w:t>
      </w:r>
      <w:r>
        <w:rPr>
          <w:rFonts w:hint="eastAsia" w:ascii="Times New Roman" w:hAnsi="Times New Roman" w:eastAsia="仿宋_GB2312" w:cs="Times New Roman"/>
          <w:spacing w:val="11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spacing w:val="11"/>
        </w:rPr>
        <w:t>预算的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eastAsia" w:ascii="Times New Roman" w:hAnsi="Times New Roman" w:eastAsia="仿宋_GB2312" w:cs="Times New Roman"/>
          <w:spacing w:val="17"/>
          <w:u w:val="singl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</w:rPr>
        <w:t>%，</w:t>
      </w:r>
      <w:r>
        <w:rPr>
          <w:rFonts w:hint="default" w:ascii="Times New Roman" w:hAnsi="Times New Roman" w:eastAsia="仿宋_GB2312" w:cs="Times New Roman"/>
          <w:spacing w:val="-78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</w:rPr>
        <w:t>比</w:t>
      </w:r>
      <w:r>
        <w:rPr>
          <w:rFonts w:hint="eastAsia" w:ascii="Times New Roman" w:hAnsi="Times New Roman" w:eastAsia="仿宋_GB2312" w:cs="Times New Roman"/>
          <w:spacing w:val="11"/>
          <w:lang w:eastAsia="zh-CN"/>
        </w:rPr>
        <w:t>上年</w:t>
      </w:r>
      <w:r>
        <w:rPr>
          <w:rFonts w:hint="default" w:ascii="Times New Roman" w:hAnsi="Times New Roman" w:eastAsia="仿宋_GB2312" w:cs="Times New Roman"/>
          <w:spacing w:val="11"/>
        </w:rPr>
        <w:t>增加</w:t>
      </w:r>
      <w:r>
        <w:rPr>
          <w:rFonts w:hint="eastAsia" w:ascii="Times New Roman" w:hAnsi="Times New Roman" w:eastAsia="仿宋_GB2312" w:cs="Times New Roman"/>
          <w:spacing w:val="11"/>
          <w:lang w:eastAsia="zh-CN"/>
        </w:rPr>
        <w:t>6.55</w:t>
      </w:r>
      <w:r>
        <w:rPr>
          <w:rFonts w:hint="default" w:ascii="Times New Roman" w:hAnsi="Times New Roman" w:eastAsia="仿宋_GB2312" w:cs="Times New Roman"/>
          <w:spacing w:val="-129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</w:rPr>
        <w:t>万</w:t>
      </w:r>
      <w:r>
        <w:rPr>
          <w:rFonts w:hint="default" w:ascii="Times New Roman" w:hAnsi="Times New Roman" w:eastAsia="仿宋_GB2312" w:cs="Times New Roman"/>
          <w:spacing w:val="10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spacing w:val="-10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决算数较上年增加的主要原因我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单位李伶书记作为教育部“双名计划”成员，受邀赴芬兰参加培训（此次活动有区管委会正式批复）。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2.</w:t>
      </w:r>
      <w:r>
        <w:rPr>
          <w:rFonts w:hint="eastAsia" w:ascii="Times New Roman" w:hAnsi="Times New Roman" w:eastAsia="仿宋_GB2312" w:cs="Times New Roman"/>
          <w:spacing w:val="-6"/>
          <w:lang w:eastAsia="zh-CN"/>
        </w:rPr>
        <w:t>我校无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公务用车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及公务用车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购置及运行费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7"/>
        </w:rPr>
        <w:t>3.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我校我</w:t>
      </w:r>
      <w:r>
        <w:rPr>
          <w:rFonts w:hint="eastAsia" w:ascii="Times New Roman" w:hAnsi="Times New Roman" w:eastAsia="仿宋_GB2312" w:cs="Times New Roman"/>
          <w:spacing w:val="-7"/>
        </w:rPr>
        <w:t>公务接待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及相关费用支出。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十、机关运行经费支出说明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>本部门</w:t>
      </w:r>
      <w:r>
        <w:rPr>
          <w:rFonts w:hint="eastAsia" w:ascii="Times New Roman" w:hAnsi="Times New Roman" w:eastAsia="仿宋_GB2312" w:cs="Times New Roman"/>
          <w:lang w:eastAsia="zh-CN"/>
        </w:rPr>
        <w:t>无机关运行经费支出。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十一、政府采购支出说明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202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</w:rPr>
        <w:t>年度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eastAsia="zh-CN"/>
        </w:rPr>
        <w:t>武汉市光谷第十二小学</w:t>
      </w:r>
      <w:r>
        <w:rPr>
          <w:rFonts w:hint="default" w:ascii="Times New Roman" w:hAnsi="Times New Roman" w:eastAsia="仿宋_GB2312" w:cs="Times New Roman"/>
          <w:spacing w:val="-6"/>
        </w:rPr>
        <w:t>政府采购支出总额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85.98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18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万元，其中：政府采购货物支出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12.53</w:t>
      </w:r>
      <w:r>
        <w:rPr>
          <w:rFonts w:hint="default" w:ascii="Times New Roman" w:hAnsi="Times New Roman" w:eastAsia="仿宋_GB2312" w:cs="Times New Roman"/>
          <w:spacing w:val="-6"/>
        </w:rPr>
        <w:t>万元、政府采购工程支出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万元、政府采购服务支出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73.45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29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</w:t>
      </w:r>
      <w:r>
        <w:rPr>
          <w:rFonts w:hint="default" w:ascii="Times New Roman" w:hAnsi="Times New Roman" w:eastAsia="仿宋_GB2312" w:cs="Times New Roman"/>
          <w:spacing w:val="-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十二、国有资产占用情况说明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14"/>
        </w:rPr>
        <w:t>截至</w:t>
      </w:r>
      <w:r>
        <w:rPr>
          <w:rFonts w:hint="default" w:ascii="Times New Roman" w:hAnsi="Times New Roman" w:eastAsia="仿宋_GB2312" w:cs="Times New Roman"/>
          <w:spacing w:val="-43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202</w:t>
      </w:r>
      <w:r>
        <w:rPr>
          <w:rFonts w:hint="eastAsia" w:ascii="Times New Roman" w:hAnsi="Times New Roman" w:eastAsia="仿宋_GB2312" w:cs="Times New Roman"/>
          <w:spacing w:val="-1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14"/>
        </w:rPr>
        <w:t>年</w:t>
      </w:r>
      <w:r>
        <w:rPr>
          <w:rFonts w:hint="default" w:ascii="Times New Roman" w:hAnsi="Times New Roman" w:eastAsia="仿宋_GB2312" w:cs="Times New Roman"/>
          <w:spacing w:val="-46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12</w:t>
      </w:r>
      <w:r>
        <w:rPr>
          <w:rFonts w:hint="default" w:ascii="Times New Roman" w:hAnsi="Times New Roman" w:eastAsia="仿宋_GB2312" w:cs="Times New Roman"/>
          <w:spacing w:val="-52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月</w:t>
      </w:r>
      <w:r>
        <w:rPr>
          <w:rFonts w:hint="default" w:ascii="Times New Roman" w:hAnsi="Times New Roman" w:eastAsia="仿宋_GB2312" w:cs="Times New Roman"/>
          <w:spacing w:val="-46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31 日，</w:t>
      </w:r>
      <w:r>
        <w:rPr>
          <w:rFonts w:hint="eastAsia" w:ascii="Times New Roman" w:hAnsi="Times New Roman" w:eastAsia="仿宋_GB2312" w:cs="Times New Roman"/>
          <w:spacing w:val="-14"/>
          <w:u w:val="single" w:color="auto"/>
          <w:lang w:eastAsia="zh-CN"/>
        </w:rPr>
        <w:t>武汉市光谷第十二小学共有车辆 0  辆，其中，副部（省）级及以上领导用车 0 辆，主要负责人用车0 辆，机要通信用车0辆，应急保障用车0 辆、执法执勤用车0辆、特种专业技术用车0 辆、离退休干部服务用车0 辆、无其他用车辆。单价 100 万元（含）以上设备（不含车辆）0 台 （套）</w:t>
      </w:r>
      <w:r>
        <w:rPr>
          <w:rFonts w:hint="default" w:ascii="Times New Roman" w:hAnsi="Times New Roman" w:eastAsia="仿宋_GB2312" w:cs="Times New Roman"/>
          <w:spacing w:val="-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十三、预算绩效情况说明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outlineLvl w:val="1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一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预算绩效管理工作开展情况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根据预算绩效管理要求，我部门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组织对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0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年度一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般公共预算项目支出全面开展绩效自评，共</w:t>
      </w:r>
      <w:r>
        <w:rPr>
          <w:rFonts w:hint="default" w:ascii="Times New Roman" w:hAnsi="Times New Roman" w:eastAsia="仿宋_GB2312" w:cs="Times New Roman"/>
          <w:spacing w:val="-4"/>
        </w:rPr>
        <w:t>涉及项目</w:t>
      </w:r>
      <w:r>
        <w:rPr>
          <w:rFonts w:hint="default" w:ascii="Times New Roman" w:hAnsi="Times New Roman" w:eastAsia="仿宋_GB2312" w:cs="Times New Roman"/>
          <w:spacing w:val="-4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u w:val="single" w:color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4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个，</w:t>
      </w:r>
      <w:r>
        <w:rPr>
          <w:rFonts w:hint="default" w:ascii="Times New Roman" w:hAnsi="Times New Roman" w:eastAsia="仿宋_GB2312" w:cs="Times New Roman"/>
          <w:spacing w:val="-3"/>
        </w:rPr>
        <w:t>资金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 xml:space="preserve">3,808.92 </w:t>
      </w:r>
      <w:r>
        <w:rPr>
          <w:rFonts w:hint="default" w:ascii="Times New Roman" w:hAnsi="Times New Roman" w:eastAsia="仿宋_GB2312" w:cs="Times New Roman"/>
          <w:spacing w:val="-123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万元，</w:t>
      </w:r>
      <w:r>
        <w:rPr>
          <w:rFonts w:hint="default" w:ascii="Times New Roman" w:hAnsi="Times New Roman" w:eastAsia="仿宋_GB2312" w:cs="Times New Roman"/>
          <w:spacing w:val="-89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占一般公共预算项目支出总额的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u w:val="singl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%。从</w:t>
      </w:r>
      <w:r>
        <w:rPr>
          <w:rFonts w:hint="default" w:ascii="Times New Roman" w:hAnsi="Times New Roman" w:eastAsia="仿宋_GB2312" w:cs="Times New Roman"/>
          <w:spacing w:val="-6"/>
        </w:rPr>
        <w:t>绩效评价情况来看，</w:t>
      </w:r>
      <w:r>
        <w:rPr>
          <w:rFonts w:hint="default" w:ascii="Times New Roman" w:hAnsi="Times New Roman" w:eastAsia="仿宋_GB2312" w:cs="Times New Roman"/>
          <w:spacing w:val="-3"/>
        </w:rPr>
        <w:t>武汉市光谷第十二小学本年度部门支出管理及绩效较好，项目立项规范，绩效目标合理。在产出方面，绩效目标完成率较高。在效益方面，整体工作具有较好的社会效益，资金使用效益较好，项目受益群众满意度较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二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部门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单位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整体支出自评结果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-7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3"/>
        </w:rPr>
        <w:t>我部门</w:t>
      </w:r>
      <w:r>
        <w:rPr>
          <w:rFonts w:hint="default" w:ascii="Times New Roman" w:hAnsi="Times New Roman" w:eastAsia="仿宋_GB2312" w:cs="Times New Roman"/>
          <w:spacing w:val="-70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组织对</w:t>
      </w:r>
      <w:r>
        <w:rPr>
          <w:rFonts w:hint="default" w:ascii="Times New Roman" w:hAnsi="Times New Roman" w:eastAsia="仿宋_GB2312" w:cs="Times New Roman"/>
          <w:spacing w:val="-15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7"/>
          <w:u w:val="single" w:color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7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3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个部门</w:t>
      </w:r>
      <w:r>
        <w:rPr>
          <w:rFonts w:hint="default" w:ascii="Times New Roman" w:hAnsi="Times New Roman" w:eastAsia="仿宋_GB2312" w:cs="Times New Roman"/>
          <w:spacing w:val="-75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开展整体支出绩</w:t>
      </w:r>
      <w:r>
        <w:rPr>
          <w:rFonts w:hint="default" w:ascii="Times New Roman" w:hAnsi="Times New Roman" w:eastAsia="仿宋_GB2312" w:cs="Times New Roman"/>
          <w:spacing w:val="-7"/>
        </w:rPr>
        <w:t>效自评，资金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>3,808.92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万元，从评价情况来看，武汉市光谷第十二小学本年度部门支出管理及绩效较好，项目立项规范，绩效目标合理。在产出方面，绩效目标完成率较高。在效益方面，整体工作具有较好的社会效益，资金使用效益较好，项目受益群众满意度较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高。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12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7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7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7"/>
          <w:lang w:val="en-US" w:eastAsia="zh-CN"/>
        </w:rPr>
        <w:t>02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7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武汉市光谷第十二小学</w:t>
      </w:r>
      <w:r>
        <w:rPr>
          <w:rFonts w:hint="default" w:ascii="Times New Roman" w:hAnsi="Times New Roman" w:eastAsia="仿宋_GB2312" w:cs="Times New Roman"/>
          <w:spacing w:val="-7"/>
          <w:lang w:val="en-US" w:eastAsia="zh-CN"/>
        </w:rPr>
        <w:t>整体绩效目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标分为</w:t>
      </w:r>
      <w:r>
        <w:rPr>
          <w:rFonts w:hint="default" w:ascii="Times New Roman" w:hAnsi="Times New Roman" w:eastAsia="仿宋_GB2312" w:cs="Times New Roman"/>
          <w:spacing w:val="-7"/>
          <w:lang w:val="en-US" w:eastAsia="zh-CN"/>
        </w:rPr>
        <w:t>长期目标（截止2026年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）和</w:t>
      </w:r>
      <w:r>
        <w:rPr>
          <w:rFonts w:hint="default" w:ascii="Times New Roman" w:hAnsi="Times New Roman" w:eastAsia="仿宋_GB2312" w:cs="Times New Roman"/>
          <w:spacing w:val="-7"/>
          <w:lang w:val="en-US" w:eastAsia="zh-CN"/>
        </w:rPr>
        <w:t>年度目标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。其中：长期目标（截止2026年）主要内容为</w:t>
      </w:r>
      <w:r>
        <w:rPr>
          <w:rFonts w:hint="default" w:ascii="Times New Roman" w:hAnsi="Times New Roman" w:eastAsia="仿宋_GB2312" w:cs="Times New Roman"/>
          <w:spacing w:val="-7"/>
          <w:lang w:val="en-US" w:eastAsia="zh-CN"/>
        </w:rPr>
        <w:t>围绕学生核心素养的主要内容及其具体要求，不断强化质量生命意识，进一步深化学校办学综合改革，办好人民满意的学校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；年度目标内容为</w:t>
      </w:r>
      <w:r>
        <w:rPr>
          <w:rFonts w:hint="default" w:ascii="Times New Roman" w:hAnsi="Times New Roman" w:eastAsia="仿宋_GB2312" w:cs="Times New Roman"/>
          <w:spacing w:val="-7"/>
          <w:lang w:val="en-US" w:eastAsia="zh-CN"/>
        </w:rPr>
        <w:t>以师德师风为核心，建设高素质的教师队伍；完善课程体系，深化课程内涵；尊重学生的个体差异，减轻学生负担；继续完善基础设施建设，营造浓厚的校园文化；促进学校教育教学质量的整体提。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本年度整体绩效目标已按预期标准完成。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7"/>
          <w:sz w:val="32"/>
          <w:szCs w:val="32"/>
        </w:rPr>
        <w:t>三</w:t>
      </w:r>
      <w:r>
        <w:rPr>
          <w:rFonts w:hint="eastAsia" w:ascii="Times New Roman" w:hAnsi="Times New Roman" w:eastAsia="楷体_GB2312" w:cs="Times New Roman"/>
          <w:spacing w:val="-7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7"/>
          <w:sz w:val="32"/>
          <w:szCs w:val="32"/>
        </w:rPr>
        <w:t>项目支出自评结果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4"/>
        </w:rPr>
        <w:t>我部门</w:t>
      </w:r>
      <w:r>
        <w:rPr>
          <w:rFonts w:hint="default" w:ascii="Times New Roman" w:hAnsi="Times New Roman" w:eastAsia="仿宋_GB2312" w:cs="Times New Roman"/>
          <w:spacing w:val="-68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单位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在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</w:rPr>
        <w:t>年度部门决算中反映所有项目绩效自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评结果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不包括涉密项目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</w:rPr>
        <w:t>，共涉及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2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个一级项目。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rPr>
          <w:rFonts w:hint="default" w:ascii="Times New Roman" w:hAnsi="Times New Roman" w:eastAsia="仿宋_GB2312" w:cs="Times New Roman"/>
          <w:spacing w:val="-7"/>
        </w:rPr>
      </w:pPr>
      <w:r>
        <w:rPr>
          <w:rFonts w:hint="eastAsia" w:ascii="Times New Roman" w:hAnsi="Times New Roman" w:eastAsia="仿宋_GB2312" w:cs="Times New Roman"/>
          <w:spacing w:val="-8"/>
          <w:u w:val="single" w:color="auto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pacing w:val="-8"/>
          <w:u w:val="single" w:color="auto"/>
          <w:lang w:eastAsia="zh-CN"/>
        </w:rPr>
        <w:t>课后服务</w:t>
      </w:r>
      <w:r>
        <w:rPr>
          <w:rFonts w:hint="default" w:ascii="Times New Roman" w:hAnsi="Times New Roman" w:eastAsia="仿宋_GB2312" w:cs="Times New Roman"/>
          <w:spacing w:val="-8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0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</w:rPr>
        <w:t>项目绩效自评综述：项目全年预算数为</w:t>
      </w:r>
      <w:r>
        <w:rPr>
          <w:rFonts w:hint="default" w:ascii="Times New Roman" w:hAnsi="Times New Roman" w:eastAsia="仿宋_GB2312" w:cs="Times New Roman"/>
          <w:spacing w:val="-8"/>
          <w:u w:val="single" w:color="auto"/>
        </w:rPr>
        <w:t xml:space="preserve"> 2</w:t>
      </w:r>
      <w:r>
        <w:rPr>
          <w:rFonts w:hint="eastAsia" w:ascii="Times New Roman" w:hAnsi="Times New Roman" w:eastAsia="仿宋_GB2312" w:cs="Times New Roman"/>
          <w:spacing w:val="-8"/>
          <w:u w:val="single" w:color="auto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spacing w:val="-8"/>
          <w:u w:val="single" w:color="auto"/>
        </w:rPr>
        <w:t xml:space="preserve">.67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</w:rPr>
        <w:t>万元，</w:t>
      </w:r>
      <w:r>
        <w:rPr>
          <w:rFonts w:hint="default" w:ascii="Times New Roman" w:hAnsi="Times New Roman" w:eastAsia="仿宋_GB2312" w:cs="Times New Roman"/>
        </w:rPr>
        <w:t>执行数为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2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.67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</w:rPr>
        <w:t>万元，完成预算的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%。主要产出和效益是：维持学校各项机制顺利运行，更好的保障学生活动费用的支出</w:t>
      </w:r>
      <w:r>
        <w:rPr>
          <w:rFonts w:hint="default" w:ascii="Times New Roman" w:hAnsi="Times New Roman" w:eastAsia="仿宋_GB2312" w:cs="Times New Roman"/>
          <w:spacing w:val="-7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仿宋_GB2312" w:cs="Times New Roman"/>
          <w:spacing w:val="-7"/>
        </w:rPr>
      </w:pP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名师工作室</w:t>
      </w:r>
      <w:r>
        <w:rPr>
          <w:rFonts w:hint="default" w:ascii="Times New Roman" w:hAnsi="Times New Roman" w:eastAsia="仿宋_GB2312" w:cs="Times New Roman"/>
          <w:spacing w:val="-7"/>
        </w:rPr>
        <w:t xml:space="preserve">项目绩效自评综述：项目全年预算数为 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7"/>
        </w:rPr>
        <w:t xml:space="preserve">  万元，执行数为 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7"/>
        </w:rPr>
        <w:t xml:space="preserve">  万元，完成预算的 100  %。主要产出和效益是：建设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李伶</w:t>
      </w:r>
      <w:r>
        <w:rPr>
          <w:rFonts w:hint="default" w:ascii="Times New Roman" w:hAnsi="Times New Roman" w:eastAsia="仿宋_GB2312" w:cs="Times New Roman"/>
          <w:spacing w:val="-7"/>
        </w:rPr>
        <w:t>名师工作室，提高我校教师专业化水平，探索新形势下教师队伍建设的新途径、新方法，不断提高教师教育教学能力。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武汉市光谷第十二小学项目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绩效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主要包含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往来可用资金-课后服务费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往来可用资金（增量）-综合管理工作经费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两个项目。其中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往来可用资金-课后服务费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绩效目标主要内容为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高效高质完成课后服务工作任务，确保每位参与课后服务学生能够有所收获。做到有序托管、有效托管，让学生满意，家长满意。　往来可用资金（增量）-综合管理工作经费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绩效目标主要内容为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名师工作室，提高我校教师专业化水平，探索新形势下教师队伍建设的新途径、新方法，不断提高教师教育教学能力。</w:t>
      </w:r>
      <w:r>
        <w:rPr>
          <w:rFonts w:hint="eastAsia" w:ascii="Times New Roman" w:hAnsi="Times New Roman" w:eastAsia="仿宋_GB2312" w:cs="Times New Roman"/>
          <w:b w:val="0"/>
          <w:bCs w:val="0"/>
          <w:spacing w:val="-7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年度整体绩效目标已按预期标准完成。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四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绩效自评结果应用情况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绩效评价工作结束后，及时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获取并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向各部门反馈绩效评价结果，对发现的问题及时要求整改，提出具体整改措施。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绩效评价结果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，积极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加强项目规划、绩效目标管理，完善项目分配和管理办法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加强项目管理、结果与预算安排相结合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 xml:space="preserve">第四部分  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</w:rPr>
        <w:t>202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82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年重点工作完成情况</w:t>
      </w: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84" w:lineRule="auto"/>
        <w:ind w:left="1468" w:right="765" w:hanging="703"/>
        <w:textAlignment w:val="baseline"/>
        <w:rPr>
          <w:rFonts w:hint="default" w:ascii="Times New Roman" w:hAnsi="Times New Roman" w:eastAsia="黑体" w:cs="Times New Roman"/>
          <w:spacing w:val="8"/>
        </w:rPr>
      </w:pPr>
      <w:r>
        <w:rPr>
          <w:rFonts w:hint="default" w:ascii="Times New Roman" w:hAnsi="Times New Roman" w:eastAsia="黑体" w:cs="Times New Roman"/>
          <w:spacing w:val="-2"/>
        </w:rPr>
        <w:t>重点工作事项标题</w:t>
      </w:r>
      <w:r>
        <w:rPr>
          <w:rFonts w:hint="default" w:ascii="Times New Roman" w:hAnsi="Times New Roman" w:eastAsia="黑体" w:cs="Times New Roman"/>
          <w:spacing w:val="8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84" w:lineRule="auto"/>
        <w:ind w:right="765" w:rightChars="0"/>
        <w:jc w:val="right"/>
        <w:textAlignment w:val="baseline"/>
        <w:rPr>
          <w:rFonts w:hint="eastAsia" w:ascii="Times New Roman" w:hAnsi="Times New Roman" w:eastAsia="仿宋_GB2312" w:cs="Times New Roman"/>
          <w:spacing w:val="-4"/>
          <w:lang w:eastAsia="zh-CN"/>
        </w:rPr>
      </w:pPr>
      <w:r>
        <w:rPr>
          <w:rFonts w:hint="eastAsia" w:ascii="Times New Roman" w:hAnsi="Times New Roman" w:eastAsia="仿宋_GB2312" w:cs="Times New Roman"/>
          <w:spacing w:val="-4"/>
          <w:lang w:eastAsia="zh-CN"/>
        </w:rPr>
        <w:t>文化牵引，新质驱动，让适尔教育持续创生优质教育资源</w:t>
      </w:r>
    </w:p>
    <w:p>
      <w:pPr>
        <w:pStyle w:val="5"/>
        <w:spacing w:before="218" w:line="283" w:lineRule="auto"/>
        <w:ind w:left="1471" w:right="4738" w:hanging="705"/>
        <w:rPr>
          <w:rFonts w:hint="eastAsia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黑体" w:cs="Times New Roman"/>
          <w:spacing w:val="-2"/>
        </w:rPr>
        <w:t>二、重点工作事项标题</w:t>
      </w:r>
      <w:r>
        <w:rPr>
          <w:rFonts w:hint="default" w:ascii="Times New Roman" w:hAnsi="Times New Roman" w:eastAsia="黑体" w:cs="Times New Roman"/>
          <w:spacing w:val="8"/>
        </w:rPr>
        <w:t xml:space="preserve"> </w:t>
      </w:r>
    </w:p>
    <w:tbl>
      <w:tblPr>
        <w:tblStyle w:val="12"/>
        <w:tblW w:w="72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2804"/>
        <w:gridCol w:w="26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838" w:type="dxa"/>
            <w:vAlign w:val="center"/>
          </w:tcPr>
          <w:p>
            <w:pPr>
              <w:spacing w:before="104" w:line="224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重要事项</w:t>
            </w:r>
          </w:p>
        </w:tc>
        <w:tc>
          <w:tcPr>
            <w:tcW w:w="2804" w:type="dxa"/>
            <w:vAlign w:val="center"/>
          </w:tcPr>
          <w:p>
            <w:pPr>
              <w:spacing w:before="104" w:line="221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工作内容及目标</w:t>
            </w:r>
          </w:p>
        </w:tc>
        <w:tc>
          <w:tcPr>
            <w:tcW w:w="2648" w:type="dxa"/>
            <w:vAlign w:val="center"/>
          </w:tcPr>
          <w:p>
            <w:pPr>
              <w:spacing w:before="104" w:line="224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32"/>
                <w:szCs w:val="32"/>
              </w:rPr>
              <w:t>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文化牵引，新质驱动，让适尔教育持续创生优质教育资源</w:t>
            </w:r>
          </w:p>
        </w:tc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24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涵养适尔文化绘就幸福底色</w:t>
            </w:r>
          </w:p>
        </w:tc>
        <w:tc>
          <w:tcPr>
            <w:tcW w:w="2648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阶段性目标达成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838" w:type="dxa"/>
            <w:vMerge w:val="continue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24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追求适道管理汇聚澎湃动力</w:t>
            </w:r>
          </w:p>
        </w:tc>
        <w:tc>
          <w:tcPr>
            <w:tcW w:w="2648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阶段性目标达成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838" w:type="dxa"/>
            <w:vMerge w:val="continue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24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打造适尔学堂推进教学变革</w:t>
            </w:r>
          </w:p>
        </w:tc>
        <w:tc>
          <w:tcPr>
            <w:tcW w:w="2648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阶段性目标达成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838" w:type="dxa"/>
            <w:vMerge w:val="continue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24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实施适学课程注入发展动能</w:t>
            </w:r>
          </w:p>
        </w:tc>
        <w:tc>
          <w:tcPr>
            <w:tcW w:w="2648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阶段性目标达成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838" w:type="dxa"/>
            <w:vMerge w:val="continue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24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推进适习德育滋养生命之旅</w:t>
            </w:r>
          </w:p>
        </w:tc>
        <w:tc>
          <w:tcPr>
            <w:tcW w:w="2648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阶段性目标达成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838" w:type="dxa"/>
            <w:vMerge w:val="continue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24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培养适才教师提供专业保障</w:t>
            </w:r>
          </w:p>
        </w:tc>
        <w:tc>
          <w:tcPr>
            <w:tcW w:w="2648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阶段性目标达成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838" w:type="dxa"/>
            <w:vMerge w:val="continue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24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运行适行评价引领多元发展</w:t>
            </w:r>
          </w:p>
        </w:tc>
        <w:tc>
          <w:tcPr>
            <w:tcW w:w="2648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阶段性目标达成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838" w:type="dxa"/>
            <w:vMerge w:val="continue"/>
            <w:vAlign w:val="top"/>
          </w:tcPr>
          <w:p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24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积淀传承培植优质教育品牌</w:t>
            </w:r>
          </w:p>
        </w:tc>
        <w:tc>
          <w:tcPr>
            <w:tcW w:w="2648" w:type="dxa"/>
            <w:vAlign w:val="center"/>
          </w:tcPr>
          <w:p>
            <w:pPr>
              <w:pStyle w:val="1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阶段性目标达成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  <w:t>第五部分  名词解释</w:t>
      </w:r>
    </w:p>
    <w:p>
      <w:pPr>
        <w:spacing w:line="398" w:lineRule="auto"/>
        <w:rPr>
          <w:rFonts w:hint="default" w:ascii="Times New Roman" w:hAnsi="Times New Roman" w:cs="Times New Roman"/>
          <w:sz w:val="21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6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4"/>
        </w:rPr>
        <w:t>一</w:t>
      </w:r>
      <w:r>
        <w:rPr>
          <w:rFonts w:hint="default" w:ascii="Times New Roman" w:hAnsi="Times New Roman" w:eastAsia="仿宋_GB2312" w:cs="Times New Roman"/>
          <w:spacing w:val="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4"/>
        </w:rPr>
        <w:t>一般公共预算财政拨款收入：指</w:t>
      </w:r>
      <w:r>
        <w:rPr>
          <w:rFonts w:hint="default" w:ascii="Times New Roman" w:hAnsi="Times New Roman" w:eastAsia="仿宋_GB2312" w:cs="Times New Roman"/>
          <w:spacing w:val="4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4"/>
        </w:rPr>
        <w:t>级财政一般公共预</w:t>
      </w:r>
      <w:r>
        <w:rPr>
          <w:rFonts w:hint="default" w:ascii="Times New Roman" w:hAnsi="Times New Roman" w:eastAsia="仿宋_GB2312" w:cs="Times New Roman"/>
          <w:spacing w:val="7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算当年拨付的资金。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二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政府性基金预算财政拨款收入：指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7"/>
        </w:rPr>
        <w:t>级财政政</w:t>
      </w:r>
      <w:r>
        <w:rPr>
          <w:rFonts w:hint="default" w:ascii="Times New Roman" w:hAnsi="Times New Roman" w:eastAsia="仿宋_GB2312" w:cs="Times New Roman"/>
          <w:spacing w:val="-8"/>
        </w:rPr>
        <w:t>府性基金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预算当年拨付的资金。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三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国有资本经营预算财政拨款收入：指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8"/>
        </w:rPr>
        <w:t>级财政国有资本</w:t>
      </w:r>
      <w:r>
        <w:rPr>
          <w:rFonts w:hint="default" w:ascii="Times New Roman" w:hAnsi="Times New Roman" w:eastAsia="仿宋_GB2312" w:cs="Times New Roman"/>
          <w:spacing w:val="18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经营预算当年拨付的资金。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四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上级补助收入：指从事业单位主管部门和上级</w:t>
      </w:r>
      <w:r>
        <w:rPr>
          <w:rFonts w:hint="default" w:ascii="Times New Roman" w:hAnsi="Times New Roman" w:eastAsia="仿宋_GB2312" w:cs="Times New Roman"/>
          <w:spacing w:val="-8"/>
        </w:rPr>
        <w:t>单位取得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的非财政补助收入。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五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事业收入：指事业单位开展专业业务活动及其辅助活动</w:t>
      </w:r>
      <w:r>
        <w:rPr>
          <w:rFonts w:hint="default" w:ascii="Times New Roman" w:hAnsi="Times New Roman" w:eastAsia="仿宋_GB2312" w:cs="Times New Roman"/>
          <w:spacing w:val="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取得的收入。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六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经营收入：指事业单位在专业业务活动及其辅助活动之</w:t>
      </w:r>
      <w:r>
        <w:rPr>
          <w:rFonts w:hint="default" w:ascii="Times New Roman" w:hAnsi="Times New Roman" w:eastAsia="仿宋_GB2312" w:cs="Times New Roman"/>
          <w:spacing w:val="1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外开展非独立核算经营活动取得的收入。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七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其他收入：指单位取得的除上述“一般公共预算财政拨</w:t>
      </w:r>
      <w:r>
        <w:rPr>
          <w:rFonts w:hint="default" w:ascii="Times New Roman" w:hAnsi="Times New Roman" w:eastAsia="仿宋_GB2312" w:cs="Times New Roman"/>
          <w:spacing w:val="9"/>
        </w:rPr>
        <w:t xml:space="preserve">  </w:t>
      </w:r>
      <w:r>
        <w:rPr>
          <w:rFonts w:hint="default" w:ascii="Times New Roman" w:hAnsi="Times New Roman" w:eastAsia="仿宋_GB2312" w:cs="Times New Roman"/>
          <w:spacing w:val="-16"/>
        </w:rPr>
        <w:t>款收入”、“政府性基金预算财政拨款收入”、“国有资本经营预</w:t>
      </w:r>
      <w:r>
        <w:rPr>
          <w:rFonts w:hint="default" w:ascii="Times New Roman" w:hAnsi="Times New Roman" w:eastAsia="仿宋_GB2312" w:cs="Times New Roman"/>
          <w:spacing w:val="-26"/>
        </w:rPr>
        <w:t>算财政拨款收入”、“上级补助收入”、“事业收入”、</w:t>
      </w:r>
      <w:r>
        <w:rPr>
          <w:rFonts w:hint="default" w:ascii="Times New Roman" w:hAnsi="Times New Roman" w:eastAsia="仿宋_GB2312" w:cs="Times New Roman"/>
          <w:spacing w:val="-27"/>
        </w:rPr>
        <w:t>“经营收入”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等收入以外的各项收入。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八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使用非财政拨款结余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含专用结余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：指事业单位按预算</w:t>
      </w:r>
      <w:r>
        <w:rPr>
          <w:rFonts w:hint="default" w:ascii="Times New Roman" w:hAnsi="Times New Roman" w:eastAsia="仿宋_GB2312" w:cs="Times New Roman"/>
          <w:spacing w:val="6"/>
        </w:rPr>
        <w:t>管理要求使用非财政拨款结余</w:t>
      </w:r>
      <w:r>
        <w:rPr>
          <w:rFonts w:hint="default" w:ascii="Times New Roman" w:hAnsi="Times New Roman" w:eastAsia="仿宋_GB2312" w:cs="Times New Roman"/>
          <w:spacing w:val="6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6"/>
        </w:rPr>
        <w:t>含专用结余</w:t>
      </w:r>
      <w:r>
        <w:rPr>
          <w:rFonts w:hint="default" w:ascii="Times New Roman" w:hAnsi="Times New Roman" w:eastAsia="仿宋_GB2312" w:cs="Times New Roman"/>
          <w:spacing w:val="6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</w:rPr>
        <w:t>弥补收支差额的金</w:t>
      </w:r>
      <w:r>
        <w:rPr>
          <w:rFonts w:hint="default" w:ascii="Times New Roman" w:hAnsi="Times New Roman" w:eastAsia="仿宋_GB2312" w:cs="Times New Roman"/>
          <w:spacing w:val="-10"/>
        </w:rPr>
        <w:t>额。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九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年初结转和结余：指单位以前年度尚未完成、</w:t>
      </w:r>
      <w:r>
        <w:rPr>
          <w:rFonts w:hint="default" w:ascii="Times New Roman" w:hAnsi="Times New Roman" w:eastAsia="仿宋_GB2312" w:cs="Times New Roman"/>
          <w:spacing w:val="-8"/>
        </w:rPr>
        <w:t>结转到本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年仍按原规定用途继续使用的资金，或项目已完成等产生的结余</w:t>
      </w:r>
      <w:r>
        <w:rPr>
          <w:rFonts w:hint="default" w:ascii="Times New Roman" w:hAnsi="Times New Roman" w:eastAsia="仿宋_GB2312" w:cs="Times New Roman"/>
          <w:spacing w:val="9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资金。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十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本部门使用的支出功能分类科目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到项级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一般公共服务(类)财政事务(款)行政运行(项)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2.社会保障和就业支出(类)行政事业单位养老支出(款)机关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事业单位基本养老保险缴费支出(项)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3.社会保障和就业支出(类)行政事业单位养老支出(款)机关事业单位职业年金缴费支出(项)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十一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结余分配：指单位按照会计制度规定缴纳企</w:t>
      </w:r>
      <w:r>
        <w:rPr>
          <w:rFonts w:hint="default" w:ascii="Times New Roman" w:hAnsi="Times New Roman" w:eastAsia="仿宋_GB2312" w:cs="Times New Roman"/>
          <w:spacing w:val="-8"/>
        </w:rPr>
        <w:t>业所得税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以及从非财政拨款结余或经营结余中提取各类结余的情况。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十二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年末结转和结余：指单位按有关规定结转到</w:t>
      </w:r>
      <w:r>
        <w:rPr>
          <w:rFonts w:hint="default" w:ascii="Times New Roman" w:hAnsi="Times New Roman" w:eastAsia="仿宋_GB2312" w:cs="Times New Roman"/>
          <w:spacing w:val="-8"/>
        </w:rPr>
        <w:t>下年或以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后年度继续使用的资金，或项目已完成等产生的结余资金。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十三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基本支出：指为保障机构正常运转、完成日</w:t>
      </w:r>
      <w:r>
        <w:rPr>
          <w:rFonts w:hint="default" w:ascii="Times New Roman" w:hAnsi="Times New Roman" w:eastAsia="仿宋_GB2312" w:cs="Times New Roman"/>
          <w:spacing w:val="-8"/>
        </w:rPr>
        <w:t>常工作任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务而发生的人员支出和公用支出。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十四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项目支出：指在基本支出之外为完成特定行</w:t>
      </w:r>
      <w:r>
        <w:rPr>
          <w:rFonts w:hint="default" w:ascii="Times New Roman" w:hAnsi="Times New Roman" w:eastAsia="仿宋_GB2312" w:cs="Times New Roman"/>
          <w:spacing w:val="-8"/>
        </w:rPr>
        <w:t>政任务或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事业发展目标所发生的支出。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十五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经营支出：指事业单位在专业活动及辅助活</w:t>
      </w:r>
      <w:r>
        <w:rPr>
          <w:rFonts w:hint="default" w:ascii="Times New Roman" w:hAnsi="Times New Roman" w:eastAsia="仿宋_GB2312" w:cs="Times New Roman"/>
          <w:spacing w:val="-8"/>
        </w:rPr>
        <w:t>动之外开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展非独立核算经营活动发生的支出。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十六</w:t>
      </w:r>
      <w:r>
        <w:rPr>
          <w:rFonts w:hint="default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1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“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三公”经费：纳入市级财政预决算管理的</w:t>
      </w:r>
      <w:r>
        <w:rPr>
          <w:rFonts w:hint="default" w:ascii="Times New Roman" w:hAnsi="Times New Roman" w:eastAsia="仿宋_GB2312" w:cs="Times New Roman"/>
          <w:spacing w:val="-118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“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三公”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经费，是指部门用财政拨款安排的因公出国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境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费、公务用</w:t>
      </w:r>
      <w:r>
        <w:rPr>
          <w:rFonts w:hint="default" w:ascii="Times New Roman" w:hAnsi="Times New Roman" w:eastAsia="仿宋_GB2312" w:cs="Times New Roman"/>
          <w:spacing w:val="-8"/>
        </w:rPr>
        <w:t>车购置及运行维护费和公务接待费。其中，因公出国</w:t>
      </w:r>
      <w:r>
        <w:rPr>
          <w:rFonts w:hint="default" w:ascii="Times New Roman" w:hAnsi="Times New Roman" w:eastAsia="仿宋_GB2312" w:cs="Times New Roman"/>
          <w:spacing w:val="-65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境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费反映</w:t>
      </w:r>
      <w:r>
        <w:rPr>
          <w:rFonts w:hint="default" w:ascii="Times New Roman" w:hAnsi="Times New Roman" w:eastAsia="仿宋_GB2312" w:cs="Times New Roman"/>
          <w:spacing w:val="-5"/>
        </w:rPr>
        <w:t>单位公务出国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境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的国际旅费、国外城市间交通费、住宿费、伙食费、培训费、公杂费等支出；公务用车购置及运行维护费反映</w:t>
      </w:r>
      <w:r>
        <w:rPr>
          <w:rFonts w:hint="default" w:ascii="Times New Roman" w:hAnsi="Times New Roman" w:eastAsia="仿宋_GB2312" w:cs="Times New Roman"/>
          <w:spacing w:val="13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单位公务用车购置支出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含车辆购置税、牌照</w:t>
      </w:r>
      <w:r>
        <w:rPr>
          <w:rFonts w:hint="default" w:ascii="Times New Roman" w:hAnsi="Times New Roman" w:eastAsia="仿宋_GB2312" w:cs="Times New Roman"/>
          <w:spacing w:val="-8"/>
        </w:rPr>
        <w:t>费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及燃料费、维修</w:t>
      </w:r>
      <w:r>
        <w:rPr>
          <w:rFonts w:hint="default" w:ascii="Times New Roman" w:hAnsi="Times New Roman" w:eastAsia="仿宋_GB2312" w:cs="Times New Roman"/>
          <w:spacing w:val="-5"/>
        </w:rPr>
        <w:t>费、过桥过路费、保险费、安全奖励费用等支出；公务接待费反</w:t>
      </w:r>
      <w:r>
        <w:rPr>
          <w:rFonts w:hint="default" w:ascii="Times New Roman" w:hAnsi="Times New Roman" w:eastAsia="仿宋_GB2312" w:cs="Times New Roman"/>
          <w:spacing w:val="-1"/>
        </w:rPr>
        <w:t>映单位按规定开支的各类公务接待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含外宾接待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</w:rPr>
        <w:t>费用。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十七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</w:rPr>
        <w:t>机关运行经费：指为保障行政单位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包括参照公务员</w:t>
      </w:r>
      <w:r>
        <w:rPr>
          <w:rFonts w:hint="default" w:ascii="Times New Roman" w:hAnsi="Times New Roman" w:eastAsia="仿宋_GB2312" w:cs="Times New Roman"/>
          <w:spacing w:val="16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法管理的事业单位</w:t>
      </w:r>
      <w:r>
        <w:rPr>
          <w:rFonts w:hint="default" w:ascii="Times New Roman" w:hAnsi="Times New Roman" w:eastAsia="仿宋_GB2312" w:cs="Times New Roman"/>
          <w:spacing w:val="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"/>
        </w:rPr>
        <w:t>运行用于购买货物和服务的各项资金，</w:t>
      </w:r>
      <w:r>
        <w:rPr>
          <w:rFonts w:hint="default" w:ascii="Times New Roman" w:hAnsi="Times New Roman" w:eastAsia="仿宋_GB2312" w:cs="Times New Roman"/>
        </w:rPr>
        <w:t xml:space="preserve">包括 </w:t>
      </w:r>
      <w:r>
        <w:rPr>
          <w:rFonts w:hint="default" w:ascii="Times New Roman" w:hAnsi="Times New Roman" w:eastAsia="仿宋_GB2312" w:cs="Times New Roman"/>
          <w:spacing w:val="-5"/>
        </w:rPr>
        <w:t>办公费、印刷费、邮电费、差旅费、会议费、福利费、日常维修费、专用材料及一般设备购置费、办公用房水电费、办公用房取</w:t>
      </w:r>
      <w:r>
        <w:rPr>
          <w:rFonts w:hint="default" w:ascii="Times New Roman" w:hAnsi="Times New Roman" w:eastAsia="仿宋_GB2312" w:cs="Times New Roman"/>
          <w:spacing w:val="-13"/>
        </w:rPr>
        <w:t>暖费、办公用房物业管理费、公务用车运行维护费以及其他费用。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十八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其他专用名词。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7" w:firstLineChars="200"/>
        <w:textAlignment w:val="baseline"/>
        <w:rPr>
          <w:rFonts w:hint="default" w:ascii="Times New Roman" w:hAnsi="Times New Roman" w:cs="Times New Roman"/>
          <w:b/>
          <w:bCs/>
          <w:spacing w:val="-4"/>
          <w:lang w:eastAsia="zh-CN"/>
        </w:rPr>
      </w:pPr>
    </w:p>
    <w:p>
      <w:pPr>
        <w:rPr>
          <w:rFonts w:hint="default" w:ascii="Times New Roman" w:hAnsi="Times New Roman" w:cs="Times New Roman"/>
          <w:spacing w:val="-4"/>
          <w:lang w:eastAsia="zh-CN"/>
        </w:rPr>
      </w:pPr>
      <w:r>
        <w:rPr>
          <w:rFonts w:hint="default" w:ascii="Times New Roman" w:hAnsi="Times New Roman" w:cs="Times New Roman"/>
          <w:spacing w:val="-4"/>
          <w:lang w:eastAsia="zh-CN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  <w:t>第六部分  附件</w:t>
      </w:r>
    </w:p>
    <w:p>
      <w:pPr>
        <w:spacing w:line="334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center"/>
        <w:textAlignment w:val="baseline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黑体" w:cs="Times New Roman"/>
          <w:spacing w:val="-1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  <w:highlight w:val="none"/>
        </w:rPr>
        <w:t>年度武汉市光谷第</w:t>
      </w:r>
      <w:r>
        <w:rPr>
          <w:rFonts w:hint="eastAsia" w:ascii="Times New Roman" w:hAnsi="Times New Roman" w:eastAsia="黑体" w:cs="Times New Roman"/>
          <w:spacing w:val="-1"/>
          <w:sz w:val="32"/>
          <w:szCs w:val="32"/>
          <w:highlight w:val="none"/>
          <w:lang w:eastAsia="zh-CN"/>
        </w:rPr>
        <w:t>十二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  <w:highlight w:val="none"/>
        </w:rPr>
        <w:t>小学整体绩效评价报告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 w:firstLineChars="200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部门概况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28" w:firstLineChars="200"/>
        <w:jc w:val="left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学校主要职能是贯彻落实党和国家的教育方针政策、法律法规，根据上级批示精神，结合本地区的实际，全面实施小学阶段义务教育，促进基础教育发展，完成小学阶段学历教育，培养全面发展的合格人才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28" w:firstLineChars="200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highlight w:val="none"/>
          <w:lang w:val="en-US" w:eastAsia="zh-CN" w:bidi="ar-SA"/>
        </w:rPr>
        <w:t>部门整体支出管理及使用情况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28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highlight w:val="none"/>
          <w:lang w:val="en-US" w:eastAsia="zh-CN" w:bidi="ar-SA"/>
        </w:rPr>
        <w:t>我单位2024年一般公共预算财政拨款支出年度决算为3,808.92万元，其中基本支出3,568.25万元，项目支出240.67万元。主要包括商品和服务支出以及资本性支出，用于学校发展方面，改善办学条件，对学校一些日常开支予以了补充保障。我校建立健全了各项财务管理制度，完善了财务报账审批制度，根据最新文件精神修订了培训费、差旅报销管理办法，严格执行政府采购制度。 各项目的实施促进学校教育协调发展，根据学校预算金额，专款专用，无违规超范围使用情况。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28" w:firstLineChars="200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highlight w:val="none"/>
          <w:lang w:val="en-US" w:eastAsia="zh-CN" w:bidi="ar-SA"/>
        </w:rPr>
        <w:t>部门专项组织实施情况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53" w:leftChars="25" w:right="0" w:rightChars="0" w:firstLine="628" w:firstLineChars="200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在管理方面，学校制定了各项财务管理制度和业务管理制度，各项制度合法、合规、完整，资金使用合规。在产出方面，绩效目标完成率较高。在效益方面，整体工作具有较好的社会效益，服务对象满意度高。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28" w:firstLineChars="200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存在的主要问题及改进措施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5" w:lineRule="auto"/>
        <w:ind w:firstLine="628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我单位各部门之间的沟通协调机制有待加强，信息共享和协同配合有待提升，以进一步提升资金使用效益。在经费监督方面，现有监督覆盖范围和力度尚有提升空间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，对预算执行的约束力和效果产生一定影响。加强预算编制的科学性和精细化程度，提高预算的准确性和可操作性，提高预算执行的效率。不断优化预算执行管理流程，完善预算动态监控机制，推动预算执行进度与计划有效衔接。加强预算执行者的法律意识和责任意识，对单位预算管理人员进行相关专业知识培训和继续教育，提升自身素质，保持与时俱进，提高预算水平。各部门应针对本单位具体情况做好预算编制工作，加强单位各部门之间的联动协调，相关项目预算及时执行，减少部门资金结转；进一步健全预算监督和绩效评价体系，强化内部审计和监督检查，完善财务管理制度，规范经济行为，推动预算全过程管理，保障学校各项事业健康、有序、可持续发展，规范教育教学行为，强化校园建设，促进学校健康发展。旨在构建更加规范、高效、透明的预算管理体系，全面提升单位预算管理水平和服务保障能力，为促进学校高质量发展提供有力支撑。</w:t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2444C"/>
    <w:multiLevelType w:val="singleLevel"/>
    <w:tmpl w:val="AA5244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ADF370F"/>
    <w:multiLevelType w:val="singleLevel"/>
    <w:tmpl w:val="CADF37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6097B3"/>
    <w:multiLevelType w:val="singleLevel"/>
    <w:tmpl w:val="426097B3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WVjZTc0ZTk3ZDVlYjMxOTU5ZTNjNmE2NDc2ZDkifQ=="/>
  </w:docVars>
  <w:rsids>
    <w:rsidRoot w:val="00000000"/>
    <w:rsid w:val="006530A4"/>
    <w:rsid w:val="01B069E5"/>
    <w:rsid w:val="032B3ECF"/>
    <w:rsid w:val="03CD5453"/>
    <w:rsid w:val="05546744"/>
    <w:rsid w:val="068838C2"/>
    <w:rsid w:val="07180E92"/>
    <w:rsid w:val="07302EBE"/>
    <w:rsid w:val="07E02ADD"/>
    <w:rsid w:val="08476684"/>
    <w:rsid w:val="089839BA"/>
    <w:rsid w:val="0A4E4D91"/>
    <w:rsid w:val="0B492353"/>
    <w:rsid w:val="0C054997"/>
    <w:rsid w:val="0E5C5B88"/>
    <w:rsid w:val="0F0311A5"/>
    <w:rsid w:val="117A5E54"/>
    <w:rsid w:val="12FE3B58"/>
    <w:rsid w:val="13747DAA"/>
    <w:rsid w:val="172355D3"/>
    <w:rsid w:val="176620BC"/>
    <w:rsid w:val="18340CEB"/>
    <w:rsid w:val="186A4CDE"/>
    <w:rsid w:val="1B2466E5"/>
    <w:rsid w:val="1BC26B12"/>
    <w:rsid w:val="1C0E2A35"/>
    <w:rsid w:val="1C2A6563"/>
    <w:rsid w:val="1C817790"/>
    <w:rsid w:val="1C8A5A67"/>
    <w:rsid w:val="1DCD7D00"/>
    <w:rsid w:val="1EE21DA7"/>
    <w:rsid w:val="1F31541E"/>
    <w:rsid w:val="1F3C5B49"/>
    <w:rsid w:val="20017382"/>
    <w:rsid w:val="21676B90"/>
    <w:rsid w:val="21961EB7"/>
    <w:rsid w:val="21A05F7E"/>
    <w:rsid w:val="221F63B5"/>
    <w:rsid w:val="266C3F8C"/>
    <w:rsid w:val="267318D7"/>
    <w:rsid w:val="280147D2"/>
    <w:rsid w:val="28A65FBE"/>
    <w:rsid w:val="2A857986"/>
    <w:rsid w:val="2BE83F94"/>
    <w:rsid w:val="2BF42D02"/>
    <w:rsid w:val="2BF7779C"/>
    <w:rsid w:val="2D12359A"/>
    <w:rsid w:val="2F8119D0"/>
    <w:rsid w:val="300F50AC"/>
    <w:rsid w:val="30396B93"/>
    <w:rsid w:val="3071583D"/>
    <w:rsid w:val="334E4EA8"/>
    <w:rsid w:val="342B65BC"/>
    <w:rsid w:val="34EA2EB6"/>
    <w:rsid w:val="34EB66B8"/>
    <w:rsid w:val="34F62908"/>
    <w:rsid w:val="353B695E"/>
    <w:rsid w:val="35FA14F5"/>
    <w:rsid w:val="3737194D"/>
    <w:rsid w:val="37C53CE4"/>
    <w:rsid w:val="390037A2"/>
    <w:rsid w:val="39F72424"/>
    <w:rsid w:val="3AB4194D"/>
    <w:rsid w:val="3B445618"/>
    <w:rsid w:val="3BD050EC"/>
    <w:rsid w:val="3C1B163B"/>
    <w:rsid w:val="3C411FBF"/>
    <w:rsid w:val="3C4F2C50"/>
    <w:rsid w:val="3D0D6551"/>
    <w:rsid w:val="3DA60130"/>
    <w:rsid w:val="3E583AA5"/>
    <w:rsid w:val="3E602F7E"/>
    <w:rsid w:val="3F034020"/>
    <w:rsid w:val="40586425"/>
    <w:rsid w:val="41CE5361"/>
    <w:rsid w:val="42323DA5"/>
    <w:rsid w:val="4268313C"/>
    <w:rsid w:val="42B34F30"/>
    <w:rsid w:val="43DA5B87"/>
    <w:rsid w:val="43EA45D7"/>
    <w:rsid w:val="44C60C63"/>
    <w:rsid w:val="451A201F"/>
    <w:rsid w:val="454E7446"/>
    <w:rsid w:val="467E1CDE"/>
    <w:rsid w:val="4787624B"/>
    <w:rsid w:val="478F140F"/>
    <w:rsid w:val="487A1D4F"/>
    <w:rsid w:val="49846888"/>
    <w:rsid w:val="49EF1A1E"/>
    <w:rsid w:val="4B1D03EE"/>
    <w:rsid w:val="4C746661"/>
    <w:rsid w:val="4C8334CC"/>
    <w:rsid w:val="4C8C3F07"/>
    <w:rsid w:val="4D555CB1"/>
    <w:rsid w:val="4DE453E4"/>
    <w:rsid w:val="50197330"/>
    <w:rsid w:val="501A19B8"/>
    <w:rsid w:val="51AF1DB2"/>
    <w:rsid w:val="542F756E"/>
    <w:rsid w:val="5456440A"/>
    <w:rsid w:val="54777E46"/>
    <w:rsid w:val="551E78A2"/>
    <w:rsid w:val="56750423"/>
    <w:rsid w:val="57327F9E"/>
    <w:rsid w:val="57B31914"/>
    <w:rsid w:val="5A8E54D7"/>
    <w:rsid w:val="5AB3142F"/>
    <w:rsid w:val="5BBD5047"/>
    <w:rsid w:val="5BFA1F78"/>
    <w:rsid w:val="5DE402B6"/>
    <w:rsid w:val="5F9A47CD"/>
    <w:rsid w:val="604A5C2C"/>
    <w:rsid w:val="61207FF4"/>
    <w:rsid w:val="62C17492"/>
    <w:rsid w:val="62F51C0D"/>
    <w:rsid w:val="639835A3"/>
    <w:rsid w:val="64D33B06"/>
    <w:rsid w:val="658A5507"/>
    <w:rsid w:val="687B3694"/>
    <w:rsid w:val="6B6066A7"/>
    <w:rsid w:val="6B8342AA"/>
    <w:rsid w:val="6BB34631"/>
    <w:rsid w:val="6D745521"/>
    <w:rsid w:val="6DA422E5"/>
    <w:rsid w:val="6FA755CF"/>
    <w:rsid w:val="70846AFD"/>
    <w:rsid w:val="70E57BE1"/>
    <w:rsid w:val="725E0556"/>
    <w:rsid w:val="72614EAD"/>
    <w:rsid w:val="73F15019"/>
    <w:rsid w:val="749073E1"/>
    <w:rsid w:val="74916F93"/>
    <w:rsid w:val="75235E04"/>
    <w:rsid w:val="767D6EE6"/>
    <w:rsid w:val="77CA6886"/>
    <w:rsid w:val="7BE56DBB"/>
    <w:rsid w:val="7C2B56A5"/>
    <w:rsid w:val="7EE1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qFormat/>
    <w:uiPriority w:val="9"/>
    <w:pPr>
      <w:spacing w:line="360" w:lineRule="auto"/>
      <w:outlineLvl w:val="1"/>
    </w:pPr>
    <w:rPr>
      <w:rFonts w:ascii="Arial" w:hAnsi="Arial" w:eastAsia="黑体"/>
      <w:b/>
      <w:bCs/>
      <w:color w:val="000000"/>
      <w:sz w:val="30"/>
      <w:szCs w:val="32"/>
    </w:rPr>
  </w:style>
  <w:style w:type="paragraph" w:styleId="4">
    <w:name w:val="heading 4"/>
    <w:basedOn w:val="1"/>
    <w:next w:val="1"/>
    <w:link w:val="16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32"/>
    </w:rPr>
  </w:style>
  <w:style w:type="paragraph" w:styleId="5">
    <w:name w:val="Body Text"/>
    <w:basedOn w:val="1"/>
    <w:link w:val="17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6">
    <w:name w:val="Body Text Indent"/>
    <w:basedOn w:val="1"/>
    <w:next w:val="1"/>
    <w:link w:val="15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next w:val="1"/>
    <w:qFormat/>
    <w:uiPriority w:val="0"/>
    <w:pPr>
      <w:widowControl/>
      <w:adjustRightInd/>
      <w:snapToGrid/>
      <w:spacing w:line="540" w:lineRule="exact"/>
      <w:ind w:firstLine="420" w:firstLineChars="0"/>
      <w:jc w:val="left"/>
    </w:p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4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  <w:style w:type="character" w:customStyle="1" w:styleId="15">
    <w:name w:val="正文文本缩进 Char"/>
    <w:link w:val="6"/>
    <w:uiPriority w:val="0"/>
    <w:rPr>
      <w:rFonts w:ascii="仿宋_GB2312" w:eastAsia="仿宋_GB2312"/>
      <w:sz w:val="32"/>
    </w:rPr>
  </w:style>
  <w:style w:type="character" w:customStyle="1" w:styleId="16">
    <w:name w:val="标题 4 Char"/>
    <w:link w:val="4"/>
    <w:uiPriority w:val="0"/>
    <w:rPr>
      <w:rFonts w:ascii="Arial" w:hAnsi="Arial" w:eastAsia="黑体"/>
      <w:b/>
      <w:sz w:val="28"/>
    </w:rPr>
  </w:style>
  <w:style w:type="character" w:customStyle="1" w:styleId="17">
    <w:name w:val="正文文本 Char"/>
    <w:link w:val="5"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收支总计（万元）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2023年度</c:v>
                </c:pt>
                <c:pt idx="1">
                  <c:v>2024年度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5773</c:v>
                </c:pt>
                <c:pt idx="1">
                  <c:v>7617.71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6430135"/>
        <c:axId val="980567225"/>
      </c:barChart>
      <c:catAx>
        <c:axId val="32643013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80567225"/>
        <c:crosses val="autoZero"/>
        <c:auto val="1"/>
        <c:lblAlgn val="ctr"/>
        <c:lblOffset val="100"/>
        <c:noMultiLvlLbl val="0"/>
      </c:catAx>
      <c:valAx>
        <c:axId val="98056722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264301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单位（万元）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delete val="1"/>
          </c:dLbls>
          <c:cat>
            <c:strRef>
              <c:f>Sheet1!$A$2:$A$3</c:f>
              <c:strCache>
                <c:ptCount val="2"/>
                <c:pt idx="0">
                  <c:v>财政拨款收入</c:v>
                </c:pt>
                <c:pt idx="1">
                  <c:v>其他收入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3480.65</c:v>
                </c:pt>
                <c:pt idx="1" c:formatCode="General">
                  <c:v>328.14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单位（万元）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3568.25</c:v>
                </c:pt>
                <c:pt idx="1" c:formatCode="General">
                  <c:v>240.67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财政拨款总收入（万元）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Sheet1!$A$2:$A$3</c:f>
              <c:strCache>
                <c:ptCount val="2"/>
                <c:pt idx="0">
                  <c:v>2023年度</c:v>
                </c:pt>
                <c:pt idx="1">
                  <c:v>2024年度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2684.01</c:v>
                </c:pt>
                <c:pt idx="1" c:formatCode="General">
                  <c:v>3480.65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Sheet1!#REF!</c:f>
              <c:strCache>
                <c:ptCount val="1"/>
                <c:pt idx="0">
                  <c:v/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Sheet1!$A$2:$A$3</c:f>
              <c:strCache>
                <c:ptCount val="2"/>
                <c:pt idx="0">
                  <c:v>2023年度</c:v>
                </c:pt>
                <c:pt idx="1">
                  <c:v>2024年度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Sheet1!#REF!</c:f>
              <c:strCache>
                <c:ptCount val="1"/>
                <c:pt idx="0">
                  <c:v/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Sheet1!$A$2:$A$3</c:f>
              <c:strCache>
                <c:ptCount val="2"/>
                <c:pt idx="0">
                  <c:v>2023年度</c:v>
                </c:pt>
                <c:pt idx="1">
                  <c:v>2024年度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732060867"/>
        <c:axId val="513862245"/>
      </c:lineChart>
      <c:catAx>
        <c:axId val="73206086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3862245"/>
        <c:crosses val="autoZero"/>
        <c:auto val="1"/>
        <c:lblAlgn val="ctr"/>
        <c:lblOffset val="100"/>
        <c:noMultiLvlLbl val="0"/>
      </c:catAx>
      <c:valAx>
        <c:axId val="51386224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20608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13754</Words>
  <Characters>14625</Characters>
  <Lines>0</Lines>
  <Paragraphs>0</Paragraphs>
  <TotalTime>32</TotalTime>
  <ScaleCrop>false</ScaleCrop>
  <LinksUpToDate>false</LinksUpToDate>
  <CharactersWithSpaces>16246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2025-08-20T07:46:00Z</cp:lastPrinted>
  <dcterms:modified xsi:type="dcterms:W3CDTF">2025-09-16T01:23:17Z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DADA2B326901443B9B9AC7B4645F762D_13</vt:lpwstr>
  </property>
</Properties>
</file>