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FC06">
      <w:pPr>
        <w:spacing w:before="104" w:line="226" w:lineRule="auto"/>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附件 1</w:t>
      </w:r>
    </w:p>
    <w:p w14:paraId="08DB06C6">
      <w:pPr>
        <w:spacing w:line="250" w:lineRule="auto"/>
        <w:rPr>
          <w:rFonts w:hint="default" w:ascii="Times New Roman" w:hAnsi="Times New Roman" w:cs="Times New Roman"/>
          <w:spacing w:val="0"/>
          <w:w w:val="100"/>
          <w:position w:val="0"/>
          <w:sz w:val="21"/>
          <w:u w:val="none" w:color="auto"/>
        </w:rPr>
      </w:pPr>
    </w:p>
    <w:p w14:paraId="69D9BD11">
      <w:pPr>
        <w:spacing w:line="250" w:lineRule="auto"/>
        <w:rPr>
          <w:rFonts w:hint="default" w:ascii="Times New Roman" w:hAnsi="Times New Roman" w:cs="Times New Roman"/>
          <w:spacing w:val="0"/>
          <w:w w:val="100"/>
          <w:position w:val="0"/>
          <w:sz w:val="21"/>
          <w:u w:val="none" w:color="auto"/>
        </w:rPr>
      </w:pPr>
    </w:p>
    <w:p w14:paraId="4D9BD350">
      <w:pPr>
        <w:spacing w:line="250" w:lineRule="auto"/>
        <w:rPr>
          <w:rFonts w:hint="default" w:ascii="Times New Roman" w:hAnsi="Times New Roman" w:cs="Times New Roman"/>
          <w:spacing w:val="0"/>
          <w:w w:val="100"/>
          <w:position w:val="0"/>
          <w:sz w:val="21"/>
          <w:u w:val="none" w:color="auto"/>
        </w:rPr>
      </w:pPr>
    </w:p>
    <w:p w14:paraId="16F46464">
      <w:pPr>
        <w:spacing w:line="250" w:lineRule="auto"/>
        <w:rPr>
          <w:rFonts w:hint="default" w:ascii="Times New Roman" w:hAnsi="Times New Roman" w:cs="Times New Roman"/>
          <w:spacing w:val="0"/>
          <w:w w:val="100"/>
          <w:position w:val="0"/>
          <w:sz w:val="21"/>
          <w:u w:val="none" w:color="auto"/>
        </w:rPr>
      </w:pPr>
    </w:p>
    <w:p w14:paraId="6C5B813B">
      <w:pPr>
        <w:spacing w:line="251" w:lineRule="auto"/>
        <w:rPr>
          <w:rFonts w:hint="default" w:ascii="Times New Roman" w:hAnsi="Times New Roman" w:cs="Times New Roman"/>
          <w:spacing w:val="0"/>
          <w:w w:val="100"/>
          <w:position w:val="0"/>
          <w:sz w:val="21"/>
          <w:u w:val="none" w:color="auto"/>
        </w:rPr>
      </w:pPr>
    </w:p>
    <w:p w14:paraId="092677C3">
      <w:pPr>
        <w:spacing w:line="251" w:lineRule="auto"/>
        <w:rPr>
          <w:rFonts w:hint="default" w:ascii="Times New Roman" w:hAnsi="Times New Roman" w:cs="Times New Roman"/>
          <w:spacing w:val="0"/>
          <w:w w:val="100"/>
          <w:position w:val="0"/>
          <w:sz w:val="21"/>
          <w:u w:val="none" w:color="auto"/>
        </w:rPr>
      </w:pPr>
    </w:p>
    <w:p w14:paraId="0108E22E">
      <w:pPr>
        <w:spacing w:line="251" w:lineRule="auto"/>
        <w:rPr>
          <w:rFonts w:hint="default" w:ascii="Times New Roman" w:hAnsi="Times New Roman" w:cs="Times New Roman"/>
          <w:spacing w:val="0"/>
          <w:w w:val="100"/>
          <w:position w:val="0"/>
          <w:sz w:val="21"/>
          <w:u w:val="none" w:color="auto"/>
        </w:rPr>
      </w:pPr>
    </w:p>
    <w:p w14:paraId="46B9E99C">
      <w:pPr>
        <w:pStyle w:val="3"/>
        <w:widowControl w:val="0"/>
        <w:kinsoku/>
        <w:autoSpaceDE/>
        <w:autoSpaceDN/>
        <w:adjustRightInd/>
        <w:snapToGrid/>
        <w:jc w:val="center"/>
        <w:textAlignment w:val="auto"/>
        <w:rPr>
          <w:rFonts w:hint="default" w:ascii="黑体" w:hAnsi="黑体" w:eastAsia="黑体" w:cs="黑体"/>
          <w:b w:val="0"/>
          <w:snapToGrid/>
          <w:kern w:val="2"/>
          <w:sz w:val="44"/>
          <w:szCs w:val="44"/>
          <w:u w:val="none" w:color="auto"/>
          <w:lang w:val="en-US" w:eastAsia="zh-CN" w:bidi="ar-SA"/>
        </w:rPr>
      </w:pPr>
      <w:r>
        <w:rPr>
          <w:rFonts w:hint="default" w:ascii="黑体" w:hAnsi="黑体" w:eastAsia="黑体" w:cs="黑体"/>
          <w:b w:val="0"/>
          <w:snapToGrid/>
          <w:kern w:val="2"/>
          <w:sz w:val="44"/>
          <w:szCs w:val="44"/>
          <w:u w:val="none" w:color="auto"/>
          <w:lang w:val="en-US" w:eastAsia="zh-CN" w:bidi="ar-SA"/>
        </w:rPr>
        <w:t>202</w:t>
      </w:r>
      <w:r>
        <w:rPr>
          <w:rFonts w:hint="eastAsia" w:ascii="黑体" w:hAnsi="黑体" w:eastAsia="黑体" w:cs="黑体"/>
          <w:b w:val="0"/>
          <w:snapToGrid/>
          <w:kern w:val="2"/>
          <w:sz w:val="44"/>
          <w:szCs w:val="44"/>
          <w:u w:val="none" w:color="auto"/>
          <w:lang w:val="en-US" w:eastAsia="zh-CN" w:bidi="ar-SA"/>
        </w:rPr>
        <w:t>4</w:t>
      </w:r>
      <w:r>
        <w:rPr>
          <w:rFonts w:hint="default" w:ascii="黑体" w:hAnsi="黑体" w:eastAsia="黑体" w:cs="黑体"/>
          <w:b w:val="0"/>
          <w:snapToGrid/>
          <w:kern w:val="2"/>
          <w:sz w:val="44"/>
          <w:szCs w:val="44"/>
          <w:u w:val="none" w:color="auto"/>
          <w:lang w:val="en-US" w:eastAsia="zh-CN" w:bidi="ar-SA"/>
        </w:rPr>
        <w:t xml:space="preserve"> 年度</w:t>
      </w:r>
      <w:r>
        <w:rPr>
          <w:rFonts w:hint="eastAsia" w:ascii="黑体" w:hAnsi="黑体" w:eastAsia="黑体" w:cs="黑体"/>
          <w:b w:val="0"/>
          <w:snapToGrid/>
          <w:kern w:val="2"/>
          <w:sz w:val="44"/>
          <w:szCs w:val="44"/>
          <w:u w:val="none" w:color="auto"/>
          <w:lang w:val="en-US" w:eastAsia="zh-CN" w:bidi="ar-SA"/>
        </w:rPr>
        <w:t>武汉市光谷第二十六小学</w:t>
      </w:r>
      <w:r>
        <w:rPr>
          <w:rFonts w:hint="default" w:ascii="黑体" w:hAnsi="黑体" w:eastAsia="黑体" w:cs="黑体"/>
          <w:b w:val="0"/>
          <w:snapToGrid/>
          <w:kern w:val="2"/>
          <w:sz w:val="44"/>
          <w:szCs w:val="44"/>
          <w:u w:val="none" w:color="auto"/>
          <w:lang w:val="en-US" w:eastAsia="zh-CN" w:bidi="ar-SA"/>
        </w:rPr>
        <w:t>决算公开</w:t>
      </w:r>
    </w:p>
    <w:p w14:paraId="79310DD9">
      <w:pPr>
        <w:spacing w:line="241" w:lineRule="auto"/>
        <w:rPr>
          <w:rFonts w:hint="default" w:ascii="Times New Roman" w:hAnsi="Times New Roman" w:cs="Times New Roman"/>
          <w:spacing w:val="0"/>
          <w:w w:val="100"/>
          <w:position w:val="0"/>
          <w:sz w:val="21"/>
          <w:u w:val="none" w:color="auto"/>
        </w:rPr>
      </w:pPr>
    </w:p>
    <w:p w14:paraId="4B0CB422">
      <w:pPr>
        <w:spacing w:line="241" w:lineRule="auto"/>
        <w:rPr>
          <w:rFonts w:hint="default" w:ascii="Times New Roman" w:hAnsi="Times New Roman" w:cs="Times New Roman"/>
          <w:spacing w:val="0"/>
          <w:w w:val="100"/>
          <w:position w:val="0"/>
          <w:sz w:val="21"/>
          <w:u w:val="none" w:color="auto"/>
        </w:rPr>
      </w:pPr>
    </w:p>
    <w:p w14:paraId="7CAC9A61">
      <w:pPr>
        <w:spacing w:line="241" w:lineRule="auto"/>
        <w:rPr>
          <w:rFonts w:hint="default" w:ascii="Times New Roman" w:hAnsi="Times New Roman" w:cs="Times New Roman"/>
          <w:spacing w:val="0"/>
          <w:w w:val="100"/>
          <w:position w:val="0"/>
          <w:sz w:val="21"/>
          <w:u w:val="none" w:color="auto"/>
        </w:rPr>
      </w:pPr>
    </w:p>
    <w:p w14:paraId="6D94351A">
      <w:pPr>
        <w:spacing w:line="241" w:lineRule="auto"/>
        <w:rPr>
          <w:rFonts w:hint="default" w:ascii="Times New Roman" w:hAnsi="Times New Roman" w:cs="Times New Roman"/>
          <w:spacing w:val="0"/>
          <w:w w:val="100"/>
          <w:position w:val="0"/>
          <w:sz w:val="21"/>
          <w:u w:val="none" w:color="auto"/>
        </w:rPr>
      </w:pPr>
    </w:p>
    <w:p w14:paraId="2A27337E">
      <w:pPr>
        <w:spacing w:line="241" w:lineRule="auto"/>
        <w:rPr>
          <w:rFonts w:hint="default" w:ascii="Times New Roman" w:hAnsi="Times New Roman" w:cs="Times New Roman"/>
          <w:spacing w:val="0"/>
          <w:w w:val="100"/>
          <w:position w:val="0"/>
          <w:sz w:val="21"/>
          <w:u w:val="none" w:color="auto"/>
        </w:rPr>
      </w:pPr>
    </w:p>
    <w:p w14:paraId="37B34432">
      <w:pPr>
        <w:spacing w:line="241" w:lineRule="auto"/>
        <w:rPr>
          <w:rFonts w:hint="default" w:ascii="Times New Roman" w:hAnsi="Times New Roman" w:cs="Times New Roman"/>
          <w:spacing w:val="0"/>
          <w:w w:val="100"/>
          <w:position w:val="0"/>
          <w:sz w:val="21"/>
          <w:u w:val="none" w:color="auto"/>
        </w:rPr>
      </w:pPr>
    </w:p>
    <w:p w14:paraId="0E616757">
      <w:pPr>
        <w:spacing w:line="241" w:lineRule="auto"/>
        <w:rPr>
          <w:rFonts w:hint="default" w:ascii="Times New Roman" w:hAnsi="Times New Roman" w:cs="Times New Roman"/>
          <w:spacing w:val="0"/>
          <w:w w:val="100"/>
          <w:position w:val="0"/>
          <w:sz w:val="21"/>
          <w:u w:val="none" w:color="auto"/>
        </w:rPr>
      </w:pPr>
    </w:p>
    <w:p w14:paraId="21CD49DC">
      <w:pPr>
        <w:spacing w:line="241" w:lineRule="auto"/>
        <w:rPr>
          <w:rFonts w:hint="default" w:ascii="Times New Roman" w:hAnsi="Times New Roman" w:cs="Times New Roman"/>
          <w:spacing w:val="0"/>
          <w:w w:val="100"/>
          <w:position w:val="0"/>
          <w:sz w:val="21"/>
          <w:u w:val="none" w:color="auto"/>
        </w:rPr>
      </w:pPr>
    </w:p>
    <w:p w14:paraId="13D9A352">
      <w:pPr>
        <w:spacing w:line="241" w:lineRule="auto"/>
        <w:rPr>
          <w:rFonts w:hint="default" w:ascii="Times New Roman" w:hAnsi="Times New Roman" w:cs="Times New Roman"/>
          <w:spacing w:val="0"/>
          <w:w w:val="100"/>
          <w:position w:val="0"/>
          <w:sz w:val="21"/>
          <w:u w:val="none" w:color="auto"/>
        </w:rPr>
      </w:pPr>
    </w:p>
    <w:p w14:paraId="4DB32CA6">
      <w:pPr>
        <w:spacing w:line="241" w:lineRule="auto"/>
        <w:rPr>
          <w:rFonts w:hint="default" w:ascii="Times New Roman" w:hAnsi="Times New Roman" w:cs="Times New Roman"/>
          <w:spacing w:val="0"/>
          <w:w w:val="100"/>
          <w:position w:val="0"/>
          <w:sz w:val="21"/>
          <w:u w:val="none" w:color="auto"/>
        </w:rPr>
      </w:pPr>
    </w:p>
    <w:p w14:paraId="03EE17E2">
      <w:pPr>
        <w:spacing w:line="241" w:lineRule="auto"/>
        <w:rPr>
          <w:rFonts w:hint="default" w:ascii="Times New Roman" w:hAnsi="Times New Roman" w:cs="Times New Roman"/>
          <w:spacing w:val="0"/>
          <w:w w:val="100"/>
          <w:position w:val="0"/>
          <w:sz w:val="21"/>
          <w:u w:val="none" w:color="auto"/>
        </w:rPr>
      </w:pPr>
    </w:p>
    <w:p w14:paraId="0DB80D9A">
      <w:pPr>
        <w:spacing w:line="241" w:lineRule="auto"/>
        <w:rPr>
          <w:rFonts w:hint="default" w:ascii="Times New Roman" w:hAnsi="Times New Roman" w:cs="Times New Roman"/>
          <w:spacing w:val="0"/>
          <w:w w:val="100"/>
          <w:position w:val="0"/>
          <w:sz w:val="21"/>
          <w:u w:val="none" w:color="auto"/>
        </w:rPr>
      </w:pPr>
    </w:p>
    <w:p w14:paraId="1DD65A3D">
      <w:pPr>
        <w:spacing w:line="241" w:lineRule="auto"/>
        <w:rPr>
          <w:rFonts w:hint="default" w:ascii="Times New Roman" w:hAnsi="Times New Roman" w:cs="Times New Roman"/>
          <w:spacing w:val="0"/>
          <w:w w:val="100"/>
          <w:position w:val="0"/>
          <w:sz w:val="21"/>
          <w:u w:val="none" w:color="auto"/>
        </w:rPr>
      </w:pPr>
    </w:p>
    <w:p w14:paraId="7682706C">
      <w:pPr>
        <w:spacing w:line="241" w:lineRule="auto"/>
        <w:rPr>
          <w:rFonts w:hint="default" w:ascii="Times New Roman" w:hAnsi="Times New Roman" w:cs="Times New Roman"/>
          <w:spacing w:val="0"/>
          <w:w w:val="100"/>
          <w:position w:val="0"/>
          <w:sz w:val="21"/>
          <w:u w:val="none" w:color="auto"/>
        </w:rPr>
      </w:pPr>
    </w:p>
    <w:p w14:paraId="0D2A6110">
      <w:pPr>
        <w:spacing w:line="241" w:lineRule="auto"/>
        <w:rPr>
          <w:rFonts w:hint="default" w:ascii="Times New Roman" w:hAnsi="Times New Roman" w:cs="Times New Roman"/>
          <w:spacing w:val="0"/>
          <w:w w:val="100"/>
          <w:position w:val="0"/>
          <w:sz w:val="21"/>
          <w:u w:val="none" w:color="auto"/>
        </w:rPr>
      </w:pPr>
    </w:p>
    <w:p w14:paraId="559FE7A0">
      <w:pPr>
        <w:spacing w:line="241" w:lineRule="auto"/>
        <w:rPr>
          <w:rFonts w:hint="default" w:ascii="Times New Roman" w:hAnsi="Times New Roman" w:cs="Times New Roman"/>
          <w:spacing w:val="0"/>
          <w:w w:val="100"/>
          <w:position w:val="0"/>
          <w:sz w:val="21"/>
          <w:u w:val="none" w:color="auto"/>
        </w:rPr>
      </w:pPr>
    </w:p>
    <w:p w14:paraId="675AAABB">
      <w:pPr>
        <w:spacing w:line="241" w:lineRule="auto"/>
        <w:rPr>
          <w:rFonts w:hint="default" w:ascii="Times New Roman" w:hAnsi="Times New Roman" w:cs="Times New Roman"/>
          <w:spacing w:val="0"/>
          <w:w w:val="100"/>
          <w:position w:val="0"/>
          <w:sz w:val="21"/>
          <w:u w:val="none" w:color="auto"/>
        </w:rPr>
      </w:pPr>
    </w:p>
    <w:p w14:paraId="5A1EB6DA">
      <w:pPr>
        <w:spacing w:line="241" w:lineRule="auto"/>
        <w:rPr>
          <w:rFonts w:hint="default" w:ascii="Times New Roman" w:hAnsi="Times New Roman" w:cs="Times New Roman"/>
          <w:spacing w:val="0"/>
          <w:w w:val="100"/>
          <w:position w:val="0"/>
          <w:sz w:val="21"/>
          <w:u w:val="none" w:color="auto"/>
        </w:rPr>
      </w:pPr>
    </w:p>
    <w:p w14:paraId="174257BE">
      <w:pPr>
        <w:spacing w:line="241" w:lineRule="auto"/>
        <w:rPr>
          <w:rFonts w:hint="default" w:ascii="Times New Roman" w:hAnsi="Times New Roman" w:cs="Times New Roman"/>
          <w:spacing w:val="0"/>
          <w:w w:val="100"/>
          <w:position w:val="0"/>
          <w:sz w:val="21"/>
          <w:u w:val="none" w:color="auto"/>
        </w:rPr>
      </w:pPr>
    </w:p>
    <w:p w14:paraId="5EB78BEB">
      <w:pPr>
        <w:spacing w:line="241" w:lineRule="auto"/>
        <w:rPr>
          <w:rFonts w:hint="default" w:ascii="Times New Roman" w:hAnsi="Times New Roman" w:cs="Times New Roman"/>
          <w:spacing w:val="0"/>
          <w:w w:val="100"/>
          <w:position w:val="0"/>
          <w:sz w:val="21"/>
          <w:u w:val="none" w:color="auto"/>
        </w:rPr>
      </w:pPr>
    </w:p>
    <w:p w14:paraId="494D5CA5">
      <w:pPr>
        <w:spacing w:line="241" w:lineRule="auto"/>
        <w:rPr>
          <w:rFonts w:hint="default" w:ascii="Times New Roman" w:hAnsi="Times New Roman" w:cs="Times New Roman"/>
          <w:spacing w:val="0"/>
          <w:w w:val="100"/>
          <w:position w:val="0"/>
          <w:sz w:val="21"/>
          <w:u w:val="none" w:color="auto"/>
        </w:rPr>
      </w:pPr>
    </w:p>
    <w:p w14:paraId="5C01B158">
      <w:pPr>
        <w:spacing w:line="241" w:lineRule="auto"/>
        <w:rPr>
          <w:rFonts w:hint="default" w:ascii="Times New Roman" w:hAnsi="Times New Roman" w:cs="Times New Roman"/>
          <w:spacing w:val="0"/>
          <w:w w:val="100"/>
          <w:position w:val="0"/>
          <w:sz w:val="21"/>
          <w:u w:val="none" w:color="auto"/>
        </w:rPr>
      </w:pPr>
    </w:p>
    <w:p w14:paraId="5AC7E21E">
      <w:pPr>
        <w:spacing w:line="241" w:lineRule="auto"/>
        <w:rPr>
          <w:rFonts w:hint="default" w:ascii="Times New Roman" w:hAnsi="Times New Roman" w:cs="Times New Roman"/>
          <w:spacing w:val="0"/>
          <w:w w:val="100"/>
          <w:position w:val="0"/>
          <w:sz w:val="21"/>
          <w:u w:val="none" w:color="auto"/>
        </w:rPr>
      </w:pPr>
    </w:p>
    <w:p w14:paraId="66152646">
      <w:pPr>
        <w:spacing w:line="241" w:lineRule="auto"/>
        <w:rPr>
          <w:rFonts w:hint="default" w:ascii="Times New Roman" w:hAnsi="Times New Roman" w:cs="Times New Roman"/>
          <w:spacing w:val="0"/>
          <w:w w:val="100"/>
          <w:position w:val="0"/>
          <w:sz w:val="21"/>
          <w:u w:val="none" w:color="auto"/>
        </w:rPr>
      </w:pPr>
    </w:p>
    <w:p w14:paraId="538D4EA3">
      <w:pPr>
        <w:spacing w:line="241" w:lineRule="auto"/>
        <w:rPr>
          <w:rFonts w:hint="default" w:ascii="Times New Roman" w:hAnsi="Times New Roman" w:cs="Times New Roman"/>
          <w:spacing w:val="0"/>
          <w:w w:val="100"/>
          <w:position w:val="0"/>
          <w:sz w:val="21"/>
          <w:u w:val="none" w:color="auto"/>
        </w:rPr>
      </w:pPr>
    </w:p>
    <w:p w14:paraId="47F0D9D9">
      <w:pPr>
        <w:spacing w:line="241" w:lineRule="auto"/>
        <w:rPr>
          <w:rFonts w:hint="default" w:ascii="Times New Roman" w:hAnsi="Times New Roman" w:cs="Times New Roman"/>
          <w:spacing w:val="0"/>
          <w:w w:val="100"/>
          <w:position w:val="0"/>
          <w:sz w:val="21"/>
          <w:u w:val="none" w:color="auto"/>
        </w:rPr>
      </w:pPr>
    </w:p>
    <w:p w14:paraId="496943ED">
      <w:pPr>
        <w:spacing w:line="241" w:lineRule="auto"/>
        <w:rPr>
          <w:rFonts w:hint="default" w:ascii="Times New Roman" w:hAnsi="Times New Roman" w:cs="Times New Roman"/>
          <w:spacing w:val="0"/>
          <w:w w:val="100"/>
          <w:position w:val="0"/>
          <w:sz w:val="21"/>
          <w:u w:val="none" w:color="auto"/>
        </w:rPr>
      </w:pPr>
    </w:p>
    <w:p w14:paraId="7E23669E">
      <w:pPr>
        <w:spacing w:line="241" w:lineRule="auto"/>
        <w:rPr>
          <w:rFonts w:hint="default" w:ascii="Times New Roman" w:hAnsi="Times New Roman" w:cs="Times New Roman"/>
          <w:spacing w:val="0"/>
          <w:w w:val="100"/>
          <w:position w:val="0"/>
          <w:sz w:val="21"/>
          <w:u w:val="none" w:color="auto"/>
        </w:rPr>
      </w:pPr>
    </w:p>
    <w:p w14:paraId="7C385389">
      <w:pPr>
        <w:spacing w:line="241" w:lineRule="auto"/>
        <w:rPr>
          <w:rFonts w:hint="default" w:ascii="Times New Roman" w:hAnsi="Times New Roman" w:cs="Times New Roman"/>
          <w:spacing w:val="0"/>
          <w:w w:val="100"/>
          <w:position w:val="0"/>
          <w:sz w:val="21"/>
          <w:u w:val="none" w:color="auto"/>
        </w:rPr>
      </w:pPr>
    </w:p>
    <w:p w14:paraId="3BD64E63">
      <w:pPr>
        <w:spacing w:line="241" w:lineRule="auto"/>
        <w:rPr>
          <w:rFonts w:hint="default" w:ascii="Times New Roman" w:hAnsi="Times New Roman" w:cs="Times New Roman"/>
          <w:spacing w:val="0"/>
          <w:w w:val="100"/>
          <w:position w:val="0"/>
          <w:sz w:val="21"/>
          <w:u w:val="none" w:color="auto"/>
        </w:rPr>
      </w:pPr>
    </w:p>
    <w:p w14:paraId="0C114A03">
      <w:pPr>
        <w:spacing w:line="241" w:lineRule="auto"/>
        <w:rPr>
          <w:rFonts w:hint="default" w:ascii="Times New Roman" w:hAnsi="Times New Roman" w:cs="Times New Roman"/>
          <w:spacing w:val="0"/>
          <w:w w:val="100"/>
          <w:position w:val="0"/>
          <w:sz w:val="21"/>
          <w:u w:val="none" w:color="auto"/>
        </w:rPr>
      </w:pPr>
    </w:p>
    <w:p w14:paraId="4DA05BD9">
      <w:pPr>
        <w:spacing w:line="241" w:lineRule="auto"/>
        <w:rPr>
          <w:rFonts w:hint="default" w:ascii="Times New Roman" w:hAnsi="Times New Roman" w:cs="Times New Roman"/>
          <w:spacing w:val="0"/>
          <w:w w:val="100"/>
          <w:position w:val="0"/>
          <w:sz w:val="21"/>
          <w:u w:val="none" w:color="auto"/>
        </w:rPr>
      </w:pPr>
    </w:p>
    <w:p w14:paraId="6A5849FF">
      <w:pPr>
        <w:spacing w:line="242" w:lineRule="auto"/>
        <w:rPr>
          <w:rFonts w:hint="default" w:ascii="Times New Roman" w:hAnsi="Times New Roman" w:cs="Times New Roman"/>
          <w:spacing w:val="0"/>
          <w:w w:val="100"/>
          <w:position w:val="0"/>
          <w:sz w:val="21"/>
          <w:u w:val="none" w:color="auto"/>
        </w:rPr>
      </w:pPr>
    </w:p>
    <w:p w14:paraId="7754E678">
      <w:pPr>
        <w:spacing w:line="242" w:lineRule="auto"/>
        <w:rPr>
          <w:rFonts w:hint="default" w:ascii="Times New Roman" w:hAnsi="Times New Roman" w:cs="Times New Roman"/>
          <w:spacing w:val="0"/>
          <w:w w:val="100"/>
          <w:position w:val="0"/>
          <w:sz w:val="21"/>
          <w:u w:val="none" w:color="auto"/>
        </w:rPr>
      </w:pPr>
    </w:p>
    <w:p w14:paraId="1EA06F26">
      <w:pPr>
        <w:spacing w:line="242" w:lineRule="auto"/>
        <w:rPr>
          <w:rFonts w:hint="default" w:ascii="Times New Roman" w:hAnsi="Times New Roman" w:cs="Times New Roman"/>
          <w:spacing w:val="0"/>
          <w:w w:val="100"/>
          <w:position w:val="0"/>
          <w:sz w:val="21"/>
          <w:u w:val="none" w:color="auto"/>
        </w:rPr>
      </w:pPr>
    </w:p>
    <w:p w14:paraId="0AAE3A51">
      <w:pPr>
        <w:pStyle w:val="4"/>
        <w:spacing w:before="104" w:line="224" w:lineRule="auto"/>
        <w:ind w:left="3167"/>
        <w:rPr>
          <w:rFonts w:hint="default" w:ascii="Times New Roman" w:hAnsi="Times New Roman" w:cs="Times New Roman"/>
          <w:spacing w:val="0"/>
          <w:w w:val="100"/>
          <w:position w:val="0"/>
          <w:sz w:val="21"/>
          <w:u w:val="none" w:color="auto"/>
        </w:rPr>
      </w:pPr>
      <w:r>
        <w:rPr>
          <w:rFonts w:hint="default" w:ascii="Times New Roman" w:hAnsi="Times New Roman" w:eastAsia="仿宋_GB2312" w:cs="Times New Roman"/>
          <w:spacing w:val="0"/>
          <w:w w:val="100"/>
          <w:position w:val="0"/>
          <w:u w:val="none" w:color="auto"/>
        </w:rPr>
        <w:t>202</w:t>
      </w:r>
      <w:r>
        <w:rPr>
          <w:rFonts w:hint="eastAsia" w:ascii="Times New Roman" w:hAnsi="Times New Roman" w:eastAsia="仿宋_GB2312" w:cs="Times New Roman"/>
          <w:spacing w:val="0"/>
          <w:w w:val="100"/>
          <w:position w:val="0"/>
          <w:u w:val="none" w:color="auto"/>
          <w:lang w:val="en-US" w:eastAsia="zh-CN"/>
        </w:rPr>
        <w:t>5</w:t>
      </w:r>
      <w:r>
        <w:rPr>
          <w:rFonts w:hint="default" w:ascii="Times New Roman" w:hAnsi="Times New Roman" w:eastAsia="仿宋_GB2312" w:cs="Times New Roman"/>
          <w:spacing w:val="0"/>
          <w:w w:val="100"/>
          <w:position w:val="0"/>
          <w:u w:val="none" w:color="auto"/>
        </w:rPr>
        <w:t>年9月29日</w:t>
      </w:r>
    </w:p>
    <w:p w14:paraId="7D436182">
      <w:pPr>
        <w:spacing w:before="143" w:line="222" w:lineRule="auto"/>
        <w:jc w:val="center"/>
        <w:outlineLvl w:val="0"/>
        <w:rPr>
          <w:rFonts w:hint="default" w:ascii="黑体" w:hAnsi="黑体" w:eastAsia="黑体" w:cs="黑体"/>
          <w:b w:val="0"/>
          <w:snapToGrid/>
          <w:color w:val="000000"/>
          <w:kern w:val="2"/>
          <w:sz w:val="44"/>
          <w:szCs w:val="44"/>
          <w:u w:val="none" w:color="auto"/>
          <w:lang w:val="en-US" w:eastAsia="zh-CN" w:bidi="ar-SA"/>
        </w:rPr>
      </w:pPr>
      <w:r>
        <w:rPr>
          <w:rFonts w:hint="default" w:ascii="黑体" w:hAnsi="黑体" w:eastAsia="黑体" w:cs="黑体"/>
          <w:b w:val="0"/>
          <w:snapToGrid/>
          <w:color w:val="000000"/>
          <w:kern w:val="2"/>
          <w:sz w:val="44"/>
          <w:szCs w:val="44"/>
          <w:u w:val="none" w:color="auto"/>
          <w:lang w:val="en-US" w:eastAsia="zh-CN" w:bidi="ar-SA"/>
        </w:rPr>
        <w:t>目     录</w:t>
      </w:r>
    </w:p>
    <w:p w14:paraId="547FE7AD">
      <w:pPr>
        <w:spacing w:line="251" w:lineRule="auto"/>
        <w:rPr>
          <w:rFonts w:hint="default" w:ascii="Times New Roman" w:hAnsi="Times New Roman" w:cs="Times New Roman"/>
          <w:spacing w:val="0"/>
          <w:w w:val="100"/>
          <w:position w:val="0"/>
          <w:sz w:val="21"/>
          <w:u w:val="none" w:color="auto"/>
        </w:rPr>
      </w:pPr>
    </w:p>
    <w:p w14:paraId="667C8B0E">
      <w:pPr>
        <w:spacing w:line="251" w:lineRule="auto"/>
        <w:rPr>
          <w:rFonts w:hint="default" w:ascii="Times New Roman" w:hAnsi="Times New Roman" w:cs="Times New Roman"/>
          <w:spacing w:val="0"/>
          <w:w w:val="100"/>
          <w:position w:val="0"/>
          <w:sz w:val="21"/>
          <w:u w:val="none" w:color="auto"/>
        </w:rPr>
      </w:pPr>
    </w:p>
    <w:p w14:paraId="6523436D">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第一部分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武汉市光谷第二十六小学</w:t>
      </w:r>
      <w:r>
        <w:rPr>
          <w:rFonts w:hint="default" w:ascii="Times New Roman" w:hAnsi="Times New Roman" w:eastAsia="黑体" w:cs="Times New Roman"/>
          <w:spacing w:val="0"/>
          <w:w w:val="100"/>
          <w:position w:val="0"/>
          <w:sz w:val="32"/>
          <w:szCs w:val="32"/>
          <w:u w:val="none" w:color="auto"/>
        </w:rPr>
        <w:t>概况</w:t>
      </w:r>
    </w:p>
    <w:p w14:paraId="4E68A8A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14:paraId="7B1DF224">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14:paraId="7BD80023">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第二部分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武汉市光谷第二十六小学</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14:paraId="2A0B68EF">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14:paraId="6520882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14:paraId="3C83703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14:paraId="7CA4E74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14:paraId="3FEC9E6C">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14:paraId="2FF3A4A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14:paraId="4DAECAB1">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14:paraId="1E7BD4B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14:paraId="3D6BCB1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14:paraId="5495F10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第三部分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eastAsia="zh-CN"/>
        </w:rPr>
        <w:t>武汉市光谷第二十六小学</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年度部门决算情况说明</w:t>
      </w:r>
    </w:p>
    <w:p w14:paraId="624CEB7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一、收入支出决算总体情况说明</w:t>
      </w:r>
    </w:p>
    <w:p w14:paraId="4BAA936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二、收入决算情况说明</w:t>
      </w:r>
    </w:p>
    <w:p w14:paraId="69C5534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三、支出决算情况说明</w:t>
      </w:r>
    </w:p>
    <w:p w14:paraId="1FB3A53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四、财政拨款收入支出决算总体情况说明</w:t>
      </w:r>
    </w:p>
    <w:p w14:paraId="6AE7476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五、一般公共预算财政拨款支出决算情况说明</w:t>
      </w:r>
    </w:p>
    <w:p w14:paraId="7FC5404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六、一般公共预算财政拨款基本支出决算情况说明</w:t>
      </w:r>
    </w:p>
    <w:p w14:paraId="28D06E3A">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七、政府性基金预算财政拨款收入支出决算情况说明</w:t>
      </w:r>
    </w:p>
    <w:p w14:paraId="087603B2">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八、国有资本经营预算财政拨款支出决算情况说明</w:t>
      </w:r>
    </w:p>
    <w:p w14:paraId="4315F142">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九、财政拨款“三公”经费支出决算情况说明</w:t>
      </w:r>
    </w:p>
    <w:p w14:paraId="10C6961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十、机关运行经费支出说明</w:t>
      </w:r>
    </w:p>
    <w:p w14:paraId="642958B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十一、政府采购支出说明</w:t>
      </w:r>
    </w:p>
    <w:p w14:paraId="27EFB516">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十二、国有资产占用情况说明</w:t>
      </w:r>
    </w:p>
    <w:p w14:paraId="6440936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十三、预算绩效情况说明</w:t>
      </w:r>
    </w:p>
    <w:p w14:paraId="13989050">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第四部分  202</w:t>
      </w:r>
      <w:r>
        <w:rPr>
          <w:rFonts w:hint="eastAsia" w:ascii="Times New Roman" w:hAnsi="Times New Roman" w:eastAsia="黑体" w:cs="Times New Roman"/>
          <w:spacing w:val="0"/>
          <w:w w:val="100"/>
          <w:position w:val="0"/>
          <w:sz w:val="32"/>
          <w:u w:val="none" w:color="auto"/>
          <w:lang w:val="en-US" w:eastAsia="zh-CN"/>
        </w:rPr>
        <w:t>4</w:t>
      </w:r>
      <w:r>
        <w:rPr>
          <w:rFonts w:hint="default" w:ascii="Times New Roman" w:hAnsi="Times New Roman" w:eastAsia="黑体" w:cs="Times New Roman"/>
          <w:spacing w:val="0"/>
          <w:w w:val="100"/>
          <w:position w:val="0"/>
          <w:sz w:val="32"/>
          <w:u w:val="none" w:color="auto"/>
        </w:rPr>
        <w:t>年重点工作完成情况</w:t>
      </w:r>
    </w:p>
    <w:p w14:paraId="2447E10E">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第五部分  名词解释</w:t>
      </w:r>
    </w:p>
    <w:p w14:paraId="75DD4627">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第六部分  附件</w:t>
      </w:r>
    </w:p>
    <w:p w14:paraId="619310B5">
      <w:pPr>
        <w:rPr>
          <w:rFonts w:hint="default" w:ascii="Times New Roman" w:hAnsi="Times New Roman" w:cs="Times New Roman"/>
          <w:u w:val="none" w:color="auto"/>
        </w:rPr>
      </w:pPr>
    </w:p>
    <w:p w14:paraId="1745231E">
      <w:pPr>
        <w:pStyle w:val="8"/>
        <w:rPr>
          <w:rFonts w:hint="default" w:ascii="Times New Roman" w:hAnsi="Times New Roman" w:cs="Times New Roman"/>
          <w:u w:val="none" w:color="auto"/>
        </w:rPr>
      </w:pPr>
    </w:p>
    <w:p w14:paraId="59E0F646">
      <w:pPr>
        <w:rPr>
          <w:rFonts w:hint="default" w:ascii="Times New Roman" w:hAnsi="Times New Roman" w:cs="Times New Roman"/>
          <w:u w:val="none" w:color="auto"/>
        </w:rPr>
      </w:pPr>
    </w:p>
    <w:p w14:paraId="30F3AC94">
      <w:pPr>
        <w:pStyle w:val="8"/>
        <w:rPr>
          <w:rFonts w:hint="default" w:ascii="Times New Roman" w:hAnsi="Times New Roman" w:cs="Times New Roman"/>
          <w:u w:val="none" w:color="auto"/>
        </w:rPr>
      </w:pPr>
    </w:p>
    <w:p w14:paraId="66D93C42">
      <w:pPr>
        <w:rPr>
          <w:rFonts w:hint="default" w:ascii="Times New Roman" w:hAnsi="Times New Roman" w:cs="Times New Roman"/>
          <w:u w:val="none" w:color="auto"/>
        </w:rPr>
      </w:pPr>
    </w:p>
    <w:p w14:paraId="4AD9932B">
      <w:pPr>
        <w:pStyle w:val="8"/>
        <w:rPr>
          <w:rFonts w:hint="default" w:ascii="Times New Roman" w:hAnsi="Times New Roman" w:cs="Times New Roman"/>
          <w:u w:val="none" w:color="auto"/>
        </w:rPr>
      </w:pPr>
    </w:p>
    <w:p w14:paraId="11577A81">
      <w:pPr>
        <w:rPr>
          <w:rFonts w:hint="default" w:ascii="Times New Roman" w:hAnsi="Times New Roman" w:cs="Times New Roman"/>
          <w:u w:val="none" w:color="auto"/>
        </w:rPr>
      </w:pPr>
    </w:p>
    <w:p w14:paraId="51DC62D5">
      <w:pPr>
        <w:pStyle w:val="8"/>
        <w:rPr>
          <w:rFonts w:hint="default" w:ascii="Times New Roman" w:hAnsi="Times New Roman" w:cs="Times New Roman"/>
          <w:u w:val="none" w:color="auto"/>
        </w:rPr>
      </w:pPr>
    </w:p>
    <w:p w14:paraId="2CFE316A">
      <w:pPr>
        <w:rPr>
          <w:rFonts w:hint="default" w:ascii="Times New Roman" w:hAnsi="Times New Roman" w:cs="Times New Roman"/>
          <w:u w:val="none" w:color="auto"/>
        </w:rPr>
      </w:pPr>
    </w:p>
    <w:p w14:paraId="7535A0B2">
      <w:pPr>
        <w:pStyle w:val="8"/>
        <w:rPr>
          <w:rFonts w:hint="default" w:ascii="Times New Roman" w:hAnsi="Times New Roman" w:cs="Times New Roman"/>
          <w:u w:val="none" w:color="auto"/>
        </w:rPr>
      </w:pPr>
    </w:p>
    <w:p w14:paraId="07FDE07A">
      <w:pPr>
        <w:rPr>
          <w:rFonts w:hint="default" w:ascii="Times New Roman" w:hAnsi="Times New Roman" w:cs="Times New Roman"/>
          <w:u w:val="none" w:color="auto"/>
        </w:rPr>
      </w:pPr>
    </w:p>
    <w:p w14:paraId="1903FE84">
      <w:pPr>
        <w:pStyle w:val="8"/>
        <w:rPr>
          <w:rFonts w:hint="default" w:ascii="Times New Roman" w:hAnsi="Times New Roman" w:cs="Times New Roman"/>
          <w:u w:val="none" w:color="auto"/>
        </w:rPr>
      </w:pPr>
    </w:p>
    <w:p w14:paraId="5F373C13">
      <w:pPr>
        <w:rPr>
          <w:rFonts w:hint="default" w:ascii="Times New Roman" w:hAnsi="Times New Roman" w:cs="Times New Roman"/>
          <w:u w:val="none" w:color="auto"/>
        </w:rPr>
      </w:pPr>
    </w:p>
    <w:p w14:paraId="3FE35655">
      <w:pPr>
        <w:pStyle w:val="8"/>
        <w:rPr>
          <w:rFonts w:hint="default" w:ascii="Times New Roman" w:hAnsi="Times New Roman" w:cs="Times New Roman"/>
          <w:u w:val="none" w:color="auto"/>
        </w:rPr>
      </w:pPr>
    </w:p>
    <w:p w14:paraId="55DC5350">
      <w:pPr>
        <w:rPr>
          <w:rFonts w:hint="default" w:ascii="Times New Roman" w:hAnsi="Times New Roman" w:cs="Times New Roman"/>
          <w:u w:val="none" w:color="auto"/>
        </w:rPr>
      </w:pPr>
    </w:p>
    <w:p w14:paraId="14F2F41E">
      <w:pPr>
        <w:pStyle w:val="8"/>
        <w:rPr>
          <w:rFonts w:hint="default" w:ascii="Times New Roman" w:hAnsi="Times New Roman" w:cs="Times New Roman"/>
          <w:u w:val="none" w:color="auto"/>
        </w:rPr>
      </w:pPr>
    </w:p>
    <w:p w14:paraId="0C4C5C25">
      <w:pPr>
        <w:rPr>
          <w:rFonts w:hint="default" w:ascii="Times New Roman" w:hAnsi="Times New Roman" w:cs="Times New Roman"/>
          <w:u w:val="none" w:color="auto"/>
        </w:rPr>
      </w:pPr>
    </w:p>
    <w:p w14:paraId="50442979">
      <w:pPr>
        <w:spacing w:before="143" w:line="222" w:lineRule="auto"/>
        <w:rPr>
          <w:rFonts w:hint="default" w:ascii="Times New Roman" w:hAnsi="Times New Roman" w:eastAsia="方正小标宋_GBK" w:cs="Times New Roman"/>
          <w:snapToGrid w:val="0"/>
          <w:color w:val="000000"/>
          <w:spacing w:val="-3"/>
          <w:kern w:val="0"/>
          <w:sz w:val="44"/>
          <w:szCs w:val="44"/>
          <w:u w:val="none" w:color="auto"/>
          <w:lang w:val="en-US" w:eastAsia="zh-CN" w:bidi="ar-SA"/>
        </w:rPr>
      </w:pPr>
      <w:r>
        <w:rPr>
          <w:rFonts w:hint="default" w:ascii="Times New Roman" w:hAnsi="Times New Roman" w:eastAsia="方正小标宋_GBK" w:cs="Times New Roman"/>
          <w:snapToGrid w:val="0"/>
          <w:color w:val="000000"/>
          <w:spacing w:val="-3"/>
          <w:kern w:val="0"/>
          <w:sz w:val="44"/>
          <w:szCs w:val="44"/>
          <w:u w:val="none" w:color="auto"/>
          <w:lang w:val="en-US" w:eastAsia="zh-CN" w:bidi="ar-SA"/>
        </w:rPr>
        <w:t xml:space="preserve">第一部分  </w:t>
      </w:r>
      <w:r>
        <w:rPr>
          <w:rFonts w:hint="eastAsia" w:ascii="Times New Roman" w:hAnsi="Times New Roman" w:eastAsia="方正小标宋_GBK" w:cs="Times New Roman"/>
          <w:snapToGrid w:val="0"/>
          <w:color w:val="000000"/>
          <w:spacing w:val="-3"/>
          <w:kern w:val="0"/>
          <w:sz w:val="44"/>
          <w:szCs w:val="44"/>
          <w:u w:val="none" w:color="auto"/>
          <w:lang w:val="en-US" w:eastAsia="zh-CN" w:bidi="ar-SA"/>
        </w:rPr>
        <w:t>武汉市光谷第二十六小学</w:t>
      </w:r>
      <w:r>
        <w:rPr>
          <w:rFonts w:hint="default" w:ascii="Times New Roman" w:hAnsi="Times New Roman" w:eastAsia="方正小标宋_GBK" w:cs="Times New Roman"/>
          <w:snapToGrid w:val="0"/>
          <w:color w:val="000000"/>
          <w:spacing w:val="-3"/>
          <w:kern w:val="0"/>
          <w:sz w:val="44"/>
          <w:szCs w:val="44"/>
          <w:u w:val="none" w:color="auto"/>
          <w:lang w:val="en-US" w:eastAsia="zh-CN" w:bidi="ar-SA"/>
        </w:rPr>
        <w:t>概况</w:t>
      </w:r>
    </w:p>
    <w:p w14:paraId="6453FC5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p>
    <w:p w14:paraId="17100C6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一、部门主要职责</w:t>
      </w:r>
    </w:p>
    <w:p w14:paraId="211F3B09">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default" w:ascii="Times New Roman" w:hAnsi="Times New Roman" w:eastAsia="仿宋_GB2312" w:cs="Times New Roman"/>
          <w:bCs/>
          <w:spacing w:val="0"/>
          <w:w w:val="100"/>
          <w:position w:val="0"/>
          <w:sz w:val="32"/>
          <w:szCs w:val="32"/>
          <w:u w:val="none" w:color="auto"/>
          <w:lang w:val="en-US" w:eastAsia="zh-CN"/>
        </w:rPr>
      </w:pPr>
      <w:r>
        <w:rPr>
          <w:rFonts w:hint="default" w:ascii="Times New Roman" w:hAnsi="Times New Roman" w:eastAsia="仿宋_GB2312" w:cs="Times New Roman"/>
          <w:bCs/>
          <w:spacing w:val="0"/>
          <w:w w:val="100"/>
          <w:position w:val="0"/>
          <w:sz w:val="32"/>
          <w:szCs w:val="32"/>
          <w:u w:val="none" w:color="auto"/>
          <w:lang w:val="en-US" w:eastAsia="zh-CN"/>
        </w:rPr>
        <w:t>武汉市光谷第二十六小学为武汉东湖新技术开发区教育文化体育局辖下一所全日制小学,举办单位为武汉东湖新技术开发区管理委员会。学校主要职能为实施小学义务教育，促进基础教育发展，完成小学教育任务，其经费来源主要是财政补助收入。</w:t>
      </w:r>
    </w:p>
    <w:p w14:paraId="051788F8">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二、机构设置情况</w:t>
      </w:r>
    </w:p>
    <w:p w14:paraId="6852FEDA">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u w:val="none" w:color="auto"/>
        </w:rPr>
      </w:pPr>
      <w:r>
        <w:rPr>
          <w:rFonts w:hint="default" w:ascii="Times New Roman" w:hAnsi="Times New Roman" w:eastAsia="仿宋_GB2312" w:cs="Times New Roman"/>
          <w:bCs/>
          <w:sz w:val="32"/>
          <w:szCs w:val="32"/>
          <w:u w:val="none" w:color="auto"/>
        </w:rPr>
        <w:t>从单位构成看，武汉市光谷第二十六小学部门决算由纳入独立核算的单位本级决算组成。</w:t>
      </w:r>
    </w:p>
    <w:p w14:paraId="059CA31D">
      <w:pPr>
        <w:rPr>
          <w:rFonts w:hint="default" w:ascii="Times New Roman" w:hAnsi="Times New Roman" w:eastAsia="仿宋_GB2312" w:cs="Times New Roman"/>
          <w:b/>
          <w:bCs/>
          <w:spacing w:val="0"/>
          <w:w w:val="100"/>
          <w:position w:val="0"/>
          <w:sz w:val="32"/>
          <w:szCs w:val="32"/>
          <w:u w:val="none" w:color="auto"/>
          <w:lang w:eastAsia="zh-CN"/>
        </w:rPr>
      </w:pPr>
    </w:p>
    <w:p w14:paraId="57AFA0A7">
      <w:pPr>
        <w:pStyle w:val="2"/>
        <w:rPr>
          <w:rFonts w:hint="default" w:ascii="Times New Roman" w:hAnsi="Times New Roman" w:eastAsia="仿宋_GB2312" w:cs="Times New Roman"/>
          <w:b/>
          <w:bCs/>
          <w:spacing w:val="0"/>
          <w:w w:val="100"/>
          <w:position w:val="0"/>
          <w:sz w:val="32"/>
          <w:szCs w:val="32"/>
          <w:u w:val="none" w:color="auto"/>
          <w:lang w:eastAsia="zh-CN"/>
        </w:rPr>
      </w:pPr>
    </w:p>
    <w:p w14:paraId="2327877D">
      <w:pPr>
        <w:rPr>
          <w:rFonts w:hint="default" w:ascii="Times New Roman" w:hAnsi="Times New Roman" w:eastAsia="仿宋_GB2312" w:cs="Times New Roman"/>
          <w:b/>
          <w:bCs/>
          <w:spacing w:val="0"/>
          <w:w w:val="100"/>
          <w:position w:val="0"/>
          <w:sz w:val="32"/>
          <w:szCs w:val="32"/>
          <w:u w:val="none" w:color="auto"/>
          <w:lang w:eastAsia="zh-CN"/>
        </w:rPr>
      </w:pPr>
    </w:p>
    <w:p w14:paraId="5B318457">
      <w:pPr>
        <w:pStyle w:val="2"/>
        <w:rPr>
          <w:rFonts w:hint="default" w:ascii="Times New Roman" w:hAnsi="Times New Roman" w:eastAsia="仿宋_GB2312" w:cs="Times New Roman"/>
          <w:b/>
          <w:bCs/>
          <w:spacing w:val="0"/>
          <w:w w:val="100"/>
          <w:position w:val="0"/>
          <w:sz w:val="32"/>
          <w:szCs w:val="32"/>
          <w:u w:val="none" w:color="auto"/>
          <w:lang w:eastAsia="zh-CN"/>
        </w:rPr>
      </w:pPr>
    </w:p>
    <w:p w14:paraId="07EC025C">
      <w:pPr>
        <w:rPr>
          <w:rFonts w:hint="default" w:ascii="Times New Roman" w:hAnsi="Times New Roman" w:eastAsia="仿宋_GB2312" w:cs="Times New Roman"/>
          <w:b/>
          <w:bCs/>
          <w:spacing w:val="0"/>
          <w:w w:val="100"/>
          <w:position w:val="0"/>
          <w:sz w:val="32"/>
          <w:szCs w:val="32"/>
          <w:u w:val="none" w:color="auto"/>
          <w:lang w:eastAsia="zh-CN"/>
        </w:rPr>
      </w:pPr>
    </w:p>
    <w:p w14:paraId="038FF74C">
      <w:pPr>
        <w:pStyle w:val="2"/>
        <w:rPr>
          <w:rFonts w:hint="default" w:ascii="Times New Roman" w:hAnsi="Times New Roman" w:eastAsia="仿宋_GB2312" w:cs="Times New Roman"/>
          <w:b/>
          <w:bCs/>
          <w:spacing w:val="0"/>
          <w:w w:val="100"/>
          <w:position w:val="0"/>
          <w:sz w:val="32"/>
          <w:szCs w:val="32"/>
          <w:u w:val="none" w:color="auto"/>
          <w:lang w:eastAsia="zh-CN"/>
        </w:rPr>
      </w:pPr>
    </w:p>
    <w:p w14:paraId="76671D45">
      <w:pPr>
        <w:rPr>
          <w:rFonts w:hint="default"/>
          <w:u w:val="none" w:color="auto"/>
          <w:lang w:eastAsia="zh-CN"/>
        </w:rPr>
      </w:pPr>
    </w:p>
    <w:p w14:paraId="06E8B042">
      <w:pPr>
        <w:pStyle w:val="8"/>
        <w:rPr>
          <w:rFonts w:hint="default" w:ascii="Times New Roman" w:hAnsi="Times New Roman" w:eastAsia="仿宋_GB2312" w:cs="Times New Roman"/>
          <w:b/>
          <w:bCs/>
          <w:spacing w:val="0"/>
          <w:w w:val="100"/>
          <w:position w:val="0"/>
          <w:sz w:val="32"/>
          <w:szCs w:val="32"/>
          <w:u w:val="none" w:color="auto"/>
          <w:lang w:eastAsia="zh-CN"/>
        </w:rPr>
      </w:pPr>
    </w:p>
    <w:p w14:paraId="67C52EEB">
      <w:pPr>
        <w:rPr>
          <w:rFonts w:hint="default" w:ascii="Times New Roman" w:hAnsi="Times New Roman" w:eastAsia="仿宋_GB2312" w:cs="Times New Roman"/>
          <w:b/>
          <w:bCs/>
          <w:spacing w:val="0"/>
          <w:w w:val="100"/>
          <w:position w:val="0"/>
          <w:sz w:val="32"/>
          <w:szCs w:val="32"/>
          <w:u w:val="none" w:color="auto"/>
          <w:lang w:eastAsia="zh-CN"/>
        </w:rPr>
      </w:pPr>
    </w:p>
    <w:p w14:paraId="6B0CD94F">
      <w:pPr>
        <w:pStyle w:val="8"/>
        <w:rPr>
          <w:rFonts w:hint="default"/>
          <w:u w:val="none" w:color="auto"/>
          <w:lang w:eastAsia="zh-CN"/>
        </w:rPr>
      </w:pPr>
    </w:p>
    <w:p w14:paraId="55B30062">
      <w:pPr>
        <w:rPr>
          <w:rFonts w:hint="default" w:ascii="Times New Roman" w:hAnsi="Times New Roman" w:eastAsia="仿宋_GB2312" w:cs="Times New Roman"/>
          <w:b/>
          <w:bCs/>
          <w:spacing w:val="0"/>
          <w:w w:val="100"/>
          <w:position w:val="0"/>
          <w:sz w:val="32"/>
          <w:szCs w:val="32"/>
          <w:u w:val="none" w:color="auto"/>
          <w:lang w:eastAsia="zh-CN"/>
        </w:rPr>
      </w:pPr>
    </w:p>
    <w:p w14:paraId="61C6E85E">
      <w:pPr>
        <w:pStyle w:val="8"/>
        <w:rPr>
          <w:rFonts w:hint="default" w:ascii="Times New Roman" w:hAnsi="Times New Roman" w:eastAsia="仿宋_GB2312" w:cs="Times New Roman"/>
          <w:b/>
          <w:bCs/>
          <w:spacing w:val="0"/>
          <w:w w:val="100"/>
          <w:position w:val="0"/>
          <w:sz w:val="32"/>
          <w:szCs w:val="32"/>
          <w:u w:val="none" w:color="auto"/>
          <w:lang w:eastAsia="zh-CN"/>
        </w:rPr>
      </w:pPr>
    </w:p>
    <w:p w14:paraId="283DAA64">
      <w:pPr>
        <w:rPr>
          <w:rFonts w:hint="default" w:ascii="Times New Roman" w:hAnsi="Times New Roman" w:eastAsia="仿宋_GB2312" w:cs="Times New Roman"/>
          <w:b/>
          <w:bCs/>
          <w:spacing w:val="0"/>
          <w:w w:val="100"/>
          <w:position w:val="0"/>
          <w:sz w:val="32"/>
          <w:szCs w:val="32"/>
          <w:u w:val="none" w:color="auto"/>
          <w:lang w:eastAsia="zh-CN"/>
        </w:rPr>
      </w:pPr>
    </w:p>
    <w:p w14:paraId="5A6432A5">
      <w:pPr>
        <w:rPr>
          <w:rFonts w:hint="default" w:ascii="Times New Roman" w:hAnsi="Times New Roman" w:eastAsia="仿宋_GB2312" w:cs="Times New Roman"/>
          <w:b/>
          <w:bCs/>
          <w:spacing w:val="0"/>
          <w:w w:val="100"/>
          <w:position w:val="0"/>
          <w:sz w:val="32"/>
          <w:szCs w:val="32"/>
          <w:u w:val="none" w:color="auto"/>
          <w:lang w:eastAsia="zh-CN"/>
        </w:rPr>
      </w:pPr>
    </w:p>
    <w:p w14:paraId="61C113D6">
      <w:pPr>
        <w:pStyle w:val="8"/>
        <w:ind w:left="0" w:leftChars="0" w:firstLine="0" w:firstLineChars="0"/>
        <w:jc w:val="center"/>
        <w:rPr>
          <w:rFonts w:hint="default" w:ascii="Times New Roman" w:hAnsi="Times New Roman" w:eastAsia="方正小标宋_GBK" w:cs="Times New Roman"/>
          <w:spacing w:val="-3"/>
          <w:sz w:val="44"/>
          <w:szCs w:val="44"/>
          <w:u w:val="none" w:color="auto"/>
        </w:rPr>
      </w:pPr>
    </w:p>
    <w:p w14:paraId="03A4AC24">
      <w:pPr>
        <w:pStyle w:val="8"/>
        <w:ind w:left="0" w:leftChars="0" w:firstLine="0" w:firstLineChars="0"/>
        <w:jc w:val="center"/>
        <w:rPr>
          <w:rFonts w:hint="default" w:ascii="Times New Roman" w:hAnsi="Times New Roman" w:eastAsia="方正小标宋_GBK" w:cs="Times New Roman"/>
          <w:spacing w:val="-3"/>
          <w:sz w:val="44"/>
          <w:szCs w:val="44"/>
          <w:u w:val="none" w:color="auto"/>
        </w:rPr>
      </w:pPr>
    </w:p>
    <w:p w14:paraId="21FE7532">
      <w:pPr>
        <w:pStyle w:val="8"/>
        <w:ind w:left="0" w:leftChars="0" w:firstLine="0" w:firstLineChars="0"/>
        <w:jc w:val="center"/>
        <w:rPr>
          <w:rFonts w:hint="default" w:ascii="Times New Roman" w:hAnsi="Times New Roman" w:eastAsia="方正小标宋_GBK" w:cs="Times New Roman"/>
          <w:spacing w:val="-3"/>
          <w:sz w:val="44"/>
          <w:szCs w:val="44"/>
          <w:u w:val="none" w:color="auto"/>
        </w:rPr>
      </w:pPr>
      <w:r>
        <w:rPr>
          <w:rFonts w:hint="default" w:ascii="Times New Roman" w:hAnsi="Times New Roman" w:eastAsia="方正小标宋_GBK" w:cs="Times New Roman"/>
          <w:spacing w:val="-3"/>
          <w:sz w:val="44"/>
          <w:szCs w:val="44"/>
          <w:u w:val="none" w:color="auto"/>
        </w:rPr>
        <w:t xml:space="preserve">第二部分  </w:t>
      </w:r>
      <w:r>
        <w:rPr>
          <w:rFonts w:hint="default" w:ascii="Times New Roman" w:hAnsi="Times New Roman" w:eastAsia="方正小标宋_GBK" w:cs="Times New Roman"/>
          <w:spacing w:val="-193"/>
          <w:sz w:val="44"/>
          <w:szCs w:val="44"/>
          <w:u w:val="none" w:color="auto"/>
        </w:rPr>
        <w:t xml:space="preserve"> </w:t>
      </w:r>
      <w:r>
        <w:rPr>
          <w:rFonts w:hint="eastAsia" w:ascii="Times New Roman" w:hAnsi="Times New Roman" w:eastAsia="方正小标宋_GBK" w:cs="Times New Roman"/>
          <w:spacing w:val="-3"/>
          <w:sz w:val="44"/>
          <w:szCs w:val="44"/>
          <w:u w:val="none" w:color="auto"/>
          <w:lang w:eastAsia="zh-CN"/>
        </w:rPr>
        <w:t>武汉市光谷第二十六小学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u w:val="none" w:color="auto"/>
        </w:rPr>
        <w:t>202</w:t>
      </w:r>
      <w:r>
        <w:rPr>
          <w:rFonts w:hint="eastAsia" w:ascii="Times New Roman" w:hAnsi="Times New Roman" w:eastAsia="方正小标宋_GBK" w:cs="Times New Roman"/>
          <w:spacing w:val="-3"/>
          <w:sz w:val="44"/>
          <w:szCs w:val="44"/>
          <w:u w:val="none" w:color="auto"/>
          <w:lang w:val="en-US" w:eastAsia="zh-CN"/>
        </w:rPr>
        <w:t>4</w:t>
      </w:r>
      <w:r>
        <w:rPr>
          <w:rFonts w:hint="default" w:ascii="Times New Roman" w:hAnsi="Times New Roman" w:eastAsia="方正小标宋_GBK" w:cs="Times New Roman"/>
          <w:spacing w:val="-96"/>
          <w:sz w:val="44"/>
          <w:szCs w:val="44"/>
          <w:u w:val="none" w:color="auto"/>
        </w:rPr>
        <w:t xml:space="preserve"> </w:t>
      </w:r>
      <w:r>
        <w:rPr>
          <w:rFonts w:hint="default" w:ascii="Times New Roman" w:hAnsi="Times New Roman" w:eastAsia="方正小标宋_GBK" w:cs="Times New Roman"/>
          <w:spacing w:val="-3"/>
          <w:sz w:val="44"/>
          <w:szCs w:val="44"/>
          <w:u w:val="none" w:color="auto"/>
        </w:rPr>
        <w:t>年度部门决算表</w:t>
      </w:r>
    </w:p>
    <w:p w14:paraId="05DEF700">
      <w:pPr>
        <w:rPr>
          <w:rFonts w:hint="default" w:ascii="Times New Roman" w:hAnsi="Times New Roman" w:cs="Times New Roman"/>
          <w:u w:val="none" w:color="auto"/>
        </w:rPr>
      </w:pPr>
    </w:p>
    <w:p w14:paraId="12925F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年度收入支出决算总表</w:t>
      </w:r>
    </w:p>
    <w:p w14:paraId="3551EFF0">
      <w:pPr>
        <w:pStyle w:val="8"/>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公开01表</w:t>
      </w:r>
    </w:p>
    <w:p w14:paraId="25C4FEB5">
      <w:pPr>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u w:val="none" w:color="auto"/>
          <w:lang w:val="en-US" w:eastAsia="zh-CN" w:bidi="ar-SA"/>
        </w:rPr>
        <w:t>武汉市光谷第二十六小学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u w:val="none" w:color="auto"/>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元</w:t>
      </w:r>
    </w:p>
    <w:tbl>
      <w:tblPr>
        <w:tblStyle w:val="9"/>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59"/>
        <w:gridCol w:w="675"/>
        <w:gridCol w:w="951"/>
        <w:gridCol w:w="3519"/>
        <w:gridCol w:w="705"/>
        <w:gridCol w:w="930"/>
      </w:tblGrid>
      <w:tr w14:paraId="4F47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14:paraId="32872CF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收入</w:t>
            </w:r>
          </w:p>
        </w:tc>
        <w:tc>
          <w:tcPr>
            <w:tcW w:w="5154" w:type="dxa"/>
            <w:gridSpan w:val="3"/>
            <w:shd w:val="clear" w:color="auto" w:fill="auto"/>
            <w:vAlign w:val="center"/>
          </w:tcPr>
          <w:p w14:paraId="7939FF5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支出</w:t>
            </w:r>
          </w:p>
        </w:tc>
      </w:tr>
      <w:tr w14:paraId="106D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2CC4F0CC">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项目</w:t>
            </w:r>
          </w:p>
        </w:tc>
        <w:tc>
          <w:tcPr>
            <w:tcW w:w="675" w:type="dxa"/>
            <w:shd w:val="clear" w:color="auto" w:fill="auto"/>
            <w:vAlign w:val="center"/>
          </w:tcPr>
          <w:p w14:paraId="0988BDD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行次</w:t>
            </w:r>
          </w:p>
        </w:tc>
        <w:tc>
          <w:tcPr>
            <w:tcW w:w="951" w:type="dxa"/>
            <w:shd w:val="clear" w:color="auto" w:fill="auto"/>
            <w:vAlign w:val="center"/>
          </w:tcPr>
          <w:p w14:paraId="6164951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金额</w:t>
            </w:r>
          </w:p>
        </w:tc>
        <w:tc>
          <w:tcPr>
            <w:tcW w:w="3519" w:type="dxa"/>
            <w:shd w:val="clear" w:color="auto" w:fill="auto"/>
            <w:vAlign w:val="center"/>
          </w:tcPr>
          <w:p w14:paraId="21C94AB3">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项目</w:t>
            </w:r>
          </w:p>
        </w:tc>
        <w:tc>
          <w:tcPr>
            <w:tcW w:w="705" w:type="dxa"/>
            <w:shd w:val="clear" w:color="auto" w:fill="auto"/>
            <w:vAlign w:val="center"/>
          </w:tcPr>
          <w:p w14:paraId="73FA12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行次</w:t>
            </w:r>
          </w:p>
        </w:tc>
        <w:tc>
          <w:tcPr>
            <w:tcW w:w="930" w:type="dxa"/>
            <w:shd w:val="clear" w:color="auto" w:fill="auto"/>
            <w:vAlign w:val="center"/>
          </w:tcPr>
          <w:p w14:paraId="591BC7C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金额</w:t>
            </w:r>
          </w:p>
        </w:tc>
      </w:tr>
      <w:tr w14:paraId="355E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1D93CDB6">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栏次</w:t>
            </w:r>
          </w:p>
        </w:tc>
        <w:tc>
          <w:tcPr>
            <w:tcW w:w="675" w:type="dxa"/>
            <w:shd w:val="clear" w:color="auto" w:fill="auto"/>
            <w:vAlign w:val="center"/>
          </w:tcPr>
          <w:p w14:paraId="5DF62B05">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color="auto"/>
              </w:rPr>
            </w:pPr>
          </w:p>
        </w:tc>
        <w:tc>
          <w:tcPr>
            <w:tcW w:w="951" w:type="dxa"/>
            <w:shd w:val="clear" w:color="auto" w:fill="auto"/>
            <w:vAlign w:val="center"/>
          </w:tcPr>
          <w:p w14:paraId="5B289A8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w:t>
            </w:r>
          </w:p>
        </w:tc>
        <w:tc>
          <w:tcPr>
            <w:tcW w:w="3519" w:type="dxa"/>
            <w:shd w:val="clear" w:color="auto" w:fill="auto"/>
            <w:vAlign w:val="center"/>
          </w:tcPr>
          <w:p w14:paraId="3236D8A5">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栏次</w:t>
            </w:r>
          </w:p>
        </w:tc>
        <w:tc>
          <w:tcPr>
            <w:tcW w:w="705" w:type="dxa"/>
            <w:shd w:val="clear" w:color="auto" w:fill="auto"/>
            <w:vAlign w:val="center"/>
          </w:tcPr>
          <w:p w14:paraId="6AB5B74C">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color="auto"/>
              </w:rPr>
            </w:pPr>
          </w:p>
        </w:tc>
        <w:tc>
          <w:tcPr>
            <w:tcW w:w="930" w:type="dxa"/>
            <w:shd w:val="clear" w:color="auto" w:fill="auto"/>
            <w:vAlign w:val="center"/>
          </w:tcPr>
          <w:p w14:paraId="1D8980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w:t>
            </w:r>
          </w:p>
        </w:tc>
      </w:tr>
      <w:tr w14:paraId="48F8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1D2A53C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一、一般公共预算财政拨款收入</w:t>
            </w:r>
          </w:p>
        </w:tc>
        <w:tc>
          <w:tcPr>
            <w:tcW w:w="675" w:type="dxa"/>
            <w:shd w:val="clear" w:color="auto" w:fill="auto"/>
            <w:vAlign w:val="center"/>
          </w:tcPr>
          <w:p w14:paraId="30A7D58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w:t>
            </w:r>
          </w:p>
        </w:tc>
        <w:tc>
          <w:tcPr>
            <w:tcW w:w="951" w:type="dxa"/>
            <w:shd w:val="clear" w:color="auto" w:fill="auto"/>
            <w:vAlign w:val="center"/>
          </w:tcPr>
          <w:p w14:paraId="7779B2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1855.77</w:t>
            </w:r>
          </w:p>
        </w:tc>
        <w:tc>
          <w:tcPr>
            <w:tcW w:w="3519" w:type="dxa"/>
            <w:shd w:val="clear" w:color="auto" w:fill="auto"/>
            <w:vAlign w:val="center"/>
          </w:tcPr>
          <w:p w14:paraId="3DDEC48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一、一般公共服务支出</w:t>
            </w:r>
          </w:p>
        </w:tc>
        <w:tc>
          <w:tcPr>
            <w:tcW w:w="705" w:type="dxa"/>
            <w:shd w:val="clear" w:color="auto" w:fill="auto"/>
            <w:vAlign w:val="center"/>
          </w:tcPr>
          <w:p w14:paraId="5CCC193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32</w:t>
            </w:r>
          </w:p>
        </w:tc>
        <w:tc>
          <w:tcPr>
            <w:tcW w:w="930" w:type="dxa"/>
            <w:shd w:val="clear" w:color="auto" w:fill="auto"/>
            <w:vAlign w:val="center"/>
          </w:tcPr>
          <w:p w14:paraId="105ACE1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1AE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6009C50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二、政府性基金预算财政拨款收入</w:t>
            </w:r>
          </w:p>
        </w:tc>
        <w:tc>
          <w:tcPr>
            <w:tcW w:w="675" w:type="dxa"/>
            <w:shd w:val="clear" w:color="auto" w:fill="auto"/>
            <w:vAlign w:val="center"/>
          </w:tcPr>
          <w:p w14:paraId="587E3BF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w:t>
            </w:r>
          </w:p>
        </w:tc>
        <w:tc>
          <w:tcPr>
            <w:tcW w:w="951" w:type="dxa"/>
            <w:shd w:val="clear" w:color="auto" w:fill="auto"/>
            <w:vAlign w:val="center"/>
          </w:tcPr>
          <w:p w14:paraId="4EBAE8A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01D97DA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二、外交支出</w:t>
            </w:r>
          </w:p>
        </w:tc>
        <w:tc>
          <w:tcPr>
            <w:tcW w:w="705" w:type="dxa"/>
            <w:shd w:val="clear" w:color="auto" w:fill="auto"/>
            <w:vAlign w:val="center"/>
          </w:tcPr>
          <w:p w14:paraId="35769C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33</w:t>
            </w:r>
          </w:p>
        </w:tc>
        <w:tc>
          <w:tcPr>
            <w:tcW w:w="930" w:type="dxa"/>
            <w:shd w:val="clear" w:color="auto" w:fill="auto"/>
            <w:vAlign w:val="center"/>
          </w:tcPr>
          <w:p w14:paraId="7613DA5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626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60F1CD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三、国有资本经营预算财政拨款收入</w:t>
            </w:r>
          </w:p>
        </w:tc>
        <w:tc>
          <w:tcPr>
            <w:tcW w:w="675" w:type="dxa"/>
            <w:shd w:val="clear" w:color="auto" w:fill="auto"/>
            <w:vAlign w:val="center"/>
          </w:tcPr>
          <w:p w14:paraId="6570DA6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w:t>
            </w:r>
          </w:p>
        </w:tc>
        <w:tc>
          <w:tcPr>
            <w:tcW w:w="951" w:type="dxa"/>
            <w:shd w:val="clear" w:color="auto" w:fill="auto"/>
            <w:vAlign w:val="center"/>
          </w:tcPr>
          <w:p w14:paraId="046F13C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2763BC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三、国防支出</w:t>
            </w:r>
          </w:p>
        </w:tc>
        <w:tc>
          <w:tcPr>
            <w:tcW w:w="705" w:type="dxa"/>
            <w:shd w:val="clear" w:color="auto" w:fill="auto"/>
            <w:vAlign w:val="center"/>
          </w:tcPr>
          <w:p w14:paraId="3A9AA6D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34</w:t>
            </w:r>
          </w:p>
        </w:tc>
        <w:tc>
          <w:tcPr>
            <w:tcW w:w="930" w:type="dxa"/>
            <w:shd w:val="clear" w:color="auto" w:fill="auto"/>
            <w:vAlign w:val="center"/>
          </w:tcPr>
          <w:p w14:paraId="30DC232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1239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43762EC3">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四、上级补助收入</w:t>
            </w:r>
          </w:p>
        </w:tc>
        <w:tc>
          <w:tcPr>
            <w:tcW w:w="675" w:type="dxa"/>
            <w:shd w:val="clear" w:color="auto" w:fill="auto"/>
            <w:vAlign w:val="center"/>
          </w:tcPr>
          <w:p w14:paraId="3964D68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w:t>
            </w:r>
          </w:p>
        </w:tc>
        <w:tc>
          <w:tcPr>
            <w:tcW w:w="951" w:type="dxa"/>
            <w:shd w:val="clear" w:color="auto" w:fill="auto"/>
            <w:vAlign w:val="center"/>
          </w:tcPr>
          <w:p w14:paraId="64F3F05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4CF47F6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四、公共安全支出</w:t>
            </w:r>
          </w:p>
        </w:tc>
        <w:tc>
          <w:tcPr>
            <w:tcW w:w="705" w:type="dxa"/>
            <w:shd w:val="clear" w:color="auto" w:fill="auto"/>
            <w:vAlign w:val="center"/>
          </w:tcPr>
          <w:p w14:paraId="1C32227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35</w:t>
            </w:r>
          </w:p>
        </w:tc>
        <w:tc>
          <w:tcPr>
            <w:tcW w:w="930" w:type="dxa"/>
            <w:shd w:val="clear" w:color="auto" w:fill="auto"/>
            <w:vAlign w:val="center"/>
          </w:tcPr>
          <w:p w14:paraId="3BEF5C8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5F56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7B2E75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五、事业收入</w:t>
            </w:r>
          </w:p>
        </w:tc>
        <w:tc>
          <w:tcPr>
            <w:tcW w:w="675" w:type="dxa"/>
            <w:shd w:val="clear" w:color="auto" w:fill="auto"/>
            <w:vAlign w:val="center"/>
          </w:tcPr>
          <w:p w14:paraId="2BDDC4A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w:t>
            </w:r>
          </w:p>
        </w:tc>
        <w:tc>
          <w:tcPr>
            <w:tcW w:w="951" w:type="dxa"/>
            <w:shd w:val="clear" w:color="auto" w:fill="auto"/>
            <w:vAlign w:val="center"/>
          </w:tcPr>
          <w:p w14:paraId="604C51E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4760F9F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五、教育支出</w:t>
            </w:r>
          </w:p>
        </w:tc>
        <w:tc>
          <w:tcPr>
            <w:tcW w:w="705" w:type="dxa"/>
            <w:shd w:val="clear" w:color="auto" w:fill="auto"/>
            <w:vAlign w:val="center"/>
          </w:tcPr>
          <w:p w14:paraId="1227C78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36</w:t>
            </w:r>
          </w:p>
        </w:tc>
        <w:tc>
          <w:tcPr>
            <w:tcW w:w="930" w:type="dxa"/>
            <w:shd w:val="clear" w:color="auto" w:fill="auto"/>
            <w:vAlign w:val="center"/>
          </w:tcPr>
          <w:p w14:paraId="2B4F339A">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2018.37</w:t>
            </w:r>
          </w:p>
        </w:tc>
      </w:tr>
      <w:tr w14:paraId="3A95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726C95B9">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六、经营收入</w:t>
            </w:r>
          </w:p>
        </w:tc>
        <w:tc>
          <w:tcPr>
            <w:tcW w:w="675" w:type="dxa"/>
            <w:shd w:val="clear" w:color="auto" w:fill="auto"/>
            <w:vAlign w:val="center"/>
          </w:tcPr>
          <w:p w14:paraId="48AB0CA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6</w:t>
            </w:r>
          </w:p>
        </w:tc>
        <w:tc>
          <w:tcPr>
            <w:tcW w:w="951" w:type="dxa"/>
            <w:shd w:val="clear" w:color="auto" w:fill="auto"/>
            <w:vAlign w:val="center"/>
          </w:tcPr>
          <w:p w14:paraId="370C38F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390B8CD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六、科学技术支出</w:t>
            </w:r>
          </w:p>
        </w:tc>
        <w:tc>
          <w:tcPr>
            <w:tcW w:w="705" w:type="dxa"/>
            <w:shd w:val="clear" w:color="auto" w:fill="auto"/>
            <w:vAlign w:val="center"/>
          </w:tcPr>
          <w:p w14:paraId="13C03F2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37</w:t>
            </w:r>
          </w:p>
        </w:tc>
        <w:tc>
          <w:tcPr>
            <w:tcW w:w="930" w:type="dxa"/>
            <w:shd w:val="clear" w:color="auto" w:fill="auto"/>
            <w:vAlign w:val="center"/>
          </w:tcPr>
          <w:p w14:paraId="2FB7219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5994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3669609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七、附属单位上缴收入</w:t>
            </w:r>
          </w:p>
        </w:tc>
        <w:tc>
          <w:tcPr>
            <w:tcW w:w="675" w:type="dxa"/>
            <w:shd w:val="clear" w:color="auto" w:fill="auto"/>
            <w:vAlign w:val="center"/>
          </w:tcPr>
          <w:p w14:paraId="455384B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7</w:t>
            </w:r>
          </w:p>
        </w:tc>
        <w:tc>
          <w:tcPr>
            <w:tcW w:w="951" w:type="dxa"/>
            <w:shd w:val="clear" w:color="auto" w:fill="auto"/>
            <w:vAlign w:val="center"/>
          </w:tcPr>
          <w:p w14:paraId="62A698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4E0E217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七、文化旅游体育与传媒支出</w:t>
            </w:r>
          </w:p>
        </w:tc>
        <w:tc>
          <w:tcPr>
            <w:tcW w:w="705" w:type="dxa"/>
            <w:shd w:val="clear" w:color="auto" w:fill="auto"/>
            <w:vAlign w:val="center"/>
          </w:tcPr>
          <w:p w14:paraId="3E60E7B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38</w:t>
            </w:r>
          </w:p>
        </w:tc>
        <w:tc>
          <w:tcPr>
            <w:tcW w:w="930" w:type="dxa"/>
            <w:shd w:val="clear" w:color="auto" w:fill="auto"/>
            <w:vAlign w:val="center"/>
          </w:tcPr>
          <w:p w14:paraId="51FBAAB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2A3D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422E189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八、其他收入</w:t>
            </w:r>
          </w:p>
        </w:tc>
        <w:tc>
          <w:tcPr>
            <w:tcW w:w="675" w:type="dxa"/>
            <w:shd w:val="clear" w:color="auto" w:fill="auto"/>
            <w:vAlign w:val="center"/>
          </w:tcPr>
          <w:p w14:paraId="7DD7076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8</w:t>
            </w:r>
          </w:p>
        </w:tc>
        <w:tc>
          <w:tcPr>
            <w:tcW w:w="951" w:type="dxa"/>
            <w:shd w:val="clear" w:color="auto" w:fill="auto"/>
            <w:vAlign w:val="center"/>
          </w:tcPr>
          <w:p w14:paraId="6C7033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146.97</w:t>
            </w:r>
          </w:p>
        </w:tc>
        <w:tc>
          <w:tcPr>
            <w:tcW w:w="3519" w:type="dxa"/>
            <w:shd w:val="clear" w:color="auto" w:fill="auto"/>
            <w:vAlign w:val="center"/>
          </w:tcPr>
          <w:p w14:paraId="7CAD3B5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八、社会保障和就业支出</w:t>
            </w:r>
          </w:p>
        </w:tc>
        <w:tc>
          <w:tcPr>
            <w:tcW w:w="705" w:type="dxa"/>
            <w:shd w:val="clear" w:color="auto" w:fill="auto"/>
            <w:vAlign w:val="center"/>
          </w:tcPr>
          <w:p w14:paraId="0E0F32A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39</w:t>
            </w:r>
          </w:p>
        </w:tc>
        <w:tc>
          <w:tcPr>
            <w:tcW w:w="930" w:type="dxa"/>
            <w:shd w:val="clear" w:color="auto" w:fill="auto"/>
            <w:vAlign w:val="center"/>
          </w:tcPr>
          <w:p w14:paraId="67EF5C1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143.57</w:t>
            </w:r>
          </w:p>
        </w:tc>
      </w:tr>
      <w:tr w14:paraId="35FA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9" w:type="dxa"/>
            <w:shd w:val="clear" w:color="auto" w:fill="auto"/>
            <w:vAlign w:val="center"/>
          </w:tcPr>
          <w:p w14:paraId="776FAF5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5DE69F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9</w:t>
            </w:r>
          </w:p>
        </w:tc>
        <w:tc>
          <w:tcPr>
            <w:tcW w:w="951" w:type="dxa"/>
            <w:shd w:val="clear" w:color="auto" w:fill="auto"/>
            <w:vAlign w:val="center"/>
          </w:tcPr>
          <w:p w14:paraId="109C5EE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16B75EE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九、卫生健康支出</w:t>
            </w:r>
          </w:p>
        </w:tc>
        <w:tc>
          <w:tcPr>
            <w:tcW w:w="705" w:type="dxa"/>
            <w:shd w:val="clear" w:color="auto" w:fill="auto"/>
            <w:vAlign w:val="center"/>
          </w:tcPr>
          <w:p w14:paraId="5901E0A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40</w:t>
            </w:r>
          </w:p>
        </w:tc>
        <w:tc>
          <w:tcPr>
            <w:tcW w:w="930" w:type="dxa"/>
            <w:shd w:val="clear" w:color="auto" w:fill="auto"/>
            <w:vAlign w:val="center"/>
          </w:tcPr>
          <w:p w14:paraId="62AE0D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7D6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4739CF2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7D079B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10</w:t>
            </w:r>
          </w:p>
        </w:tc>
        <w:tc>
          <w:tcPr>
            <w:tcW w:w="951" w:type="dxa"/>
            <w:shd w:val="clear" w:color="auto" w:fill="auto"/>
            <w:vAlign w:val="center"/>
          </w:tcPr>
          <w:p w14:paraId="3146B1F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0400E5E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十、节能环保支出</w:t>
            </w:r>
          </w:p>
        </w:tc>
        <w:tc>
          <w:tcPr>
            <w:tcW w:w="705" w:type="dxa"/>
            <w:shd w:val="clear" w:color="auto" w:fill="auto"/>
            <w:vAlign w:val="center"/>
          </w:tcPr>
          <w:p w14:paraId="1397786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41</w:t>
            </w:r>
          </w:p>
        </w:tc>
        <w:tc>
          <w:tcPr>
            <w:tcW w:w="930" w:type="dxa"/>
            <w:shd w:val="clear" w:color="auto" w:fill="auto"/>
            <w:vAlign w:val="center"/>
          </w:tcPr>
          <w:p w14:paraId="6B2790E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6C71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17AB4FC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76D88D3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11</w:t>
            </w:r>
          </w:p>
        </w:tc>
        <w:tc>
          <w:tcPr>
            <w:tcW w:w="951" w:type="dxa"/>
            <w:shd w:val="clear" w:color="auto" w:fill="auto"/>
            <w:vAlign w:val="center"/>
          </w:tcPr>
          <w:p w14:paraId="5EBA1EDF">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026576E2">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十一、城乡社区支出</w:t>
            </w:r>
          </w:p>
        </w:tc>
        <w:tc>
          <w:tcPr>
            <w:tcW w:w="705" w:type="dxa"/>
            <w:shd w:val="clear" w:color="auto" w:fill="auto"/>
            <w:vAlign w:val="center"/>
          </w:tcPr>
          <w:p w14:paraId="5A6215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42</w:t>
            </w:r>
          </w:p>
        </w:tc>
        <w:tc>
          <w:tcPr>
            <w:tcW w:w="930" w:type="dxa"/>
            <w:shd w:val="clear" w:color="auto" w:fill="auto"/>
            <w:vAlign w:val="center"/>
          </w:tcPr>
          <w:p w14:paraId="63C649F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474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2A9AE73B">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3208F91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12</w:t>
            </w:r>
          </w:p>
        </w:tc>
        <w:tc>
          <w:tcPr>
            <w:tcW w:w="951" w:type="dxa"/>
            <w:shd w:val="clear" w:color="auto" w:fill="auto"/>
            <w:vAlign w:val="center"/>
          </w:tcPr>
          <w:p w14:paraId="5B2FCD2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4A14318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十二、农林水支出</w:t>
            </w:r>
          </w:p>
        </w:tc>
        <w:tc>
          <w:tcPr>
            <w:tcW w:w="705" w:type="dxa"/>
            <w:shd w:val="clear" w:color="auto" w:fill="auto"/>
            <w:vAlign w:val="center"/>
          </w:tcPr>
          <w:p w14:paraId="6C0BC42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43</w:t>
            </w:r>
          </w:p>
        </w:tc>
        <w:tc>
          <w:tcPr>
            <w:tcW w:w="930" w:type="dxa"/>
            <w:shd w:val="clear" w:color="auto" w:fill="auto"/>
            <w:vAlign w:val="center"/>
          </w:tcPr>
          <w:p w14:paraId="3180E94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2756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33544BF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1075538B">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13</w:t>
            </w:r>
          </w:p>
        </w:tc>
        <w:tc>
          <w:tcPr>
            <w:tcW w:w="951" w:type="dxa"/>
            <w:shd w:val="clear" w:color="auto" w:fill="auto"/>
            <w:vAlign w:val="center"/>
          </w:tcPr>
          <w:p w14:paraId="49363E9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5BD2508B">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十三、交通运输支出</w:t>
            </w:r>
          </w:p>
        </w:tc>
        <w:tc>
          <w:tcPr>
            <w:tcW w:w="705" w:type="dxa"/>
            <w:shd w:val="clear" w:color="auto" w:fill="auto"/>
            <w:vAlign w:val="center"/>
          </w:tcPr>
          <w:p w14:paraId="14724BD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44</w:t>
            </w:r>
          </w:p>
        </w:tc>
        <w:tc>
          <w:tcPr>
            <w:tcW w:w="930" w:type="dxa"/>
            <w:shd w:val="clear" w:color="auto" w:fill="auto"/>
            <w:vAlign w:val="center"/>
          </w:tcPr>
          <w:p w14:paraId="24B61F8D">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4DD4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2A352CE9">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01CE597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14</w:t>
            </w:r>
          </w:p>
        </w:tc>
        <w:tc>
          <w:tcPr>
            <w:tcW w:w="951" w:type="dxa"/>
            <w:shd w:val="clear" w:color="auto" w:fill="auto"/>
            <w:vAlign w:val="center"/>
          </w:tcPr>
          <w:p w14:paraId="6DCAA99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05ACAF5C">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十四、资源勘探工业信息等支出</w:t>
            </w:r>
          </w:p>
        </w:tc>
        <w:tc>
          <w:tcPr>
            <w:tcW w:w="705" w:type="dxa"/>
            <w:shd w:val="clear" w:color="auto" w:fill="auto"/>
            <w:vAlign w:val="center"/>
          </w:tcPr>
          <w:p w14:paraId="4044BB43">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45</w:t>
            </w:r>
          </w:p>
        </w:tc>
        <w:tc>
          <w:tcPr>
            <w:tcW w:w="930" w:type="dxa"/>
            <w:shd w:val="clear" w:color="auto" w:fill="auto"/>
            <w:vAlign w:val="center"/>
          </w:tcPr>
          <w:p w14:paraId="0A4EB98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0E0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9" w:type="dxa"/>
            <w:shd w:val="clear" w:color="auto" w:fill="auto"/>
            <w:vAlign w:val="center"/>
          </w:tcPr>
          <w:p w14:paraId="28DAF52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7EFB9AF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15</w:t>
            </w:r>
          </w:p>
        </w:tc>
        <w:tc>
          <w:tcPr>
            <w:tcW w:w="951" w:type="dxa"/>
            <w:shd w:val="clear" w:color="auto" w:fill="auto"/>
            <w:vAlign w:val="center"/>
          </w:tcPr>
          <w:p w14:paraId="57E66C5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3862ACEF">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十五、商业服务业等支出</w:t>
            </w:r>
          </w:p>
        </w:tc>
        <w:tc>
          <w:tcPr>
            <w:tcW w:w="705" w:type="dxa"/>
            <w:shd w:val="clear" w:color="auto" w:fill="auto"/>
            <w:vAlign w:val="center"/>
          </w:tcPr>
          <w:p w14:paraId="633DA12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46</w:t>
            </w:r>
          </w:p>
        </w:tc>
        <w:tc>
          <w:tcPr>
            <w:tcW w:w="930" w:type="dxa"/>
            <w:shd w:val="clear" w:color="auto" w:fill="auto"/>
            <w:vAlign w:val="center"/>
          </w:tcPr>
          <w:p w14:paraId="098AC37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702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294E092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5866A69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16</w:t>
            </w:r>
          </w:p>
        </w:tc>
        <w:tc>
          <w:tcPr>
            <w:tcW w:w="951" w:type="dxa"/>
            <w:shd w:val="clear" w:color="auto" w:fill="auto"/>
            <w:vAlign w:val="center"/>
          </w:tcPr>
          <w:p w14:paraId="29B033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6EB17557">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十六、金融支出</w:t>
            </w:r>
          </w:p>
        </w:tc>
        <w:tc>
          <w:tcPr>
            <w:tcW w:w="705" w:type="dxa"/>
            <w:shd w:val="clear" w:color="auto" w:fill="auto"/>
            <w:vAlign w:val="center"/>
          </w:tcPr>
          <w:p w14:paraId="0E60509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47</w:t>
            </w:r>
          </w:p>
        </w:tc>
        <w:tc>
          <w:tcPr>
            <w:tcW w:w="930" w:type="dxa"/>
            <w:shd w:val="clear" w:color="auto" w:fill="auto"/>
            <w:vAlign w:val="center"/>
          </w:tcPr>
          <w:p w14:paraId="7768F55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1E72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0AE1FAD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38A7ED5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17</w:t>
            </w:r>
          </w:p>
        </w:tc>
        <w:tc>
          <w:tcPr>
            <w:tcW w:w="951" w:type="dxa"/>
            <w:shd w:val="clear" w:color="auto" w:fill="auto"/>
            <w:vAlign w:val="center"/>
          </w:tcPr>
          <w:p w14:paraId="591BEF2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4942821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十七、援助其他地区支出</w:t>
            </w:r>
          </w:p>
        </w:tc>
        <w:tc>
          <w:tcPr>
            <w:tcW w:w="705" w:type="dxa"/>
            <w:shd w:val="clear" w:color="auto" w:fill="auto"/>
            <w:vAlign w:val="center"/>
          </w:tcPr>
          <w:p w14:paraId="41852BC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48</w:t>
            </w:r>
          </w:p>
        </w:tc>
        <w:tc>
          <w:tcPr>
            <w:tcW w:w="930" w:type="dxa"/>
            <w:shd w:val="clear" w:color="auto" w:fill="auto"/>
            <w:vAlign w:val="center"/>
          </w:tcPr>
          <w:p w14:paraId="42DFAAE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5AE8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09E722D8">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6D11726F">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18</w:t>
            </w:r>
          </w:p>
        </w:tc>
        <w:tc>
          <w:tcPr>
            <w:tcW w:w="951" w:type="dxa"/>
            <w:shd w:val="clear" w:color="auto" w:fill="auto"/>
            <w:vAlign w:val="center"/>
          </w:tcPr>
          <w:p w14:paraId="72D206A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27EEA6F6">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十八、自然资源海洋气象等支出</w:t>
            </w:r>
          </w:p>
        </w:tc>
        <w:tc>
          <w:tcPr>
            <w:tcW w:w="705" w:type="dxa"/>
            <w:shd w:val="clear" w:color="auto" w:fill="auto"/>
            <w:vAlign w:val="center"/>
          </w:tcPr>
          <w:p w14:paraId="761BB68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49</w:t>
            </w:r>
          </w:p>
        </w:tc>
        <w:tc>
          <w:tcPr>
            <w:tcW w:w="930" w:type="dxa"/>
            <w:shd w:val="clear" w:color="auto" w:fill="auto"/>
            <w:vAlign w:val="center"/>
          </w:tcPr>
          <w:p w14:paraId="10A459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522E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18BA6C8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548F731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19</w:t>
            </w:r>
          </w:p>
        </w:tc>
        <w:tc>
          <w:tcPr>
            <w:tcW w:w="951" w:type="dxa"/>
            <w:shd w:val="clear" w:color="auto" w:fill="auto"/>
            <w:vAlign w:val="center"/>
          </w:tcPr>
          <w:p w14:paraId="74D2B74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2B845A6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十九、住房保障支出</w:t>
            </w:r>
          </w:p>
        </w:tc>
        <w:tc>
          <w:tcPr>
            <w:tcW w:w="705" w:type="dxa"/>
            <w:shd w:val="clear" w:color="auto" w:fill="auto"/>
            <w:vAlign w:val="center"/>
          </w:tcPr>
          <w:p w14:paraId="6EA1BB6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50</w:t>
            </w:r>
          </w:p>
        </w:tc>
        <w:tc>
          <w:tcPr>
            <w:tcW w:w="930" w:type="dxa"/>
            <w:shd w:val="clear" w:color="auto" w:fill="auto"/>
            <w:vAlign w:val="center"/>
          </w:tcPr>
          <w:p w14:paraId="5ED217B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2158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038002AA">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38A1C8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20</w:t>
            </w:r>
          </w:p>
        </w:tc>
        <w:tc>
          <w:tcPr>
            <w:tcW w:w="951" w:type="dxa"/>
            <w:shd w:val="clear" w:color="auto" w:fill="auto"/>
            <w:vAlign w:val="center"/>
          </w:tcPr>
          <w:p w14:paraId="29B6CBC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5A6BD87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二十、粮油物资储备支出</w:t>
            </w:r>
          </w:p>
        </w:tc>
        <w:tc>
          <w:tcPr>
            <w:tcW w:w="705" w:type="dxa"/>
            <w:shd w:val="clear" w:color="auto" w:fill="auto"/>
            <w:vAlign w:val="center"/>
          </w:tcPr>
          <w:p w14:paraId="6BDD9F0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51</w:t>
            </w:r>
          </w:p>
        </w:tc>
        <w:tc>
          <w:tcPr>
            <w:tcW w:w="930" w:type="dxa"/>
            <w:shd w:val="clear" w:color="auto" w:fill="auto"/>
            <w:vAlign w:val="center"/>
          </w:tcPr>
          <w:p w14:paraId="5CD1EE5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2A58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5FA0CD9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3C8CD0E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21</w:t>
            </w:r>
          </w:p>
        </w:tc>
        <w:tc>
          <w:tcPr>
            <w:tcW w:w="951" w:type="dxa"/>
            <w:shd w:val="clear" w:color="auto" w:fill="auto"/>
            <w:vAlign w:val="center"/>
          </w:tcPr>
          <w:p w14:paraId="6AF0A3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2038529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二十一、国有资本经营预算支出</w:t>
            </w:r>
          </w:p>
        </w:tc>
        <w:tc>
          <w:tcPr>
            <w:tcW w:w="705" w:type="dxa"/>
            <w:shd w:val="clear" w:color="auto" w:fill="auto"/>
            <w:vAlign w:val="center"/>
          </w:tcPr>
          <w:p w14:paraId="6DA0A470">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52</w:t>
            </w:r>
          </w:p>
        </w:tc>
        <w:tc>
          <w:tcPr>
            <w:tcW w:w="930" w:type="dxa"/>
            <w:shd w:val="clear" w:color="auto" w:fill="auto"/>
            <w:vAlign w:val="center"/>
          </w:tcPr>
          <w:p w14:paraId="18593D0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6E3C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429B837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2139BBC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22</w:t>
            </w:r>
          </w:p>
        </w:tc>
        <w:tc>
          <w:tcPr>
            <w:tcW w:w="951" w:type="dxa"/>
            <w:shd w:val="clear" w:color="auto" w:fill="auto"/>
            <w:vAlign w:val="center"/>
          </w:tcPr>
          <w:p w14:paraId="4D50F33C">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575B10C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二十二、灾害防治及应急管理支出</w:t>
            </w:r>
          </w:p>
        </w:tc>
        <w:tc>
          <w:tcPr>
            <w:tcW w:w="705" w:type="dxa"/>
            <w:shd w:val="clear" w:color="auto" w:fill="auto"/>
            <w:vAlign w:val="center"/>
          </w:tcPr>
          <w:p w14:paraId="72775B2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53</w:t>
            </w:r>
          </w:p>
        </w:tc>
        <w:tc>
          <w:tcPr>
            <w:tcW w:w="930" w:type="dxa"/>
            <w:shd w:val="clear" w:color="auto" w:fill="auto"/>
            <w:vAlign w:val="center"/>
          </w:tcPr>
          <w:p w14:paraId="717740D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E13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6C8B7483">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3247F771">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23</w:t>
            </w:r>
          </w:p>
        </w:tc>
        <w:tc>
          <w:tcPr>
            <w:tcW w:w="951" w:type="dxa"/>
            <w:shd w:val="clear" w:color="auto" w:fill="auto"/>
            <w:vAlign w:val="center"/>
          </w:tcPr>
          <w:p w14:paraId="53B0B8C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55266D7E">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二十三、其他支出</w:t>
            </w:r>
          </w:p>
        </w:tc>
        <w:tc>
          <w:tcPr>
            <w:tcW w:w="705" w:type="dxa"/>
            <w:shd w:val="clear" w:color="auto" w:fill="auto"/>
            <w:vAlign w:val="center"/>
          </w:tcPr>
          <w:p w14:paraId="111C2ABD">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54</w:t>
            </w:r>
          </w:p>
        </w:tc>
        <w:tc>
          <w:tcPr>
            <w:tcW w:w="930" w:type="dxa"/>
            <w:shd w:val="clear" w:color="auto" w:fill="auto"/>
            <w:vAlign w:val="center"/>
          </w:tcPr>
          <w:p w14:paraId="673D68A1">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56F2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4CA8B1D9">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color="auto"/>
              </w:rPr>
            </w:pPr>
          </w:p>
        </w:tc>
        <w:tc>
          <w:tcPr>
            <w:tcW w:w="675" w:type="dxa"/>
            <w:shd w:val="clear" w:color="auto" w:fill="auto"/>
            <w:vAlign w:val="center"/>
          </w:tcPr>
          <w:p w14:paraId="6EC226F4">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24</w:t>
            </w:r>
          </w:p>
        </w:tc>
        <w:tc>
          <w:tcPr>
            <w:tcW w:w="951" w:type="dxa"/>
            <w:shd w:val="clear" w:color="auto" w:fill="auto"/>
            <w:vAlign w:val="center"/>
          </w:tcPr>
          <w:p w14:paraId="02D7F1FB">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624A2BCD">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二十四、债务还本支出</w:t>
            </w:r>
          </w:p>
        </w:tc>
        <w:tc>
          <w:tcPr>
            <w:tcW w:w="705" w:type="dxa"/>
            <w:shd w:val="clear" w:color="auto" w:fill="auto"/>
            <w:vAlign w:val="center"/>
          </w:tcPr>
          <w:p w14:paraId="3322FAF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55</w:t>
            </w:r>
          </w:p>
        </w:tc>
        <w:tc>
          <w:tcPr>
            <w:tcW w:w="930" w:type="dxa"/>
            <w:shd w:val="clear" w:color="auto" w:fill="auto"/>
            <w:vAlign w:val="center"/>
          </w:tcPr>
          <w:p w14:paraId="519A29C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5617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5ED42A4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4BD2248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25</w:t>
            </w:r>
          </w:p>
        </w:tc>
        <w:tc>
          <w:tcPr>
            <w:tcW w:w="951" w:type="dxa"/>
            <w:shd w:val="clear" w:color="auto" w:fill="auto"/>
            <w:vAlign w:val="center"/>
          </w:tcPr>
          <w:p w14:paraId="3126C0B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433C9F2A">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二十五、债务付息支出</w:t>
            </w:r>
          </w:p>
        </w:tc>
        <w:tc>
          <w:tcPr>
            <w:tcW w:w="705" w:type="dxa"/>
            <w:shd w:val="clear" w:color="auto" w:fill="auto"/>
            <w:vAlign w:val="center"/>
          </w:tcPr>
          <w:p w14:paraId="79E198A7">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56</w:t>
            </w:r>
          </w:p>
        </w:tc>
        <w:tc>
          <w:tcPr>
            <w:tcW w:w="930" w:type="dxa"/>
            <w:shd w:val="clear" w:color="auto" w:fill="auto"/>
            <w:vAlign w:val="center"/>
          </w:tcPr>
          <w:p w14:paraId="4FC64B2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4E6B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0BD78045">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51359C1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26</w:t>
            </w:r>
          </w:p>
        </w:tc>
        <w:tc>
          <w:tcPr>
            <w:tcW w:w="951" w:type="dxa"/>
            <w:shd w:val="clear" w:color="auto" w:fill="auto"/>
            <w:vAlign w:val="center"/>
          </w:tcPr>
          <w:p w14:paraId="56AB8016">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783AF82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二十六、抗疫特别国债安排的支出</w:t>
            </w:r>
          </w:p>
        </w:tc>
        <w:tc>
          <w:tcPr>
            <w:tcW w:w="705" w:type="dxa"/>
            <w:shd w:val="clear" w:color="auto" w:fill="auto"/>
            <w:vAlign w:val="center"/>
          </w:tcPr>
          <w:p w14:paraId="00AAA075">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57</w:t>
            </w:r>
          </w:p>
        </w:tc>
        <w:tc>
          <w:tcPr>
            <w:tcW w:w="930" w:type="dxa"/>
            <w:shd w:val="clear" w:color="auto" w:fill="auto"/>
            <w:vAlign w:val="center"/>
          </w:tcPr>
          <w:p w14:paraId="5A97C198">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06E7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59" w:type="dxa"/>
            <w:shd w:val="clear" w:color="auto" w:fill="auto"/>
            <w:vAlign w:val="center"/>
          </w:tcPr>
          <w:p w14:paraId="0B829B4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snapToGrid w:val="0"/>
                <w:color w:val="000000"/>
                <w:kern w:val="0"/>
                <w:sz w:val="21"/>
                <w:szCs w:val="21"/>
                <w:u w:val="none" w:color="auto"/>
                <w:lang w:val="en-US" w:eastAsia="zh-CN" w:bidi="ar"/>
              </w:rPr>
              <w:t>本年收入合计</w:t>
            </w:r>
          </w:p>
        </w:tc>
        <w:tc>
          <w:tcPr>
            <w:tcW w:w="675" w:type="dxa"/>
            <w:shd w:val="clear" w:color="auto" w:fill="auto"/>
            <w:vAlign w:val="center"/>
          </w:tcPr>
          <w:p w14:paraId="315BD8DA">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27</w:t>
            </w:r>
          </w:p>
        </w:tc>
        <w:tc>
          <w:tcPr>
            <w:tcW w:w="951" w:type="dxa"/>
            <w:shd w:val="clear" w:color="auto" w:fill="auto"/>
            <w:vAlign w:val="center"/>
          </w:tcPr>
          <w:p w14:paraId="5297CE79">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2161.22</w:t>
            </w:r>
          </w:p>
        </w:tc>
        <w:tc>
          <w:tcPr>
            <w:tcW w:w="3519" w:type="dxa"/>
            <w:shd w:val="clear" w:color="auto" w:fill="auto"/>
            <w:vAlign w:val="center"/>
          </w:tcPr>
          <w:p w14:paraId="7D195016">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snapToGrid w:val="0"/>
                <w:color w:val="000000"/>
                <w:kern w:val="0"/>
                <w:sz w:val="21"/>
                <w:szCs w:val="21"/>
                <w:u w:val="none" w:color="auto"/>
                <w:lang w:val="en-US" w:eastAsia="zh-CN" w:bidi="ar"/>
              </w:rPr>
              <w:t>本年支出合计</w:t>
            </w:r>
          </w:p>
        </w:tc>
        <w:tc>
          <w:tcPr>
            <w:tcW w:w="705" w:type="dxa"/>
            <w:shd w:val="clear" w:color="auto" w:fill="auto"/>
            <w:vAlign w:val="center"/>
          </w:tcPr>
          <w:p w14:paraId="693FC71E">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58</w:t>
            </w:r>
          </w:p>
        </w:tc>
        <w:tc>
          <w:tcPr>
            <w:tcW w:w="930" w:type="dxa"/>
            <w:shd w:val="clear" w:color="auto" w:fill="auto"/>
            <w:vAlign w:val="center"/>
          </w:tcPr>
          <w:p w14:paraId="1883D43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2161.94</w:t>
            </w:r>
          </w:p>
        </w:tc>
      </w:tr>
      <w:tr w14:paraId="65E2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63DA04B1">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使用非财政拨款结余</w:t>
            </w:r>
          </w:p>
        </w:tc>
        <w:tc>
          <w:tcPr>
            <w:tcW w:w="675" w:type="dxa"/>
            <w:shd w:val="clear" w:color="auto" w:fill="auto"/>
            <w:vAlign w:val="center"/>
          </w:tcPr>
          <w:p w14:paraId="17F44DF8">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28</w:t>
            </w:r>
          </w:p>
        </w:tc>
        <w:tc>
          <w:tcPr>
            <w:tcW w:w="951" w:type="dxa"/>
            <w:shd w:val="clear" w:color="auto" w:fill="auto"/>
            <w:vAlign w:val="center"/>
          </w:tcPr>
          <w:p w14:paraId="7D0850A2">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356EEDF8">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结余分配</w:t>
            </w:r>
          </w:p>
        </w:tc>
        <w:tc>
          <w:tcPr>
            <w:tcW w:w="705" w:type="dxa"/>
            <w:shd w:val="clear" w:color="auto" w:fill="auto"/>
            <w:vAlign w:val="center"/>
          </w:tcPr>
          <w:p w14:paraId="5933CCE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59</w:t>
            </w:r>
          </w:p>
        </w:tc>
        <w:tc>
          <w:tcPr>
            <w:tcW w:w="930" w:type="dxa"/>
            <w:shd w:val="clear" w:color="auto" w:fill="auto"/>
            <w:vAlign w:val="center"/>
          </w:tcPr>
          <w:p w14:paraId="08D70BD3">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79A9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3109F590">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年初结转和结余</w:t>
            </w:r>
          </w:p>
        </w:tc>
        <w:tc>
          <w:tcPr>
            <w:tcW w:w="675" w:type="dxa"/>
            <w:shd w:val="clear" w:color="auto" w:fill="auto"/>
            <w:vAlign w:val="center"/>
          </w:tcPr>
          <w:p w14:paraId="6428663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29</w:t>
            </w:r>
          </w:p>
        </w:tc>
        <w:tc>
          <w:tcPr>
            <w:tcW w:w="951" w:type="dxa"/>
            <w:shd w:val="clear" w:color="auto" w:fill="auto"/>
            <w:vAlign w:val="center"/>
          </w:tcPr>
          <w:p w14:paraId="0C86C364">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0.72</w:t>
            </w:r>
          </w:p>
        </w:tc>
        <w:tc>
          <w:tcPr>
            <w:tcW w:w="3519" w:type="dxa"/>
            <w:shd w:val="clear" w:color="auto" w:fill="auto"/>
            <w:vAlign w:val="center"/>
          </w:tcPr>
          <w:p w14:paraId="628B2824">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年末结转和结余</w:t>
            </w:r>
          </w:p>
        </w:tc>
        <w:tc>
          <w:tcPr>
            <w:tcW w:w="705" w:type="dxa"/>
            <w:shd w:val="clear" w:color="auto" w:fill="auto"/>
            <w:vAlign w:val="center"/>
          </w:tcPr>
          <w:p w14:paraId="6987729C">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60</w:t>
            </w:r>
          </w:p>
        </w:tc>
        <w:tc>
          <w:tcPr>
            <w:tcW w:w="930" w:type="dxa"/>
            <w:shd w:val="clear" w:color="auto" w:fill="auto"/>
            <w:vAlign w:val="center"/>
          </w:tcPr>
          <w:p w14:paraId="3F30D14E">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r>
      <w:tr w14:paraId="3390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59" w:type="dxa"/>
            <w:shd w:val="clear" w:color="auto" w:fill="auto"/>
            <w:vAlign w:val="center"/>
          </w:tcPr>
          <w:p w14:paraId="6C3DACBD">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675" w:type="dxa"/>
            <w:shd w:val="clear" w:color="auto" w:fill="auto"/>
            <w:vAlign w:val="center"/>
          </w:tcPr>
          <w:p w14:paraId="45A4B25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30</w:t>
            </w:r>
          </w:p>
        </w:tc>
        <w:tc>
          <w:tcPr>
            <w:tcW w:w="951" w:type="dxa"/>
            <w:shd w:val="clear" w:color="auto" w:fill="auto"/>
            <w:vAlign w:val="center"/>
          </w:tcPr>
          <w:p w14:paraId="53F31407">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p>
        </w:tc>
        <w:tc>
          <w:tcPr>
            <w:tcW w:w="3519" w:type="dxa"/>
            <w:shd w:val="clear" w:color="auto" w:fill="auto"/>
            <w:vAlign w:val="center"/>
          </w:tcPr>
          <w:p w14:paraId="760EC6A6">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c>
          <w:tcPr>
            <w:tcW w:w="705" w:type="dxa"/>
            <w:shd w:val="clear" w:color="auto" w:fill="auto"/>
            <w:vAlign w:val="center"/>
          </w:tcPr>
          <w:p w14:paraId="61CBA09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61</w:t>
            </w:r>
          </w:p>
        </w:tc>
        <w:tc>
          <w:tcPr>
            <w:tcW w:w="930" w:type="dxa"/>
            <w:shd w:val="clear" w:color="auto" w:fill="auto"/>
            <w:vAlign w:val="center"/>
          </w:tcPr>
          <w:p w14:paraId="6E472DFC">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color="auto"/>
              </w:rPr>
            </w:pPr>
          </w:p>
        </w:tc>
      </w:tr>
      <w:tr w14:paraId="7423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59" w:type="dxa"/>
            <w:shd w:val="clear" w:color="auto" w:fill="auto"/>
            <w:vAlign w:val="center"/>
          </w:tcPr>
          <w:p w14:paraId="2C2E846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snapToGrid w:val="0"/>
                <w:color w:val="000000"/>
                <w:kern w:val="0"/>
                <w:sz w:val="21"/>
                <w:szCs w:val="21"/>
                <w:u w:val="none" w:color="auto"/>
                <w:lang w:val="en-US" w:eastAsia="zh-CN" w:bidi="ar"/>
              </w:rPr>
              <w:t>总计</w:t>
            </w:r>
          </w:p>
        </w:tc>
        <w:tc>
          <w:tcPr>
            <w:tcW w:w="675" w:type="dxa"/>
            <w:shd w:val="clear" w:color="auto" w:fill="auto"/>
            <w:vAlign w:val="center"/>
          </w:tcPr>
          <w:p w14:paraId="5EB53D19">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31</w:t>
            </w:r>
          </w:p>
        </w:tc>
        <w:tc>
          <w:tcPr>
            <w:tcW w:w="951" w:type="dxa"/>
            <w:shd w:val="clear" w:color="auto" w:fill="auto"/>
            <w:vAlign w:val="center"/>
          </w:tcPr>
          <w:p w14:paraId="1E0CDAF5">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2161.94</w:t>
            </w:r>
          </w:p>
        </w:tc>
        <w:tc>
          <w:tcPr>
            <w:tcW w:w="3519" w:type="dxa"/>
            <w:shd w:val="clear" w:color="auto" w:fill="auto"/>
            <w:vAlign w:val="center"/>
          </w:tcPr>
          <w:p w14:paraId="405667A0">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color="auto"/>
              </w:rPr>
            </w:pPr>
            <w:r>
              <w:rPr>
                <w:rFonts w:hint="default" w:ascii="Times New Roman" w:hAnsi="Times New Roman" w:eastAsia="宋体" w:cs="Times New Roman"/>
                <w:b/>
                <w:bCs/>
                <w:i w:val="0"/>
                <w:iCs w:val="0"/>
                <w:snapToGrid w:val="0"/>
                <w:color w:val="000000"/>
                <w:kern w:val="0"/>
                <w:sz w:val="21"/>
                <w:szCs w:val="21"/>
                <w:u w:val="none" w:color="auto"/>
                <w:lang w:val="en-US" w:eastAsia="zh-CN" w:bidi="ar"/>
              </w:rPr>
              <w:t>总计</w:t>
            </w:r>
          </w:p>
        </w:tc>
        <w:tc>
          <w:tcPr>
            <w:tcW w:w="705" w:type="dxa"/>
            <w:shd w:val="clear" w:color="auto" w:fill="auto"/>
            <w:vAlign w:val="center"/>
          </w:tcPr>
          <w:p w14:paraId="3B0D88B2">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62</w:t>
            </w:r>
          </w:p>
        </w:tc>
        <w:tc>
          <w:tcPr>
            <w:tcW w:w="930" w:type="dxa"/>
            <w:shd w:val="clear" w:color="auto" w:fill="auto"/>
            <w:vAlign w:val="center"/>
          </w:tcPr>
          <w:p w14:paraId="161E9770">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color w:val="000000"/>
                <w:sz w:val="21"/>
                <w:szCs w:val="21"/>
                <w:u w:val="none" w:color="auto"/>
              </w:rPr>
              <w:t>2161.94</w:t>
            </w:r>
          </w:p>
        </w:tc>
      </w:tr>
    </w:tbl>
    <w:p w14:paraId="43E675C2">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注：1.本表反映部门本年度的总收支和年末结转结余情况。     </w:t>
      </w:r>
    </w:p>
    <w:p w14:paraId="2AB435AF">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2.本套报表金额单位转换时可能存在尾数误差。   </w:t>
      </w:r>
    </w:p>
    <w:p w14:paraId="4FA2FDD9">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5F27E9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年度收入决算表</w:t>
      </w:r>
    </w:p>
    <w:p w14:paraId="6F07028A">
      <w:pPr>
        <w:pStyle w:val="2"/>
        <w:rPr>
          <w:rFonts w:hint="default"/>
          <w:u w:val="none" w:color="auto"/>
          <w:lang w:val="en-US" w:eastAsia="zh-CN"/>
        </w:rPr>
      </w:pPr>
    </w:p>
    <w:p w14:paraId="0338F040">
      <w:pPr>
        <w:rPr>
          <w:u w:val="none" w:color="auto"/>
        </w:rPr>
      </w:pPr>
      <w:r>
        <w:rPr>
          <w:u w:val="none" w:color="auto"/>
        </w:rPr>
        <w:drawing>
          <wp:inline distT="0" distB="0" distL="114300" distR="114300">
            <wp:extent cx="6287770" cy="1887855"/>
            <wp:effectExtent l="0" t="0" r="17780" b="171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6287770" cy="1887855"/>
                    </a:xfrm>
                    <a:prstGeom prst="rect">
                      <a:avLst/>
                    </a:prstGeom>
                    <a:noFill/>
                    <a:ln>
                      <a:noFill/>
                    </a:ln>
                  </pic:spPr>
                </pic:pic>
              </a:graphicData>
            </a:graphic>
          </wp:inline>
        </w:drawing>
      </w:r>
    </w:p>
    <w:p w14:paraId="026909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C3D64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871E2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w:t>
      </w:r>
      <w:r>
        <w:rPr>
          <w:rFonts w:hint="eastAsia" w:ascii="Times New Roman" w:hAnsi="Times New Roman" w:eastAsia="黑体" w:cs="Times New Roman"/>
          <w:spacing w:val="0"/>
          <w:w w:val="100"/>
          <w:position w:val="0"/>
          <w:sz w:val="32"/>
          <w:szCs w:val="32"/>
          <w:u w:val="none" w:color="auto"/>
          <w:lang w:val="en-US" w:eastAsia="zh-CN"/>
        </w:rPr>
        <w:t>支出</w:t>
      </w:r>
      <w:r>
        <w:rPr>
          <w:rFonts w:hint="default" w:ascii="Times New Roman" w:hAnsi="Times New Roman" w:eastAsia="黑体" w:cs="Times New Roman"/>
          <w:spacing w:val="0"/>
          <w:w w:val="100"/>
          <w:position w:val="0"/>
          <w:sz w:val="32"/>
          <w:szCs w:val="32"/>
          <w:u w:val="none" w:color="auto"/>
          <w:lang w:val="en-US" w:eastAsia="zh-CN"/>
        </w:rPr>
        <w:t>决算表</w:t>
      </w:r>
    </w:p>
    <w:p w14:paraId="7FBB5708">
      <w:pPr>
        <w:rPr>
          <w:u w:val="none" w:color="auto"/>
        </w:rPr>
      </w:pPr>
    </w:p>
    <w:p w14:paraId="5EB3128F">
      <w:pPr>
        <w:rPr>
          <w:u w:val="none" w:color="auto"/>
        </w:rPr>
      </w:pPr>
      <w:r>
        <w:rPr>
          <w:u w:val="none" w:color="auto"/>
        </w:rPr>
        <w:drawing>
          <wp:inline distT="0" distB="0" distL="114300" distR="114300">
            <wp:extent cx="6261100" cy="1471930"/>
            <wp:effectExtent l="0" t="0" r="6350" b="1397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6261100" cy="1471930"/>
                    </a:xfrm>
                    <a:prstGeom prst="rect">
                      <a:avLst/>
                    </a:prstGeom>
                    <a:noFill/>
                    <a:ln>
                      <a:noFill/>
                    </a:ln>
                  </pic:spPr>
                </pic:pic>
              </a:graphicData>
            </a:graphic>
          </wp:inline>
        </w:drawing>
      </w:r>
    </w:p>
    <w:p w14:paraId="2EAD608C">
      <w:pPr>
        <w:rPr>
          <w:u w:val="none" w:color="auto"/>
        </w:rPr>
      </w:pPr>
    </w:p>
    <w:p w14:paraId="79440297">
      <w:pPr>
        <w:rPr>
          <w:u w:val="none" w:color="auto"/>
        </w:rPr>
      </w:pPr>
    </w:p>
    <w:p w14:paraId="04FE0C44">
      <w:pPr>
        <w:rPr>
          <w:u w:val="none" w:color="auto"/>
        </w:rPr>
      </w:pPr>
    </w:p>
    <w:p w14:paraId="74C0B553">
      <w:pPr>
        <w:rPr>
          <w:u w:val="none" w:color="auto"/>
        </w:rPr>
      </w:pPr>
    </w:p>
    <w:p w14:paraId="606210BF">
      <w:pPr>
        <w:rPr>
          <w:u w:val="none" w:color="auto"/>
        </w:rPr>
      </w:pPr>
    </w:p>
    <w:p w14:paraId="60C0466C">
      <w:pPr>
        <w:rPr>
          <w:u w:val="none" w:color="auto"/>
        </w:rPr>
      </w:pPr>
    </w:p>
    <w:p w14:paraId="1B8A8708">
      <w:pPr>
        <w:rPr>
          <w:u w:val="none" w:color="auto"/>
        </w:rPr>
      </w:pPr>
    </w:p>
    <w:p w14:paraId="5592BE92">
      <w:pPr>
        <w:rPr>
          <w:u w:val="none" w:color="auto"/>
        </w:rPr>
      </w:pPr>
    </w:p>
    <w:p w14:paraId="6351BBA5">
      <w:pPr>
        <w:rPr>
          <w:u w:val="none" w:color="auto"/>
        </w:rPr>
      </w:pPr>
    </w:p>
    <w:p w14:paraId="7745391E">
      <w:pPr>
        <w:rPr>
          <w:u w:val="none" w:color="auto"/>
        </w:rPr>
      </w:pPr>
    </w:p>
    <w:p w14:paraId="62C6AB85">
      <w:pPr>
        <w:rPr>
          <w:u w:val="none" w:color="auto"/>
        </w:rPr>
      </w:pPr>
    </w:p>
    <w:p w14:paraId="69D2B418">
      <w:pPr>
        <w:rPr>
          <w:u w:val="none" w:color="auto"/>
        </w:rPr>
      </w:pPr>
    </w:p>
    <w:p w14:paraId="5DFE1D1F">
      <w:pPr>
        <w:rPr>
          <w:u w:val="none" w:color="auto"/>
        </w:rPr>
      </w:pPr>
    </w:p>
    <w:p w14:paraId="26C89A34">
      <w:pPr>
        <w:rPr>
          <w:u w:val="none" w:color="auto"/>
        </w:rPr>
      </w:pPr>
    </w:p>
    <w:p w14:paraId="3575A3D0">
      <w:pPr>
        <w:rPr>
          <w:u w:val="none" w:color="auto"/>
        </w:rPr>
      </w:pPr>
    </w:p>
    <w:p w14:paraId="5CF011E8">
      <w:pPr>
        <w:rPr>
          <w:u w:val="none" w:color="auto"/>
        </w:rPr>
      </w:pPr>
    </w:p>
    <w:p w14:paraId="56DFD5C5">
      <w:pPr>
        <w:rPr>
          <w:u w:val="none" w:color="auto"/>
        </w:rPr>
      </w:pPr>
    </w:p>
    <w:p w14:paraId="643A42A5">
      <w:pPr>
        <w:rPr>
          <w:u w:val="none" w:color="auto"/>
        </w:rPr>
      </w:pPr>
    </w:p>
    <w:p w14:paraId="12D3859C">
      <w:pPr>
        <w:rPr>
          <w:u w:val="none" w:color="auto"/>
        </w:rPr>
      </w:pPr>
    </w:p>
    <w:p w14:paraId="1312A810">
      <w:pPr>
        <w:rPr>
          <w:u w:val="none" w:color="auto"/>
        </w:rPr>
      </w:pPr>
    </w:p>
    <w:p w14:paraId="7C7C171D">
      <w:pPr>
        <w:rPr>
          <w:u w:val="none" w:color="auto"/>
        </w:rPr>
      </w:pPr>
    </w:p>
    <w:p w14:paraId="74F9168E">
      <w:pPr>
        <w:rPr>
          <w:u w:val="none" w:color="auto"/>
        </w:rPr>
      </w:pPr>
    </w:p>
    <w:p w14:paraId="50D73C72">
      <w:pPr>
        <w:rPr>
          <w:u w:val="none" w:color="auto"/>
        </w:rPr>
      </w:pPr>
    </w:p>
    <w:p w14:paraId="2CFA2912">
      <w:pPr>
        <w:jc w:val="center"/>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w:t>
      </w:r>
      <w:r>
        <w:rPr>
          <w:rFonts w:hint="eastAsia" w:ascii="Times New Roman" w:hAnsi="Times New Roman" w:eastAsia="黑体" w:cs="Times New Roman"/>
          <w:spacing w:val="0"/>
          <w:w w:val="100"/>
          <w:position w:val="0"/>
          <w:sz w:val="32"/>
          <w:szCs w:val="32"/>
          <w:u w:val="none" w:color="auto"/>
          <w:lang w:val="en-US" w:eastAsia="zh-CN"/>
        </w:rPr>
        <w:t>财政拨款收入支出</w:t>
      </w:r>
      <w:r>
        <w:rPr>
          <w:rFonts w:hint="default" w:ascii="Times New Roman" w:hAnsi="Times New Roman" w:eastAsia="黑体" w:cs="Times New Roman"/>
          <w:spacing w:val="0"/>
          <w:w w:val="100"/>
          <w:position w:val="0"/>
          <w:sz w:val="32"/>
          <w:szCs w:val="32"/>
          <w:u w:val="none" w:color="auto"/>
          <w:lang w:val="en-US" w:eastAsia="zh-CN"/>
        </w:rPr>
        <w:t>决算</w:t>
      </w:r>
      <w:r>
        <w:rPr>
          <w:rFonts w:hint="eastAsia" w:ascii="Times New Roman" w:hAnsi="Times New Roman" w:eastAsia="黑体" w:cs="Times New Roman"/>
          <w:spacing w:val="0"/>
          <w:w w:val="100"/>
          <w:position w:val="0"/>
          <w:sz w:val="32"/>
          <w:szCs w:val="32"/>
          <w:u w:val="none" w:color="auto"/>
          <w:lang w:val="en-US" w:eastAsia="zh-CN"/>
        </w:rPr>
        <w:t>总</w:t>
      </w:r>
      <w:r>
        <w:rPr>
          <w:rFonts w:hint="default" w:ascii="Times New Roman" w:hAnsi="Times New Roman" w:eastAsia="黑体" w:cs="Times New Roman"/>
          <w:spacing w:val="0"/>
          <w:w w:val="100"/>
          <w:position w:val="0"/>
          <w:sz w:val="32"/>
          <w:szCs w:val="32"/>
          <w:u w:val="none" w:color="auto"/>
          <w:lang w:val="en-US" w:eastAsia="zh-CN"/>
        </w:rPr>
        <w:t>表</w:t>
      </w:r>
    </w:p>
    <w:p w14:paraId="6EFA6870">
      <w:pPr>
        <w:pStyle w:val="2"/>
        <w:rPr>
          <w:rFonts w:hint="default"/>
          <w:u w:val="none" w:color="auto"/>
          <w:lang w:val="en-US" w:eastAsia="zh-CN"/>
        </w:rPr>
      </w:pPr>
      <w:r>
        <w:rPr>
          <w:u w:val="none" w:color="auto"/>
        </w:rPr>
        <w:drawing>
          <wp:inline distT="0" distB="0" distL="114300" distR="114300">
            <wp:extent cx="5609590" cy="4158615"/>
            <wp:effectExtent l="0" t="0" r="1016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5609590" cy="4158615"/>
                    </a:xfrm>
                    <a:prstGeom prst="rect">
                      <a:avLst/>
                    </a:prstGeom>
                    <a:noFill/>
                    <a:ln>
                      <a:noFill/>
                    </a:ln>
                  </pic:spPr>
                </pic:pic>
              </a:graphicData>
            </a:graphic>
          </wp:inline>
        </w:drawing>
      </w:r>
    </w:p>
    <w:p w14:paraId="21BEDD57">
      <w:pPr>
        <w:pStyle w:val="2"/>
        <w:rPr>
          <w:rFonts w:hint="default"/>
          <w:u w:val="none" w:color="auto"/>
          <w:lang w:val="en-US" w:eastAsia="zh-CN"/>
        </w:rPr>
      </w:pPr>
    </w:p>
    <w:p w14:paraId="491D72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633D22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10AAE5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F4C1AB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62212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7891D9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B35F8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19E92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11DFD0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E4B910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6810C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0017B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15215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23152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年度一般公共预算财政拨款支出决算表</w:t>
      </w:r>
    </w:p>
    <w:p w14:paraId="2EDFEFE1">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u w:val="none" w:color="auto"/>
        </w:rPr>
        <w:drawing>
          <wp:inline distT="0" distB="0" distL="114300" distR="114300">
            <wp:extent cx="5982970" cy="1820545"/>
            <wp:effectExtent l="0" t="0" r="17780" b="825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0"/>
                    <a:stretch>
                      <a:fillRect/>
                    </a:stretch>
                  </pic:blipFill>
                  <pic:spPr>
                    <a:xfrm>
                      <a:off x="0" y="0"/>
                      <a:ext cx="5982970" cy="1820545"/>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5629995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年度一般公共预算财政拨款基本支出决算明细表</w:t>
      </w:r>
    </w:p>
    <w:p w14:paraId="169D77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p>
    <w:p w14:paraId="4A7E4C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r>
        <w:rPr>
          <w:u w:val="none" w:color="auto"/>
        </w:rPr>
        <w:drawing>
          <wp:anchor distT="0" distB="0" distL="114300" distR="114300" simplePos="0" relativeHeight="251659264" behindDoc="0" locked="0" layoutInCell="1" allowOverlap="1">
            <wp:simplePos x="0" y="0"/>
            <wp:positionH relativeFrom="column">
              <wp:posOffset>-400050</wp:posOffset>
            </wp:positionH>
            <wp:positionV relativeFrom="paragraph">
              <wp:posOffset>83820</wp:posOffset>
            </wp:positionV>
            <wp:extent cx="6602730" cy="4125595"/>
            <wp:effectExtent l="0" t="0" r="7620" b="8255"/>
            <wp:wrapSquare wrapText="bothSides"/>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1"/>
                    <a:stretch>
                      <a:fillRect/>
                    </a:stretch>
                  </pic:blipFill>
                  <pic:spPr>
                    <a:xfrm>
                      <a:off x="0" y="0"/>
                      <a:ext cx="6602730" cy="4125595"/>
                    </a:xfrm>
                    <a:prstGeom prst="rect">
                      <a:avLst/>
                    </a:prstGeom>
                    <a:noFill/>
                    <a:ln>
                      <a:noFill/>
                    </a:ln>
                  </pic:spPr>
                </pic:pic>
              </a:graphicData>
            </a:graphic>
          </wp:anchor>
        </w:drawing>
      </w:r>
    </w:p>
    <w:p w14:paraId="3CE34EC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p>
    <w:p w14:paraId="44007E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p>
    <w:p w14:paraId="4452CD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p>
    <w:p w14:paraId="0402147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u w:val="none" w:color="auto"/>
        </w:rPr>
      </w:pPr>
    </w:p>
    <w:p w14:paraId="2C668DD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2C86FE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A180F23">
      <w:pPr>
        <w:pStyle w:val="2"/>
        <w:rPr>
          <w:rFonts w:hint="default" w:ascii="Times New Roman" w:hAnsi="Times New Roman" w:eastAsia="黑体" w:cs="Times New Roman"/>
          <w:spacing w:val="0"/>
          <w:w w:val="100"/>
          <w:position w:val="0"/>
          <w:sz w:val="32"/>
          <w:szCs w:val="32"/>
          <w:u w:val="none" w:color="auto"/>
          <w:lang w:val="en-US" w:eastAsia="zh-CN"/>
        </w:rPr>
      </w:pPr>
    </w:p>
    <w:p w14:paraId="49FA3A95">
      <w:pPr>
        <w:rPr>
          <w:rFonts w:hint="default" w:ascii="Times New Roman" w:hAnsi="Times New Roman" w:eastAsia="黑体" w:cs="Times New Roman"/>
          <w:spacing w:val="0"/>
          <w:w w:val="100"/>
          <w:position w:val="0"/>
          <w:sz w:val="32"/>
          <w:szCs w:val="32"/>
          <w:u w:val="none" w:color="auto"/>
          <w:lang w:val="en-US" w:eastAsia="zh-CN"/>
        </w:rPr>
      </w:pPr>
    </w:p>
    <w:p w14:paraId="5B276E8C">
      <w:pPr>
        <w:pStyle w:val="2"/>
        <w:rPr>
          <w:rFonts w:hint="default" w:ascii="Times New Roman" w:hAnsi="Times New Roman" w:eastAsia="黑体" w:cs="Times New Roman"/>
          <w:spacing w:val="0"/>
          <w:w w:val="100"/>
          <w:position w:val="0"/>
          <w:sz w:val="32"/>
          <w:szCs w:val="32"/>
          <w:u w:val="none" w:color="auto"/>
          <w:lang w:val="en-US" w:eastAsia="zh-CN"/>
        </w:rPr>
      </w:pPr>
    </w:p>
    <w:p w14:paraId="44BB5F63">
      <w:pPr>
        <w:rPr>
          <w:rFonts w:hint="default"/>
          <w:u w:val="none" w:color="auto"/>
          <w:lang w:val="en-US" w:eastAsia="zh-CN"/>
        </w:rPr>
      </w:pPr>
    </w:p>
    <w:p w14:paraId="48E295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64FAB3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C372EDF">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u w:val="none" w:color="auto"/>
          <w:lang w:val="en-US" w:eastAsia="zh-CN"/>
        </w:rPr>
      </w:pPr>
    </w:p>
    <w:p w14:paraId="648311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年度政府性基金预算财政拨款收入支出决算表</w:t>
      </w:r>
    </w:p>
    <w:p w14:paraId="404AA4EF">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公开07表</w:t>
      </w:r>
    </w:p>
    <w:p w14:paraId="1383DDCC">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部门：</w:t>
      </w: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武汉市光谷第二十六小学</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微软雅黑" w:cs="Times New Roman"/>
          <w:sz w:val="22"/>
          <w:szCs w:val="22"/>
          <w:u w:val="none" w:color="auto"/>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单位：万元</w:t>
      </w:r>
    </w:p>
    <w:tbl>
      <w:tblPr>
        <w:tblStyle w:val="1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14:paraId="5149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14:paraId="3C85C91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     目</w:t>
            </w:r>
          </w:p>
        </w:tc>
        <w:tc>
          <w:tcPr>
            <w:tcW w:w="1167" w:type="dxa"/>
            <w:vMerge w:val="restart"/>
            <w:vAlign w:val="center"/>
          </w:tcPr>
          <w:p w14:paraId="0A12518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年初结转和 结余</w:t>
            </w:r>
          </w:p>
        </w:tc>
        <w:tc>
          <w:tcPr>
            <w:tcW w:w="1167" w:type="dxa"/>
            <w:vMerge w:val="restart"/>
            <w:vAlign w:val="center"/>
          </w:tcPr>
          <w:p w14:paraId="60484910">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本年收入</w:t>
            </w:r>
          </w:p>
        </w:tc>
        <w:tc>
          <w:tcPr>
            <w:tcW w:w="3505" w:type="dxa"/>
            <w:gridSpan w:val="3"/>
            <w:vAlign w:val="center"/>
          </w:tcPr>
          <w:p w14:paraId="5563BE6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本年支出</w:t>
            </w:r>
          </w:p>
        </w:tc>
        <w:tc>
          <w:tcPr>
            <w:tcW w:w="1173" w:type="dxa"/>
            <w:vMerge w:val="restart"/>
            <w:vAlign w:val="center"/>
          </w:tcPr>
          <w:p w14:paraId="3FCD784E">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年末结转和 结余</w:t>
            </w:r>
          </w:p>
        </w:tc>
      </w:tr>
      <w:tr w14:paraId="6633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14:paraId="5F2FE5F1">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功能分类 科目编码</w:t>
            </w:r>
          </w:p>
        </w:tc>
        <w:tc>
          <w:tcPr>
            <w:tcW w:w="1169" w:type="dxa"/>
            <w:vAlign w:val="center"/>
          </w:tcPr>
          <w:p w14:paraId="0E13104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科目名称</w:t>
            </w:r>
          </w:p>
        </w:tc>
        <w:tc>
          <w:tcPr>
            <w:tcW w:w="1167" w:type="dxa"/>
            <w:vMerge w:val="continue"/>
            <w:vAlign w:val="center"/>
          </w:tcPr>
          <w:p w14:paraId="33E92584">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p>
        </w:tc>
        <w:tc>
          <w:tcPr>
            <w:tcW w:w="1167" w:type="dxa"/>
            <w:vMerge w:val="continue"/>
            <w:vAlign w:val="center"/>
          </w:tcPr>
          <w:p w14:paraId="3B6A5D9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p>
        </w:tc>
        <w:tc>
          <w:tcPr>
            <w:tcW w:w="1167" w:type="dxa"/>
            <w:vAlign w:val="center"/>
          </w:tcPr>
          <w:p w14:paraId="68CF651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小计</w:t>
            </w:r>
          </w:p>
        </w:tc>
        <w:tc>
          <w:tcPr>
            <w:tcW w:w="1167" w:type="dxa"/>
            <w:vAlign w:val="center"/>
          </w:tcPr>
          <w:p w14:paraId="3986F26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基本支出</w:t>
            </w:r>
          </w:p>
        </w:tc>
        <w:tc>
          <w:tcPr>
            <w:tcW w:w="1171" w:type="dxa"/>
            <w:vAlign w:val="center"/>
          </w:tcPr>
          <w:p w14:paraId="0EECA4D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项目支出</w:t>
            </w:r>
          </w:p>
        </w:tc>
        <w:tc>
          <w:tcPr>
            <w:tcW w:w="1173" w:type="dxa"/>
            <w:vMerge w:val="continue"/>
            <w:vAlign w:val="center"/>
          </w:tcPr>
          <w:p w14:paraId="14089F17">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color="auto"/>
                <w:lang w:val="en-US" w:eastAsia="zh-CN" w:bidi="ar"/>
              </w:rPr>
            </w:pPr>
          </w:p>
        </w:tc>
      </w:tr>
      <w:tr w14:paraId="5EF2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14:paraId="52C5AF17">
            <w:pPr>
              <w:spacing w:before="194" w:line="188" w:lineRule="auto"/>
              <w:ind w:left="50"/>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类</w:t>
            </w:r>
          </w:p>
        </w:tc>
        <w:tc>
          <w:tcPr>
            <w:tcW w:w="317" w:type="dxa"/>
            <w:vMerge w:val="restart"/>
            <w:vAlign w:val="top"/>
          </w:tcPr>
          <w:p w14:paraId="74FF22D8">
            <w:pPr>
              <w:spacing w:before="194" w:line="189" w:lineRule="auto"/>
              <w:ind w:left="47"/>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款</w:t>
            </w:r>
          </w:p>
        </w:tc>
        <w:tc>
          <w:tcPr>
            <w:tcW w:w="319" w:type="dxa"/>
            <w:vMerge w:val="restart"/>
            <w:vAlign w:val="top"/>
          </w:tcPr>
          <w:p w14:paraId="6EDAFB49">
            <w:pPr>
              <w:spacing w:before="195" w:line="187" w:lineRule="auto"/>
              <w:ind w:left="49"/>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w:t>
            </w:r>
          </w:p>
        </w:tc>
        <w:tc>
          <w:tcPr>
            <w:tcW w:w="1169" w:type="dxa"/>
            <w:vAlign w:val="top"/>
          </w:tcPr>
          <w:p w14:paraId="7E5E9959">
            <w:pPr>
              <w:spacing w:before="46" w:line="230" w:lineRule="exact"/>
              <w:ind w:left="344"/>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pacing w:val="-4"/>
                <w:w w:val="96"/>
                <w:position w:val="-1"/>
                <w:sz w:val="21"/>
                <w:szCs w:val="21"/>
                <w:u w:val="none" w:color="auto"/>
              </w:rPr>
              <w:t>栏次</w:t>
            </w:r>
          </w:p>
        </w:tc>
        <w:tc>
          <w:tcPr>
            <w:tcW w:w="1167" w:type="dxa"/>
            <w:vAlign w:val="top"/>
          </w:tcPr>
          <w:p w14:paraId="76429712">
            <w:pPr>
              <w:spacing w:before="80" w:line="196" w:lineRule="exact"/>
              <w:ind w:left="509"/>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1</w:t>
            </w:r>
          </w:p>
        </w:tc>
        <w:tc>
          <w:tcPr>
            <w:tcW w:w="1167" w:type="dxa"/>
            <w:vAlign w:val="top"/>
          </w:tcPr>
          <w:p w14:paraId="74D1260A">
            <w:pPr>
              <w:spacing w:before="81" w:line="195" w:lineRule="exact"/>
              <w:ind w:left="498"/>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2</w:t>
            </w:r>
          </w:p>
        </w:tc>
        <w:tc>
          <w:tcPr>
            <w:tcW w:w="1167" w:type="dxa"/>
            <w:vAlign w:val="top"/>
          </w:tcPr>
          <w:p w14:paraId="15DD30F4">
            <w:pPr>
              <w:spacing w:before="81" w:line="195" w:lineRule="exact"/>
              <w:ind w:left="501"/>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3</w:t>
            </w:r>
          </w:p>
        </w:tc>
        <w:tc>
          <w:tcPr>
            <w:tcW w:w="1167" w:type="dxa"/>
            <w:vAlign w:val="top"/>
          </w:tcPr>
          <w:p w14:paraId="115C4E78">
            <w:pPr>
              <w:spacing w:before="81" w:line="195" w:lineRule="exact"/>
              <w:ind w:left="497"/>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4</w:t>
            </w:r>
          </w:p>
        </w:tc>
        <w:tc>
          <w:tcPr>
            <w:tcW w:w="1171" w:type="dxa"/>
            <w:vAlign w:val="top"/>
          </w:tcPr>
          <w:p w14:paraId="722A0A55">
            <w:pPr>
              <w:spacing w:before="83" w:line="193" w:lineRule="exact"/>
              <w:ind w:left="503"/>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5</w:t>
            </w:r>
          </w:p>
        </w:tc>
        <w:tc>
          <w:tcPr>
            <w:tcW w:w="1173" w:type="dxa"/>
            <w:vAlign w:val="top"/>
          </w:tcPr>
          <w:p w14:paraId="392D98BA">
            <w:pPr>
              <w:spacing w:before="81" w:line="195" w:lineRule="exact"/>
              <w:ind w:left="502"/>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position w:val="-4"/>
                <w:sz w:val="21"/>
                <w:szCs w:val="21"/>
                <w:u w:val="none" w:color="auto"/>
              </w:rPr>
              <w:t>6</w:t>
            </w:r>
          </w:p>
        </w:tc>
      </w:tr>
      <w:tr w14:paraId="15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14:paraId="7E22A4D3">
            <w:pPr>
              <w:pStyle w:val="12"/>
              <w:rPr>
                <w:rFonts w:hint="default" w:ascii="Times New Roman" w:hAnsi="Times New Roman" w:cs="Times New Roman" w:eastAsiaTheme="minorEastAsia"/>
                <w:sz w:val="21"/>
                <w:szCs w:val="21"/>
                <w:u w:val="none" w:color="auto"/>
              </w:rPr>
            </w:pPr>
          </w:p>
        </w:tc>
        <w:tc>
          <w:tcPr>
            <w:tcW w:w="317" w:type="dxa"/>
            <w:vMerge w:val="continue"/>
            <w:vAlign w:val="top"/>
          </w:tcPr>
          <w:p w14:paraId="0F062E97">
            <w:pPr>
              <w:pStyle w:val="12"/>
              <w:rPr>
                <w:rFonts w:hint="default" w:ascii="Times New Roman" w:hAnsi="Times New Roman" w:cs="Times New Roman" w:eastAsiaTheme="minorEastAsia"/>
                <w:sz w:val="21"/>
                <w:szCs w:val="21"/>
                <w:u w:val="none" w:color="auto"/>
              </w:rPr>
            </w:pPr>
          </w:p>
        </w:tc>
        <w:tc>
          <w:tcPr>
            <w:tcW w:w="319" w:type="dxa"/>
            <w:vMerge w:val="continue"/>
            <w:vAlign w:val="top"/>
          </w:tcPr>
          <w:p w14:paraId="5B249B9B">
            <w:pPr>
              <w:pStyle w:val="12"/>
              <w:rPr>
                <w:rFonts w:hint="default" w:ascii="Times New Roman" w:hAnsi="Times New Roman" w:cs="Times New Roman" w:eastAsiaTheme="minorEastAsia"/>
                <w:sz w:val="21"/>
                <w:szCs w:val="21"/>
                <w:u w:val="none" w:color="auto"/>
              </w:rPr>
            </w:pPr>
          </w:p>
        </w:tc>
        <w:tc>
          <w:tcPr>
            <w:tcW w:w="1169" w:type="dxa"/>
            <w:vAlign w:val="top"/>
          </w:tcPr>
          <w:p w14:paraId="5DAF20AC">
            <w:pPr>
              <w:spacing w:before="51" w:line="226" w:lineRule="exact"/>
              <w:ind w:left="344"/>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pacing w:val="-5"/>
                <w:w w:val="96"/>
                <w:position w:val="-1"/>
                <w:sz w:val="21"/>
                <w:szCs w:val="21"/>
                <w:u w:val="none" w:color="auto"/>
              </w:rPr>
              <w:t>合计</w:t>
            </w:r>
          </w:p>
        </w:tc>
        <w:tc>
          <w:tcPr>
            <w:tcW w:w="1167" w:type="dxa"/>
            <w:vAlign w:val="top"/>
          </w:tcPr>
          <w:p w14:paraId="33A0DC70">
            <w:pPr>
              <w:pStyle w:val="12"/>
              <w:rPr>
                <w:rFonts w:hint="default" w:ascii="Times New Roman" w:hAnsi="Times New Roman" w:cs="Times New Roman" w:eastAsiaTheme="minorEastAsia"/>
                <w:sz w:val="21"/>
                <w:szCs w:val="21"/>
                <w:u w:val="none" w:color="auto"/>
              </w:rPr>
            </w:pPr>
          </w:p>
        </w:tc>
        <w:tc>
          <w:tcPr>
            <w:tcW w:w="1167" w:type="dxa"/>
            <w:vAlign w:val="top"/>
          </w:tcPr>
          <w:p w14:paraId="08A01E83">
            <w:pPr>
              <w:pStyle w:val="12"/>
              <w:rPr>
                <w:rFonts w:hint="default" w:ascii="Times New Roman" w:hAnsi="Times New Roman" w:cs="Times New Roman" w:eastAsiaTheme="minorEastAsia"/>
                <w:sz w:val="21"/>
                <w:szCs w:val="21"/>
                <w:u w:val="none" w:color="auto"/>
              </w:rPr>
            </w:pPr>
          </w:p>
        </w:tc>
        <w:tc>
          <w:tcPr>
            <w:tcW w:w="1167" w:type="dxa"/>
            <w:vAlign w:val="top"/>
          </w:tcPr>
          <w:p w14:paraId="64DCCA76">
            <w:pPr>
              <w:pStyle w:val="12"/>
              <w:rPr>
                <w:rFonts w:hint="default" w:ascii="Times New Roman" w:hAnsi="Times New Roman" w:cs="Times New Roman" w:eastAsiaTheme="minorEastAsia"/>
                <w:sz w:val="21"/>
                <w:szCs w:val="21"/>
                <w:u w:val="none" w:color="auto"/>
              </w:rPr>
            </w:pPr>
          </w:p>
        </w:tc>
        <w:tc>
          <w:tcPr>
            <w:tcW w:w="1167" w:type="dxa"/>
            <w:vAlign w:val="top"/>
          </w:tcPr>
          <w:p w14:paraId="2DCD8371">
            <w:pPr>
              <w:pStyle w:val="12"/>
              <w:rPr>
                <w:rFonts w:hint="default" w:ascii="Times New Roman" w:hAnsi="Times New Roman" w:cs="Times New Roman" w:eastAsiaTheme="minorEastAsia"/>
                <w:sz w:val="21"/>
                <w:szCs w:val="21"/>
                <w:u w:val="none" w:color="auto"/>
              </w:rPr>
            </w:pPr>
          </w:p>
        </w:tc>
        <w:tc>
          <w:tcPr>
            <w:tcW w:w="1171" w:type="dxa"/>
            <w:vAlign w:val="top"/>
          </w:tcPr>
          <w:p w14:paraId="2FF09E10">
            <w:pPr>
              <w:pStyle w:val="12"/>
              <w:rPr>
                <w:rFonts w:hint="default" w:ascii="Times New Roman" w:hAnsi="Times New Roman" w:cs="Times New Roman" w:eastAsiaTheme="minorEastAsia"/>
                <w:sz w:val="21"/>
                <w:szCs w:val="21"/>
                <w:u w:val="none" w:color="auto"/>
              </w:rPr>
            </w:pPr>
          </w:p>
        </w:tc>
        <w:tc>
          <w:tcPr>
            <w:tcW w:w="1173" w:type="dxa"/>
            <w:vAlign w:val="top"/>
          </w:tcPr>
          <w:p w14:paraId="6E81722B">
            <w:pPr>
              <w:pStyle w:val="12"/>
              <w:rPr>
                <w:rFonts w:hint="default" w:ascii="Times New Roman" w:hAnsi="Times New Roman" w:cs="Times New Roman" w:eastAsiaTheme="minorEastAsia"/>
                <w:sz w:val="21"/>
                <w:szCs w:val="21"/>
                <w:u w:val="none" w:color="auto"/>
              </w:rPr>
            </w:pPr>
          </w:p>
        </w:tc>
      </w:tr>
      <w:tr w14:paraId="5786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195E1F5D">
            <w:pPr>
              <w:pStyle w:val="12"/>
              <w:rPr>
                <w:rFonts w:hint="default" w:ascii="Times New Roman" w:hAnsi="Times New Roman" w:cs="Times New Roman" w:eastAsiaTheme="minorEastAsia"/>
                <w:sz w:val="21"/>
                <w:szCs w:val="21"/>
                <w:u w:val="none" w:color="auto"/>
              </w:rPr>
            </w:pPr>
          </w:p>
        </w:tc>
        <w:tc>
          <w:tcPr>
            <w:tcW w:w="1169" w:type="dxa"/>
            <w:vAlign w:val="top"/>
          </w:tcPr>
          <w:p w14:paraId="7EA3CF58">
            <w:pPr>
              <w:pStyle w:val="12"/>
              <w:rPr>
                <w:rFonts w:hint="default" w:ascii="Times New Roman" w:hAnsi="Times New Roman" w:cs="Times New Roman" w:eastAsiaTheme="minorEastAsia"/>
                <w:sz w:val="21"/>
                <w:szCs w:val="21"/>
                <w:u w:val="none" w:color="auto"/>
              </w:rPr>
            </w:pPr>
          </w:p>
        </w:tc>
        <w:tc>
          <w:tcPr>
            <w:tcW w:w="1167" w:type="dxa"/>
            <w:vAlign w:val="top"/>
          </w:tcPr>
          <w:p w14:paraId="51791FB1">
            <w:pPr>
              <w:pStyle w:val="12"/>
              <w:rPr>
                <w:rFonts w:hint="default" w:ascii="Times New Roman" w:hAnsi="Times New Roman" w:cs="Times New Roman" w:eastAsiaTheme="minorEastAsia"/>
                <w:sz w:val="21"/>
                <w:szCs w:val="21"/>
                <w:u w:val="none" w:color="auto"/>
              </w:rPr>
            </w:pPr>
          </w:p>
        </w:tc>
        <w:tc>
          <w:tcPr>
            <w:tcW w:w="1167" w:type="dxa"/>
            <w:vAlign w:val="top"/>
          </w:tcPr>
          <w:p w14:paraId="19DB47B2">
            <w:pPr>
              <w:pStyle w:val="12"/>
              <w:rPr>
                <w:rFonts w:hint="default" w:ascii="Times New Roman" w:hAnsi="Times New Roman" w:cs="Times New Roman" w:eastAsiaTheme="minorEastAsia"/>
                <w:sz w:val="21"/>
                <w:szCs w:val="21"/>
                <w:u w:val="none" w:color="auto"/>
              </w:rPr>
            </w:pPr>
          </w:p>
        </w:tc>
        <w:tc>
          <w:tcPr>
            <w:tcW w:w="1167" w:type="dxa"/>
            <w:vAlign w:val="top"/>
          </w:tcPr>
          <w:p w14:paraId="2A5D63F5">
            <w:pPr>
              <w:pStyle w:val="12"/>
              <w:rPr>
                <w:rFonts w:hint="default" w:ascii="Times New Roman" w:hAnsi="Times New Roman" w:cs="Times New Roman" w:eastAsiaTheme="minorEastAsia"/>
                <w:sz w:val="21"/>
                <w:szCs w:val="21"/>
                <w:u w:val="none" w:color="auto"/>
              </w:rPr>
            </w:pPr>
          </w:p>
        </w:tc>
        <w:tc>
          <w:tcPr>
            <w:tcW w:w="1167" w:type="dxa"/>
            <w:vAlign w:val="top"/>
          </w:tcPr>
          <w:p w14:paraId="2905543B">
            <w:pPr>
              <w:pStyle w:val="12"/>
              <w:rPr>
                <w:rFonts w:hint="default" w:ascii="Times New Roman" w:hAnsi="Times New Roman" w:cs="Times New Roman" w:eastAsiaTheme="minorEastAsia"/>
                <w:sz w:val="21"/>
                <w:szCs w:val="21"/>
                <w:u w:val="none" w:color="auto"/>
              </w:rPr>
            </w:pPr>
          </w:p>
        </w:tc>
        <w:tc>
          <w:tcPr>
            <w:tcW w:w="1171" w:type="dxa"/>
            <w:vAlign w:val="top"/>
          </w:tcPr>
          <w:p w14:paraId="65334CDB">
            <w:pPr>
              <w:pStyle w:val="12"/>
              <w:rPr>
                <w:rFonts w:hint="default" w:ascii="Times New Roman" w:hAnsi="Times New Roman" w:cs="Times New Roman" w:eastAsiaTheme="minorEastAsia"/>
                <w:sz w:val="21"/>
                <w:szCs w:val="21"/>
                <w:u w:val="none" w:color="auto"/>
              </w:rPr>
            </w:pPr>
          </w:p>
        </w:tc>
        <w:tc>
          <w:tcPr>
            <w:tcW w:w="1173" w:type="dxa"/>
            <w:vAlign w:val="top"/>
          </w:tcPr>
          <w:p w14:paraId="377DF9EF">
            <w:pPr>
              <w:pStyle w:val="12"/>
              <w:rPr>
                <w:rFonts w:hint="default" w:ascii="Times New Roman" w:hAnsi="Times New Roman" w:cs="Times New Roman" w:eastAsiaTheme="minorEastAsia"/>
                <w:sz w:val="21"/>
                <w:szCs w:val="21"/>
                <w:u w:val="none" w:color="auto"/>
              </w:rPr>
            </w:pPr>
          </w:p>
        </w:tc>
      </w:tr>
      <w:tr w14:paraId="3850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6BA625BC">
            <w:pPr>
              <w:pStyle w:val="12"/>
              <w:rPr>
                <w:rFonts w:hint="default" w:ascii="Times New Roman" w:hAnsi="Times New Roman" w:cs="Times New Roman" w:eastAsiaTheme="minorEastAsia"/>
                <w:sz w:val="21"/>
                <w:szCs w:val="21"/>
                <w:u w:val="none" w:color="auto"/>
              </w:rPr>
            </w:pPr>
          </w:p>
        </w:tc>
        <w:tc>
          <w:tcPr>
            <w:tcW w:w="1169" w:type="dxa"/>
            <w:vAlign w:val="top"/>
          </w:tcPr>
          <w:p w14:paraId="4C8CD589">
            <w:pPr>
              <w:pStyle w:val="12"/>
              <w:rPr>
                <w:rFonts w:hint="default" w:ascii="Times New Roman" w:hAnsi="Times New Roman" w:cs="Times New Roman" w:eastAsiaTheme="minorEastAsia"/>
                <w:sz w:val="21"/>
                <w:szCs w:val="21"/>
                <w:u w:val="none" w:color="auto"/>
              </w:rPr>
            </w:pPr>
          </w:p>
        </w:tc>
        <w:tc>
          <w:tcPr>
            <w:tcW w:w="1167" w:type="dxa"/>
            <w:vAlign w:val="top"/>
          </w:tcPr>
          <w:p w14:paraId="33DBBE04">
            <w:pPr>
              <w:pStyle w:val="12"/>
              <w:rPr>
                <w:rFonts w:hint="default" w:ascii="Times New Roman" w:hAnsi="Times New Roman" w:cs="Times New Roman" w:eastAsiaTheme="minorEastAsia"/>
                <w:sz w:val="21"/>
                <w:szCs w:val="21"/>
                <w:u w:val="none" w:color="auto"/>
              </w:rPr>
            </w:pPr>
          </w:p>
        </w:tc>
        <w:tc>
          <w:tcPr>
            <w:tcW w:w="1167" w:type="dxa"/>
            <w:vAlign w:val="top"/>
          </w:tcPr>
          <w:p w14:paraId="54FEBA61">
            <w:pPr>
              <w:pStyle w:val="12"/>
              <w:rPr>
                <w:rFonts w:hint="default" w:ascii="Times New Roman" w:hAnsi="Times New Roman" w:cs="Times New Roman" w:eastAsiaTheme="minorEastAsia"/>
                <w:sz w:val="21"/>
                <w:szCs w:val="21"/>
                <w:u w:val="none" w:color="auto"/>
              </w:rPr>
            </w:pPr>
          </w:p>
        </w:tc>
        <w:tc>
          <w:tcPr>
            <w:tcW w:w="1167" w:type="dxa"/>
            <w:vAlign w:val="top"/>
          </w:tcPr>
          <w:p w14:paraId="1966E127">
            <w:pPr>
              <w:pStyle w:val="12"/>
              <w:rPr>
                <w:rFonts w:hint="default" w:ascii="Times New Roman" w:hAnsi="Times New Roman" w:cs="Times New Roman" w:eastAsiaTheme="minorEastAsia"/>
                <w:sz w:val="21"/>
                <w:szCs w:val="21"/>
                <w:u w:val="none" w:color="auto"/>
              </w:rPr>
            </w:pPr>
          </w:p>
        </w:tc>
        <w:tc>
          <w:tcPr>
            <w:tcW w:w="1167" w:type="dxa"/>
            <w:vAlign w:val="top"/>
          </w:tcPr>
          <w:p w14:paraId="1BDEFFF8">
            <w:pPr>
              <w:pStyle w:val="12"/>
              <w:rPr>
                <w:rFonts w:hint="default" w:ascii="Times New Roman" w:hAnsi="Times New Roman" w:cs="Times New Roman" w:eastAsiaTheme="minorEastAsia"/>
                <w:sz w:val="21"/>
                <w:szCs w:val="21"/>
                <w:u w:val="none" w:color="auto"/>
              </w:rPr>
            </w:pPr>
          </w:p>
        </w:tc>
        <w:tc>
          <w:tcPr>
            <w:tcW w:w="1171" w:type="dxa"/>
            <w:vAlign w:val="top"/>
          </w:tcPr>
          <w:p w14:paraId="318866A7">
            <w:pPr>
              <w:pStyle w:val="12"/>
              <w:rPr>
                <w:rFonts w:hint="default" w:ascii="Times New Roman" w:hAnsi="Times New Roman" w:cs="Times New Roman" w:eastAsiaTheme="minorEastAsia"/>
                <w:sz w:val="21"/>
                <w:szCs w:val="21"/>
                <w:u w:val="none" w:color="auto"/>
              </w:rPr>
            </w:pPr>
          </w:p>
        </w:tc>
        <w:tc>
          <w:tcPr>
            <w:tcW w:w="1173" w:type="dxa"/>
            <w:vAlign w:val="top"/>
          </w:tcPr>
          <w:p w14:paraId="3AA437A3">
            <w:pPr>
              <w:pStyle w:val="12"/>
              <w:rPr>
                <w:rFonts w:hint="default" w:ascii="Times New Roman" w:hAnsi="Times New Roman" w:cs="Times New Roman" w:eastAsiaTheme="minorEastAsia"/>
                <w:sz w:val="21"/>
                <w:szCs w:val="21"/>
                <w:u w:val="none" w:color="auto"/>
              </w:rPr>
            </w:pPr>
          </w:p>
        </w:tc>
      </w:tr>
      <w:tr w14:paraId="185B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25A1E691">
            <w:pPr>
              <w:pStyle w:val="12"/>
              <w:rPr>
                <w:rFonts w:hint="default" w:ascii="Times New Roman" w:hAnsi="Times New Roman" w:cs="Times New Roman" w:eastAsiaTheme="minorEastAsia"/>
                <w:sz w:val="21"/>
                <w:szCs w:val="21"/>
                <w:u w:val="none" w:color="auto"/>
              </w:rPr>
            </w:pPr>
          </w:p>
        </w:tc>
        <w:tc>
          <w:tcPr>
            <w:tcW w:w="1169" w:type="dxa"/>
            <w:vAlign w:val="top"/>
          </w:tcPr>
          <w:p w14:paraId="6A04F476">
            <w:pPr>
              <w:pStyle w:val="12"/>
              <w:rPr>
                <w:rFonts w:hint="default" w:ascii="Times New Roman" w:hAnsi="Times New Roman" w:cs="Times New Roman" w:eastAsiaTheme="minorEastAsia"/>
                <w:sz w:val="21"/>
                <w:szCs w:val="21"/>
                <w:u w:val="none" w:color="auto"/>
              </w:rPr>
            </w:pPr>
          </w:p>
        </w:tc>
        <w:tc>
          <w:tcPr>
            <w:tcW w:w="1167" w:type="dxa"/>
            <w:vAlign w:val="top"/>
          </w:tcPr>
          <w:p w14:paraId="005C2D09">
            <w:pPr>
              <w:pStyle w:val="12"/>
              <w:rPr>
                <w:rFonts w:hint="default" w:ascii="Times New Roman" w:hAnsi="Times New Roman" w:cs="Times New Roman" w:eastAsiaTheme="minorEastAsia"/>
                <w:sz w:val="21"/>
                <w:szCs w:val="21"/>
                <w:u w:val="none" w:color="auto"/>
              </w:rPr>
            </w:pPr>
          </w:p>
        </w:tc>
        <w:tc>
          <w:tcPr>
            <w:tcW w:w="1167" w:type="dxa"/>
            <w:vAlign w:val="top"/>
          </w:tcPr>
          <w:p w14:paraId="767BBF3C">
            <w:pPr>
              <w:pStyle w:val="12"/>
              <w:rPr>
                <w:rFonts w:hint="default" w:ascii="Times New Roman" w:hAnsi="Times New Roman" w:cs="Times New Roman" w:eastAsiaTheme="minorEastAsia"/>
                <w:sz w:val="21"/>
                <w:szCs w:val="21"/>
                <w:u w:val="none" w:color="auto"/>
              </w:rPr>
            </w:pPr>
          </w:p>
        </w:tc>
        <w:tc>
          <w:tcPr>
            <w:tcW w:w="1167" w:type="dxa"/>
            <w:vAlign w:val="top"/>
          </w:tcPr>
          <w:p w14:paraId="5E62B595">
            <w:pPr>
              <w:pStyle w:val="12"/>
              <w:rPr>
                <w:rFonts w:hint="default" w:ascii="Times New Roman" w:hAnsi="Times New Roman" w:cs="Times New Roman" w:eastAsiaTheme="minorEastAsia"/>
                <w:sz w:val="21"/>
                <w:szCs w:val="21"/>
                <w:u w:val="none" w:color="auto"/>
              </w:rPr>
            </w:pPr>
          </w:p>
        </w:tc>
        <w:tc>
          <w:tcPr>
            <w:tcW w:w="1167" w:type="dxa"/>
            <w:vAlign w:val="top"/>
          </w:tcPr>
          <w:p w14:paraId="3BD2874F">
            <w:pPr>
              <w:pStyle w:val="12"/>
              <w:rPr>
                <w:rFonts w:hint="default" w:ascii="Times New Roman" w:hAnsi="Times New Roman" w:cs="Times New Roman" w:eastAsiaTheme="minorEastAsia"/>
                <w:sz w:val="21"/>
                <w:szCs w:val="21"/>
                <w:u w:val="none" w:color="auto"/>
              </w:rPr>
            </w:pPr>
          </w:p>
        </w:tc>
        <w:tc>
          <w:tcPr>
            <w:tcW w:w="1171" w:type="dxa"/>
            <w:vAlign w:val="top"/>
          </w:tcPr>
          <w:p w14:paraId="3FF0D2A8">
            <w:pPr>
              <w:pStyle w:val="12"/>
              <w:rPr>
                <w:rFonts w:hint="default" w:ascii="Times New Roman" w:hAnsi="Times New Roman" w:cs="Times New Roman" w:eastAsiaTheme="minorEastAsia"/>
                <w:sz w:val="21"/>
                <w:szCs w:val="21"/>
                <w:u w:val="none" w:color="auto"/>
              </w:rPr>
            </w:pPr>
          </w:p>
        </w:tc>
        <w:tc>
          <w:tcPr>
            <w:tcW w:w="1173" w:type="dxa"/>
            <w:vAlign w:val="top"/>
          </w:tcPr>
          <w:p w14:paraId="0ABE4376">
            <w:pPr>
              <w:pStyle w:val="12"/>
              <w:rPr>
                <w:rFonts w:hint="default" w:ascii="Times New Roman" w:hAnsi="Times New Roman" w:cs="Times New Roman" w:eastAsiaTheme="minorEastAsia"/>
                <w:sz w:val="21"/>
                <w:szCs w:val="21"/>
                <w:u w:val="none" w:color="auto"/>
              </w:rPr>
            </w:pPr>
          </w:p>
        </w:tc>
      </w:tr>
      <w:tr w14:paraId="0ACC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14:paraId="04E24A48">
            <w:pPr>
              <w:pStyle w:val="12"/>
              <w:rPr>
                <w:rFonts w:hint="default" w:ascii="Times New Roman" w:hAnsi="Times New Roman" w:cs="Times New Roman" w:eastAsiaTheme="minorEastAsia"/>
                <w:sz w:val="21"/>
                <w:szCs w:val="21"/>
                <w:u w:val="none" w:color="auto"/>
              </w:rPr>
            </w:pPr>
          </w:p>
        </w:tc>
        <w:tc>
          <w:tcPr>
            <w:tcW w:w="1169" w:type="dxa"/>
            <w:vAlign w:val="top"/>
          </w:tcPr>
          <w:p w14:paraId="651702EE">
            <w:pPr>
              <w:pStyle w:val="12"/>
              <w:rPr>
                <w:rFonts w:hint="default" w:ascii="Times New Roman" w:hAnsi="Times New Roman" w:cs="Times New Roman" w:eastAsiaTheme="minorEastAsia"/>
                <w:sz w:val="21"/>
                <w:szCs w:val="21"/>
                <w:u w:val="none" w:color="auto"/>
              </w:rPr>
            </w:pPr>
          </w:p>
        </w:tc>
        <w:tc>
          <w:tcPr>
            <w:tcW w:w="1167" w:type="dxa"/>
            <w:vAlign w:val="top"/>
          </w:tcPr>
          <w:p w14:paraId="230E8CD9">
            <w:pPr>
              <w:pStyle w:val="12"/>
              <w:rPr>
                <w:rFonts w:hint="default" w:ascii="Times New Roman" w:hAnsi="Times New Roman" w:cs="Times New Roman" w:eastAsiaTheme="minorEastAsia"/>
                <w:sz w:val="21"/>
                <w:szCs w:val="21"/>
                <w:u w:val="none" w:color="auto"/>
              </w:rPr>
            </w:pPr>
          </w:p>
        </w:tc>
        <w:tc>
          <w:tcPr>
            <w:tcW w:w="1167" w:type="dxa"/>
            <w:vAlign w:val="top"/>
          </w:tcPr>
          <w:p w14:paraId="1357E7D1">
            <w:pPr>
              <w:pStyle w:val="12"/>
              <w:rPr>
                <w:rFonts w:hint="default" w:ascii="Times New Roman" w:hAnsi="Times New Roman" w:cs="Times New Roman" w:eastAsiaTheme="minorEastAsia"/>
                <w:sz w:val="21"/>
                <w:szCs w:val="21"/>
                <w:u w:val="none" w:color="auto"/>
              </w:rPr>
            </w:pPr>
          </w:p>
        </w:tc>
        <w:tc>
          <w:tcPr>
            <w:tcW w:w="1167" w:type="dxa"/>
            <w:vAlign w:val="top"/>
          </w:tcPr>
          <w:p w14:paraId="3923D4D9">
            <w:pPr>
              <w:pStyle w:val="12"/>
              <w:rPr>
                <w:rFonts w:hint="default" w:ascii="Times New Roman" w:hAnsi="Times New Roman" w:cs="Times New Roman" w:eastAsiaTheme="minorEastAsia"/>
                <w:sz w:val="21"/>
                <w:szCs w:val="21"/>
                <w:u w:val="none" w:color="auto"/>
              </w:rPr>
            </w:pPr>
          </w:p>
        </w:tc>
        <w:tc>
          <w:tcPr>
            <w:tcW w:w="1167" w:type="dxa"/>
            <w:vAlign w:val="top"/>
          </w:tcPr>
          <w:p w14:paraId="2CE9EDDC">
            <w:pPr>
              <w:pStyle w:val="12"/>
              <w:rPr>
                <w:rFonts w:hint="default" w:ascii="Times New Roman" w:hAnsi="Times New Roman" w:cs="Times New Roman" w:eastAsiaTheme="minorEastAsia"/>
                <w:sz w:val="21"/>
                <w:szCs w:val="21"/>
                <w:u w:val="none" w:color="auto"/>
              </w:rPr>
            </w:pPr>
          </w:p>
        </w:tc>
        <w:tc>
          <w:tcPr>
            <w:tcW w:w="1171" w:type="dxa"/>
            <w:vAlign w:val="top"/>
          </w:tcPr>
          <w:p w14:paraId="4B0F426E">
            <w:pPr>
              <w:pStyle w:val="12"/>
              <w:rPr>
                <w:rFonts w:hint="default" w:ascii="Times New Roman" w:hAnsi="Times New Roman" w:cs="Times New Roman" w:eastAsiaTheme="minorEastAsia"/>
                <w:sz w:val="21"/>
                <w:szCs w:val="21"/>
                <w:u w:val="none" w:color="auto"/>
              </w:rPr>
            </w:pPr>
          </w:p>
        </w:tc>
        <w:tc>
          <w:tcPr>
            <w:tcW w:w="1173" w:type="dxa"/>
            <w:vAlign w:val="top"/>
          </w:tcPr>
          <w:p w14:paraId="406B3E37">
            <w:pPr>
              <w:pStyle w:val="12"/>
              <w:rPr>
                <w:rFonts w:hint="default" w:ascii="Times New Roman" w:hAnsi="Times New Roman" w:cs="Times New Roman" w:eastAsiaTheme="minorEastAsia"/>
                <w:sz w:val="21"/>
                <w:szCs w:val="21"/>
                <w:u w:val="none" w:color="auto"/>
              </w:rPr>
            </w:pPr>
          </w:p>
        </w:tc>
      </w:tr>
      <w:tr w14:paraId="5E4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14:paraId="72E1354A">
            <w:pPr>
              <w:pStyle w:val="12"/>
              <w:rPr>
                <w:rFonts w:hint="default" w:ascii="Times New Roman" w:hAnsi="Times New Roman" w:cs="Times New Roman" w:eastAsiaTheme="minorEastAsia"/>
                <w:sz w:val="21"/>
                <w:szCs w:val="21"/>
                <w:u w:val="none" w:color="auto"/>
              </w:rPr>
            </w:pPr>
          </w:p>
        </w:tc>
        <w:tc>
          <w:tcPr>
            <w:tcW w:w="1169" w:type="dxa"/>
            <w:vAlign w:val="top"/>
          </w:tcPr>
          <w:p w14:paraId="52839B21">
            <w:pPr>
              <w:pStyle w:val="12"/>
              <w:rPr>
                <w:rFonts w:hint="default" w:ascii="Times New Roman" w:hAnsi="Times New Roman" w:cs="Times New Roman" w:eastAsiaTheme="minorEastAsia"/>
                <w:sz w:val="21"/>
                <w:szCs w:val="21"/>
                <w:u w:val="none" w:color="auto"/>
              </w:rPr>
            </w:pPr>
          </w:p>
        </w:tc>
        <w:tc>
          <w:tcPr>
            <w:tcW w:w="1167" w:type="dxa"/>
            <w:vAlign w:val="top"/>
          </w:tcPr>
          <w:p w14:paraId="69A9299F">
            <w:pPr>
              <w:pStyle w:val="12"/>
              <w:rPr>
                <w:rFonts w:hint="default" w:ascii="Times New Roman" w:hAnsi="Times New Roman" w:cs="Times New Roman" w:eastAsiaTheme="minorEastAsia"/>
                <w:sz w:val="21"/>
                <w:szCs w:val="21"/>
                <w:u w:val="none" w:color="auto"/>
              </w:rPr>
            </w:pPr>
          </w:p>
        </w:tc>
        <w:tc>
          <w:tcPr>
            <w:tcW w:w="1167" w:type="dxa"/>
            <w:vAlign w:val="top"/>
          </w:tcPr>
          <w:p w14:paraId="04C9CF85">
            <w:pPr>
              <w:pStyle w:val="12"/>
              <w:rPr>
                <w:rFonts w:hint="default" w:ascii="Times New Roman" w:hAnsi="Times New Roman" w:cs="Times New Roman" w:eastAsiaTheme="minorEastAsia"/>
                <w:sz w:val="21"/>
                <w:szCs w:val="21"/>
                <w:u w:val="none" w:color="auto"/>
              </w:rPr>
            </w:pPr>
          </w:p>
        </w:tc>
        <w:tc>
          <w:tcPr>
            <w:tcW w:w="1167" w:type="dxa"/>
            <w:vAlign w:val="top"/>
          </w:tcPr>
          <w:p w14:paraId="5BAA8E5F">
            <w:pPr>
              <w:pStyle w:val="12"/>
              <w:rPr>
                <w:rFonts w:hint="default" w:ascii="Times New Roman" w:hAnsi="Times New Roman" w:cs="Times New Roman" w:eastAsiaTheme="minorEastAsia"/>
                <w:sz w:val="21"/>
                <w:szCs w:val="21"/>
                <w:u w:val="none" w:color="auto"/>
              </w:rPr>
            </w:pPr>
          </w:p>
        </w:tc>
        <w:tc>
          <w:tcPr>
            <w:tcW w:w="1167" w:type="dxa"/>
            <w:vAlign w:val="top"/>
          </w:tcPr>
          <w:p w14:paraId="6EF7D1E5">
            <w:pPr>
              <w:pStyle w:val="12"/>
              <w:rPr>
                <w:rFonts w:hint="default" w:ascii="Times New Roman" w:hAnsi="Times New Roman" w:cs="Times New Roman" w:eastAsiaTheme="minorEastAsia"/>
                <w:sz w:val="21"/>
                <w:szCs w:val="21"/>
                <w:u w:val="none" w:color="auto"/>
              </w:rPr>
            </w:pPr>
          </w:p>
        </w:tc>
        <w:tc>
          <w:tcPr>
            <w:tcW w:w="1171" w:type="dxa"/>
            <w:vAlign w:val="top"/>
          </w:tcPr>
          <w:p w14:paraId="436BC576">
            <w:pPr>
              <w:pStyle w:val="12"/>
              <w:rPr>
                <w:rFonts w:hint="default" w:ascii="Times New Roman" w:hAnsi="Times New Roman" w:cs="Times New Roman" w:eastAsiaTheme="minorEastAsia"/>
                <w:sz w:val="21"/>
                <w:szCs w:val="21"/>
                <w:u w:val="none" w:color="auto"/>
              </w:rPr>
            </w:pPr>
          </w:p>
        </w:tc>
        <w:tc>
          <w:tcPr>
            <w:tcW w:w="1173" w:type="dxa"/>
            <w:vAlign w:val="top"/>
          </w:tcPr>
          <w:p w14:paraId="56457C4B">
            <w:pPr>
              <w:pStyle w:val="12"/>
              <w:rPr>
                <w:rFonts w:hint="default" w:ascii="Times New Roman" w:hAnsi="Times New Roman" w:cs="Times New Roman" w:eastAsiaTheme="minorEastAsia"/>
                <w:sz w:val="21"/>
                <w:szCs w:val="21"/>
                <w:u w:val="none" w:color="auto"/>
              </w:rPr>
            </w:pPr>
          </w:p>
        </w:tc>
      </w:tr>
      <w:tr w14:paraId="09A6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14:paraId="532633AB">
            <w:pPr>
              <w:pStyle w:val="12"/>
              <w:rPr>
                <w:rFonts w:hint="default" w:ascii="Times New Roman" w:hAnsi="Times New Roman" w:cs="Times New Roman" w:eastAsiaTheme="minorEastAsia"/>
                <w:sz w:val="21"/>
                <w:szCs w:val="21"/>
                <w:u w:val="none" w:color="auto"/>
              </w:rPr>
            </w:pPr>
          </w:p>
        </w:tc>
        <w:tc>
          <w:tcPr>
            <w:tcW w:w="1169" w:type="dxa"/>
            <w:vAlign w:val="top"/>
          </w:tcPr>
          <w:p w14:paraId="424E48F3">
            <w:pPr>
              <w:pStyle w:val="12"/>
              <w:rPr>
                <w:rFonts w:hint="default" w:ascii="Times New Roman" w:hAnsi="Times New Roman" w:cs="Times New Roman" w:eastAsiaTheme="minorEastAsia"/>
                <w:sz w:val="21"/>
                <w:szCs w:val="21"/>
                <w:u w:val="none" w:color="auto"/>
              </w:rPr>
            </w:pPr>
          </w:p>
        </w:tc>
        <w:tc>
          <w:tcPr>
            <w:tcW w:w="1167" w:type="dxa"/>
            <w:vAlign w:val="top"/>
          </w:tcPr>
          <w:p w14:paraId="734410DC">
            <w:pPr>
              <w:pStyle w:val="12"/>
              <w:rPr>
                <w:rFonts w:hint="default" w:ascii="Times New Roman" w:hAnsi="Times New Roman" w:cs="Times New Roman" w:eastAsiaTheme="minorEastAsia"/>
                <w:sz w:val="21"/>
                <w:szCs w:val="21"/>
                <w:u w:val="none" w:color="auto"/>
              </w:rPr>
            </w:pPr>
          </w:p>
        </w:tc>
        <w:tc>
          <w:tcPr>
            <w:tcW w:w="1167" w:type="dxa"/>
            <w:vAlign w:val="top"/>
          </w:tcPr>
          <w:p w14:paraId="69C1AA59">
            <w:pPr>
              <w:pStyle w:val="12"/>
              <w:rPr>
                <w:rFonts w:hint="default" w:ascii="Times New Roman" w:hAnsi="Times New Roman" w:cs="Times New Roman" w:eastAsiaTheme="minorEastAsia"/>
                <w:sz w:val="21"/>
                <w:szCs w:val="21"/>
                <w:u w:val="none" w:color="auto"/>
              </w:rPr>
            </w:pPr>
          </w:p>
        </w:tc>
        <w:tc>
          <w:tcPr>
            <w:tcW w:w="1167" w:type="dxa"/>
            <w:vAlign w:val="top"/>
          </w:tcPr>
          <w:p w14:paraId="7CD15D2D">
            <w:pPr>
              <w:pStyle w:val="12"/>
              <w:rPr>
                <w:rFonts w:hint="default" w:ascii="Times New Roman" w:hAnsi="Times New Roman" w:cs="Times New Roman" w:eastAsiaTheme="minorEastAsia"/>
                <w:sz w:val="21"/>
                <w:szCs w:val="21"/>
                <w:u w:val="none" w:color="auto"/>
              </w:rPr>
            </w:pPr>
          </w:p>
        </w:tc>
        <w:tc>
          <w:tcPr>
            <w:tcW w:w="1167" w:type="dxa"/>
            <w:vAlign w:val="top"/>
          </w:tcPr>
          <w:p w14:paraId="440D74EA">
            <w:pPr>
              <w:pStyle w:val="12"/>
              <w:rPr>
                <w:rFonts w:hint="default" w:ascii="Times New Roman" w:hAnsi="Times New Roman" w:cs="Times New Roman" w:eastAsiaTheme="minorEastAsia"/>
                <w:sz w:val="21"/>
                <w:szCs w:val="21"/>
                <w:u w:val="none" w:color="auto"/>
              </w:rPr>
            </w:pPr>
          </w:p>
        </w:tc>
        <w:tc>
          <w:tcPr>
            <w:tcW w:w="1171" w:type="dxa"/>
            <w:vAlign w:val="top"/>
          </w:tcPr>
          <w:p w14:paraId="50A6317F">
            <w:pPr>
              <w:pStyle w:val="12"/>
              <w:rPr>
                <w:rFonts w:hint="default" w:ascii="Times New Roman" w:hAnsi="Times New Roman" w:cs="Times New Roman" w:eastAsiaTheme="minorEastAsia"/>
                <w:sz w:val="21"/>
                <w:szCs w:val="21"/>
                <w:u w:val="none" w:color="auto"/>
              </w:rPr>
            </w:pPr>
          </w:p>
        </w:tc>
        <w:tc>
          <w:tcPr>
            <w:tcW w:w="1173" w:type="dxa"/>
            <w:vAlign w:val="top"/>
          </w:tcPr>
          <w:p w14:paraId="6586718C">
            <w:pPr>
              <w:pStyle w:val="12"/>
              <w:rPr>
                <w:rFonts w:hint="default" w:ascii="Times New Roman" w:hAnsi="Times New Roman" w:cs="Times New Roman" w:eastAsiaTheme="minorEastAsia"/>
                <w:sz w:val="21"/>
                <w:szCs w:val="21"/>
                <w:u w:val="none" w:color="auto"/>
              </w:rPr>
            </w:pPr>
          </w:p>
        </w:tc>
      </w:tr>
    </w:tbl>
    <w:p w14:paraId="0BF5649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 ：本表反映部门本年度政府性基金预算财政拨款收入、支出及结转和结余情况。 </w:t>
      </w:r>
    </w:p>
    <w:p w14:paraId="52401E8A">
      <w:pPr>
        <w:jc w:val="center"/>
        <w:rPr>
          <w:rFonts w:hint="default" w:ascii="Times New Roman" w:hAnsi="Times New Roman" w:eastAsia="黑体" w:cs="Times New Roman"/>
          <w:spacing w:val="0"/>
          <w:w w:val="100"/>
          <w:position w:val="0"/>
          <w:sz w:val="32"/>
          <w:szCs w:val="32"/>
          <w:u w:val="none" w:color="auto"/>
          <w:lang w:val="en-US" w:eastAsia="zh-CN"/>
        </w:rPr>
      </w:pPr>
      <w:r>
        <w:rPr>
          <w:rFonts w:hint="eastAsia" w:ascii="Times New Roman" w:hAnsi="Times New Roman" w:eastAsia="黑体" w:cs="Times New Roman"/>
          <w:spacing w:val="0"/>
          <w:w w:val="100"/>
          <w:position w:val="0"/>
          <w:sz w:val="32"/>
          <w:szCs w:val="32"/>
          <w:u w:val="none" w:color="auto"/>
          <w:lang w:val="en-US" w:eastAsia="zh-CN"/>
        </w:rPr>
        <w:t>（此表无数据）</w:t>
      </w:r>
    </w:p>
    <w:p w14:paraId="6D23A7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69A35E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6EE6FE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43E16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B6FC9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EFC62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F80247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0DD9E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D4352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BFA98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2D4F1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22D9E6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1D63303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60221C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AF5A5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年度国有资本经营预算财政拨款支出决算表</w:t>
      </w:r>
    </w:p>
    <w:p w14:paraId="65E6BFDC">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公开08表</w:t>
      </w:r>
    </w:p>
    <w:p w14:paraId="02659A3D">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部门：</w:t>
      </w: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武汉市光谷第二十六小学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单位：万元</w:t>
      </w:r>
    </w:p>
    <w:tbl>
      <w:tblPr>
        <w:tblStyle w:val="11"/>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14:paraId="11280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14:paraId="0F271492">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       目</w:t>
            </w:r>
          </w:p>
        </w:tc>
        <w:tc>
          <w:tcPr>
            <w:tcW w:w="6589" w:type="dxa"/>
            <w:gridSpan w:val="3"/>
            <w:vAlign w:val="center"/>
          </w:tcPr>
          <w:p w14:paraId="4069E7FD">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本年支出</w:t>
            </w:r>
          </w:p>
        </w:tc>
      </w:tr>
      <w:tr w14:paraId="79AF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14:paraId="5638E110">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功能分类</w:t>
            </w:r>
          </w:p>
          <w:p w14:paraId="627FFC5E">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科目编码</w:t>
            </w:r>
          </w:p>
        </w:tc>
        <w:tc>
          <w:tcPr>
            <w:tcW w:w="1128" w:type="dxa"/>
            <w:vAlign w:val="center"/>
          </w:tcPr>
          <w:p w14:paraId="10386763">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科目名称</w:t>
            </w:r>
          </w:p>
        </w:tc>
        <w:tc>
          <w:tcPr>
            <w:tcW w:w="2129" w:type="dxa"/>
            <w:vAlign w:val="center"/>
          </w:tcPr>
          <w:p w14:paraId="06E44D3C">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2272" w:type="dxa"/>
            <w:vAlign w:val="center"/>
          </w:tcPr>
          <w:p w14:paraId="4D6E730E">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基本支出</w:t>
            </w:r>
          </w:p>
        </w:tc>
        <w:tc>
          <w:tcPr>
            <w:tcW w:w="2188" w:type="dxa"/>
            <w:vAlign w:val="center"/>
          </w:tcPr>
          <w:p w14:paraId="6B0F5E79">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项目支出</w:t>
            </w:r>
          </w:p>
        </w:tc>
      </w:tr>
      <w:tr w14:paraId="66620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14:paraId="55BD3296">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类</w:t>
            </w:r>
          </w:p>
        </w:tc>
        <w:tc>
          <w:tcPr>
            <w:tcW w:w="392" w:type="dxa"/>
            <w:vMerge w:val="restart"/>
            <w:tcBorders>
              <w:bottom w:val="nil"/>
            </w:tcBorders>
            <w:vAlign w:val="center"/>
          </w:tcPr>
          <w:p w14:paraId="2C85276F">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款</w:t>
            </w:r>
          </w:p>
        </w:tc>
        <w:tc>
          <w:tcPr>
            <w:tcW w:w="410" w:type="dxa"/>
            <w:vMerge w:val="restart"/>
            <w:tcBorders>
              <w:bottom w:val="nil"/>
            </w:tcBorders>
            <w:vAlign w:val="center"/>
          </w:tcPr>
          <w:p w14:paraId="2DF09833">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项</w:t>
            </w:r>
          </w:p>
        </w:tc>
        <w:tc>
          <w:tcPr>
            <w:tcW w:w="1128" w:type="dxa"/>
            <w:vAlign w:val="center"/>
          </w:tcPr>
          <w:p w14:paraId="6A21731C">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栏次</w:t>
            </w:r>
          </w:p>
        </w:tc>
        <w:tc>
          <w:tcPr>
            <w:tcW w:w="2129" w:type="dxa"/>
            <w:vAlign w:val="center"/>
          </w:tcPr>
          <w:p w14:paraId="36B12CE3">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w:t>
            </w:r>
          </w:p>
        </w:tc>
        <w:tc>
          <w:tcPr>
            <w:tcW w:w="2272" w:type="dxa"/>
            <w:vAlign w:val="center"/>
          </w:tcPr>
          <w:p w14:paraId="7A1D661E">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2</w:t>
            </w:r>
          </w:p>
        </w:tc>
        <w:tc>
          <w:tcPr>
            <w:tcW w:w="2188" w:type="dxa"/>
            <w:vAlign w:val="center"/>
          </w:tcPr>
          <w:p w14:paraId="0F1AE475">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3</w:t>
            </w:r>
          </w:p>
        </w:tc>
      </w:tr>
      <w:tr w14:paraId="71911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14:paraId="57A672B5">
            <w:pPr>
              <w:pStyle w:val="12"/>
              <w:jc w:val="center"/>
              <w:rPr>
                <w:rFonts w:hint="default" w:ascii="Times New Roman" w:hAnsi="Times New Roman" w:cs="Times New Roman" w:eastAsiaTheme="minorEastAsia"/>
                <w:sz w:val="21"/>
                <w:szCs w:val="21"/>
                <w:u w:val="none" w:color="auto"/>
              </w:rPr>
            </w:pPr>
          </w:p>
        </w:tc>
        <w:tc>
          <w:tcPr>
            <w:tcW w:w="392" w:type="dxa"/>
            <w:vMerge w:val="continue"/>
            <w:tcBorders>
              <w:top w:val="nil"/>
            </w:tcBorders>
            <w:vAlign w:val="center"/>
          </w:tcPr>
          <w:p w14:paraId="03B6F7EA">
            <w:pPr>
              <w:pStyle w:val="12"/>
              <w:jc w:val="center"/>
              <w:rPr>
                <w:rFonts w:hint="default" w:ascii="Times New Roman" w:hAnsi="Times New Roman" w:cs="Times New Roman" w:eastAsiaTheme="minorEastAsia"/>
                <w:sz w:val="21"/>
                <w:szCs w:val="21"/>
                <w:u w:val="none" w:color="auto"/>
              </w:rPr>
            </w:pPr>
          </w:p>
        </w:tc>
        <w:tc>
          <w:tcPr>
            <w:tcW w:w="410" w:type="dxa"/>
            <w:vMerge w:val="continue"/>
            <w:tcBorders>
              <w:top w:val="nil"/>
            </w:tcBorders>
            <w:vAlign w:val="center"/>
          </w:tcPr>
          <w:p w14:paraId="177CEFA5">
            <w:pPr>
              <w:pStyle w:val="12"/>
              <w:jc w:val="center"/>
              <w:rPr>
                <w:rFonts w:hint="default" w:ascii="Times New Roman" w:hAnsi="Times New Roman" w:cs="Times New Roman" w:eastAsiaTheme="minorEastAsia"/>
                <w:sz w:val="21"/>
                <w:szCs w:val="21"/>
                <w:u w:val="none" w:color="auto"/>
              </w:rPr>
            </w:pPr>
          </w:p>
        </w:tc>
        <w:tc>
          <w:tcPr>
            <w:tcW w:w="1128" w:type="dxa"/>
            <w:vAlign w:val="center"/>
          </w:tcPr>
          <w:p w14:paraId="10377BBB">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2129" w:type="dxa"/>
            <w:vAlign w:val="center"/>
          </w:tcPr>
          <w:p w14:paraId="4DBBEE09">
            <w:pPr>
              <w:pStyle w:val="12"/>
              <w:jc w:val="center"/>
              <w:rPr>
                <w:rFonts w:hint="default" w:ascii="Times New Roman" w:hAnsi="Times New Roman" w:cs="Times New Roman" w:eastAsiaTheme="minorEastAsia"/>
                <w:sz w:val="21"/>
                <w:szCs w:val="21"/>
                <w:u w:val="none" w:color="auto"/>
              </w:rPr>
            </w:pPr>
          </w:p>
        </w:tc>
        <w:tc>
          <w:tcPr>
            <w:tcW w:w="2272" w:type="dxa"/>
            <w:vAlign w:val="center"/>
          </w:tcPr>
          <w:p w14:paraId="725A3391">
            <w:pPr>
              <w:pStyle w:val="12"/>
              <w:jc w:val="center"/>
              <w:rPr>
                <w:rFonts w:hint="default" w:ascii="Times New Roman" w:hAnsi="Times New Roman" w:cs="Times New Roman" w:eastAsiaTheme="minorEastAsia"/>
                <w:sz w:val="21"/>
                <w:szCs w:val="21"/>
                <w:u w:val="none" w:color="auto"/>
              </w:rPr>
            </w:pPr>
          </w:p>
        </w:tc>
        <w:tc>
          <w:tcPr>
            <w:tcW w:w="2188" w:type="dxa"/>
            <w:vAlign w:val="center"/>
          </w:tcPr>
          <w:p w14:paraId="082FF3C2">
            <w:pPr>
              <w:pStyle w:val="12"/>
              <w:jc w:val="center"/>
              <w:rPr>
                <w:rFonts w:hint="default" w:ascii="Times New Roman" w:hAnsi="Times New Roman" w:cs="Times New Roman" w:eastAsiaTheme="minorEastAsia"/>
                <w:sz w:val="21"/>
                <w:szCs w:val="21"/>
                <w:u w:val="none" w:color="auto"/>
              </w:rPr>
            </w:pPr>
          </w:p>
        </w:tc>
      </w:tr>
      <w:tr w14:paraId="4A39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173675E4">
            <w:pPr>
              <w:pStyle w:val="12"/>
              <w:rPr>
                <w:rFonts w:hint="default" w:ascii="Times New Roman" w:hAnsi="Times New Roman" w:cs="Times New Roman"/>
                <w:u w:val="none" w:color="auto"/>
              </w:rPr>
            </w:pPr>
          </w:p>
        </w:tc>
        <w:tc>
          <w:tcPr>
            <w:tcW w:w="1128" w:type="dxa"/>
            <w:vAlign w:val="top"/>
          </w:tcPr>
          <w:p w14:paraId="2C37C4B8">
            <w:pPr>
              <w:pStyle w:val="12"/>
              <w:rPr>
                <w:rFonts w:hint="default" w:ascii="Times New Roman" w:hAnsi="Times New Roman" w:cs="Times New Roman"/>
                <w:u w:val="none" w:color="auto"/>
              </w:rPr>
            </w:pPr>
          </w:p>
        </w:tc>
        <w:tc>
          <w:tcPr>
            <w:tcW w:w="2129" w:type="dxa"/>
            <w:vAlign w:val="top"/>
          </w:tcPr>
          <w:p w14:paraId="67AF507F">
            <w:pPr>
              <w:pStyle w:val="12"/>
              <w:rPr>
                <w:rFonts w:hint="default" w:ascii="Times New Roman" w:hAnsi="Times New Roman" w:cs="Times New Roman"/>
                <w:u w:val="none" w:color="auto"/>
              </w:rPr>
            </w:pPr>
          </w:p>
        </w:tc>
        <w:tc>
          <w:tcPr>
            <w:tcW w:w="2272" w:type="dxa"/>
            <w:vAlign w:val="top"/>
          </w:tcPr>
          <w:p w14:paraId="19D299D9">
            <w:pPr>
              <w:pStyle w:val="12"/>
              <w:rPr>
                <w:rFonts w:hint="default" w:ascii="Times New Roman" w:hAnsi="Times New Roman" w:cs="Times New Roman"/>
                <w:u w:val="none" w:color="auto"/>
              </w:rPr>
            </w:pPr>
          </w:p>
        </w:tc>
        <w:tc>
          <w:tcPr>
            <w:tcW w:w="2188" w:type="dxa"/>
            <w:vAlign w:val="top"/>
          </w:tcPr>
          <w:p w14:paraId="32A8DE11">
            <w:pPr>
              <w:pStyle w:val="12"/>
              <w:rPr>
                <w:rFonts w:hint="default" w:ascii="Times New Roman" w:hAnsi="Times New Roman" w:cs="Times New Roman"/>
                <w:u w:val="none" w:color="auto"/>
              </w:rPr>
            </w:pPr>
          </w:p>
        </w:tc>
      </w:tr>
      <w:tr w14:paraId="2BBE6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7AAEADA2">
            <w:pPr>
              <w:pStyle w:val="12"/>
              <w:rPr>
                <w:rFonts w:hint="default" w:ascii="Times New Roman" w:hAnsi="Times New Roman" w:cs="Times New Roman"/>
                <w:u w:val="none" w:color="auto"/>
              </w:rPr>
            </w:pPr>
          </w:p>
        </w:tc>
        <w:tc>
          <w:tcPr>
            <w:tcW w:w="1128" w:type="dxa"/>
            <w:vAlign w:val="top"/>
          </w:tcPr>
          <w:p w14:paraId="1408B677">
            <w:pPr>
              <w:pStyle w:val="12"/>
              <w:rPr>
                <w:rFonts w:hint="default" w:ascii="Times New Roman" w:hAnsi="Times New Roman" w:cs="Times New Roman"/>
                <w:u w:val="none" w:color="auto"/>
              </w:rPr>
            </w:pPr>
          </w:p>
        </w:tc>
        <w:tc>
          <w:tcPr>
            <w:tcW w:w="2129" w:type="dxa"/>
            <w:vAlign w:val="top"/>
          </w:tcPr>
          <w:p w14:paraId="6E1744AB">
            <w:pPr>
              <w:pStyle w:val="12"/>
              <w:rPr>
                <w:rFonts w:hint="default" w:ascii="Times New Roman" w:hAnsi="Times New Roman" w:cs="Times New Roman"/>
                <w:u w:val="none" w:color="auto"/>
              </w:rPr>
            </w:pPr>
          </w:p>
        </w:tc>
        <w:tc>
          <w:tcPr>
            <w:tcW w:w="2272" w:type="dxa"/>
            <w:vAlign w:val="top"/>
          </w:tcPr>
          <w:p w14:paraId="46073445">
            <w:pPr>
              <w:pStyle w:val="12"/>
              <w:rPr>
                <w:rFonts w:hint="default" w:ascii="Times New Roman" w:hAnsi="Times New Roman" w:cs="Times New Roman"/>
                <w:u w:val="none" w:color="auto"/>
              </w:rPr>
            </w:pPr>
          </w:p>
        </w:tc>
        <w:tc>
          <w:tcPr>
            <w:tcW w:w="2188" w:type="dxa"/>
            <w:vAlign w:val="top"/>
          </w:tcPr>
          <w:p w14:paraId="55F9CDCC">
            <w:pPr>
              <w:pStyle w:val="12"/>
              <w:rPr>
                <w:rFonts w:hint="default" w:ascii="Times New Roman" w:hAnsi="Times New Roman" w:cs="Times New Roman"/>
                <w:u w:val="none" w:color="auto"/>
              </w:rPr>
            </w:pPr>
          </w:p>
        </w:tc>
      </w:tr>
      <w:tr w14:paraId="36415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14:paraId="3F3B922B">
            <w:pPr>
              <w:pStyle w:val="12"/>
              <w:rPr>
                <w:rFonts w:hint="default" w:ascii="Times New Roman" w:hAnsi="Times New Roman" w:cs="Times New Roman"/>
                <w:u w:val="none" w:color="auto"/>
              </w:rPr>
            </w:pPr>
          </w:p>
        </w:tc>
        <w:tc>
          <w:tcPr>
            <w:tcW w:w="1128" w:type="dxa"/>
            <w:vAlign w:val="top"/>
          </w:tcPr>
          <w:p w14:paraId="0A591EAE">
            <w:pPr>
              <w:pStyle w:val="12"/>
              <w:rPr>
                <w:rFonts w:hint="default" w:ascii="Times New Roman" w:hAnsi="Times New Roman" w:cs="Times New Roman"/>
                <w:u w:val="none" w:color="auto"/>
              </w:rPr>
            </w:pPr>
          </w:p>
        </w:tc>
        <w:tc>
          <w:tcPr>
            <w:tcW w:w="2129" w:type="dxa"/>
            <w:vAlign w:val="top"/>
          </w:tcPr>
          <w:p w14:paraId="2948ACDB">
            <w:pPr>
              <w:pStyle w:val="12"/>
              <w:rPr>
                <w:rFonts w:hint="default" w:ascii="Times New Roman" w:hAnsi="Times New Roman" w:cs="Times New Roman"/>
                <w:u w:val="none" w:color="auto"/>
              </w:rPr>
            </w:pPr>
          </w:p>
        </w:tc>
        <w:tc>
          <w:tcPr>
            <w:tcW w:w="2272" w:type="dxa"/>
            <w:vAlign w:val="top"/>
          </w:tcPr>
          <w:p w14:paraId="0F1B9A8A">
            <w:pPr>
              <w:pStyle w:val="12"/>
              <w:rPr>
                <w:rFonts w:hint="default" w:ascii="Times New Roman" w:hAnsi="Times New Roman" w:cs="Times New Roman"/>
                <w:u w:val="none" w:color="auto"/>
              </w:rPr>
            </w:pPr>
          </w:p>
        </w:tc>
        <w:tc>
          <w:tcPr>
            <w:tcW w:w="2188" w:type="dxa"/>
            <w:vAlign w:val="top"/>
          </w:tcPr>
          <w:p w14:paraId="17240ED0">
            <w:pPr>
              <w:pStyle w:val="12"/>
              <w:rPr>
                <w:rFonts w:hint="default" w:ascii="Times New Roman" w:hAnsi="Times New Roman" w:cs="Times New Roman"/>
                <w:u w:val="none" w:color="auto"/>
              </w:rPr>
            </w:pPr>
          </w:p>
        </w:tc>
      </w:tr>
      <w:tr w14:paraId="34D3C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14:paraId="09F7E067">
            <w:pPr>
              <w:pStyle w:val="12"/>
              <w:rPr>
                <w:rFonts w:hint="default" w:ascii="Times New Roman" w:hAnsi="Times New Roman" w:cs="Times New Roman"/>
                <w:u w:val="none" w:color="auto"/>
              </w:rPr>
            </w:pPr>
          </w:p>
        </w:tc>
        <w:tc>
          <w:tcPr>
            <w:tcW w:w="1128" w:type="dxa"/>
            <w:vAlign w:val="top"/>
          </w:tcPr>
          <w:p w14:paraId="498A4E8A">
            <w:pPr>
              <w:pStyle w:val="12"/>
              <w:rPr>
                <w:rFonts w:hint="default" w:ascii="Times New Roman" w:hAnsi="Times New Roman" w:cs="Times New Roman"/>
                <w:u w:val="none" w:color="auto"/>
              </w:rPr>
            </w:pPr>
          </w:p>
        </w:tc>
        <w:tc>
          <w:tcPr>
            <w:tcW w:w="2129" w:type="dxa"/>
            <w:vAlign w:val="top"/>
          </w:tcPr>
          <w:p w14:paraId="0FF7AB62">
            <w:pPr>
              <w:pStyle w:val="12"/>
              <w:rPr>
                <w:rFonts w:hint="default" w:ascii="Times New Roman" w:hAnsi="Times New Roman" w:cs="Times New Roman"/>
                <w:u w:val="none" w:color="auto"/>
              </w:rPr>
            </w:pPr>
          </w:p>
        </w:tc>
        <w:tc>
          <w:tcPr>
            <w:tcW w:w="2272" w:type="dxa"/>
            <w:vAlign w:val="top"/>
          </w:tcPr>
          <w:p w14:paraId="3AC3045A">
            <w:pPr>
              <w:pStyle w:val="12"/>
              <w:rPr>
                <w:rFonts w:hint="default" w:ascii="Times New Roman" w:hAnsi="Times New Roman" w:cs="Times New Roman"/>
                <w:u w:val="none" w:color="auto"/>
              </w:rPr>
            </w:pPr>
          </w:p>
        </w:tc>
        <w:tc>
          <w:tcPr>
            <w:tcW w:w="2188" w:type="dxa"/>
            <w:vAlign w:val="top"/>
          </w:tcPr>
          <w:p w14:paraId="4A416EBC">
            <w:pPr>
              <w:pStyle w:val="12"/>
              <w:rPr>
                <w:rFonts w:hint="default" w:ascii="Times New Roman" w:hAnsi="Times New Roman" w:cs="Times New Roman"/>
                <w:u w:val="none" w:color="auto"/>
              </w:rPr>
            </w:pPr>
          </w:p>
        </w:tc>
      </w:tr>
      <w:tr w14:paraId="2042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14:paraId="60159F2B">
            <w:pPr>
              <w:pStyle w:val="12"/>
              <w:rPr>
                <w:rFonts w:hint="default" w:ascii="Times New Roman" w:hAnsi="Times New Roman" w:cs="Times New Roman"/>
                <w:u w:val="none" w:color="auto"/>
              </w:rPr>
            </w:pPr>
          </w:p>
        </w:tc>
        <w:tc>
          <w:tcPr>
            <w:tcW w:w="1128" w:type="dxa"/>
            <w:vAlign w:val="top"/>
          </w:tcPr>
          <w:p w14:paraId="440ACCBC">
            <w:pPr>
              <w:pStyle w:val="12"/>
              <w:rPr>
                <w:rFonts w:hint="default" w:ascii="Times New Roman" w:hAnsi="Times New Roman" w:cs="Times New Roman"/>
                <w:u w:val="none" w:color="auto"/>
              </w:rPr>
            </w:pPr>
          </w:p>
        </w:tc>
        <w:tc>
          <w:tcPr>
            <w:tcW w:w="2129" w:type="dxa"/>
            <w:vAlign w:val="top"/>
          </w:tcPr>
          <w:p w14:paraId="3B157895">
            <w:pPr>
              <w:pStyle w:val="12"/>
              <w:rPr>
                <w:rFonts w:hint="default" w:ascii="Times New Roman" w:hAnsi="Times New Roman" w:cs="Times New Roman"/>
                <w:u w:val="none" w:color="auto"/>
              </w:rPr>
            </w:pPr>
          </w:p>
        </w:tc>
        <w:tc>
          <w:tcPr>
            <w:tcW w:w="2272" w:type="dxa"/>
            <w:vAlign w:val="top"/>
          </w:tcPr>
          <w:p w14:paraId="201835E7">
            <w:pPr>
              <w:pStyle w:val="12"/>
              <w:rPr>
                <w:rFonts w:hint="default" w:ascii="Times New Roman" w:hAnsi="Times New Roman" w:cs="Times New Roman"/>
                <w:u w:val="none" w:color="auto"/>
              </w:rPr>
            </w:pPr>
          </w:p>
        </w:tc>
        <w:tc>
          <w:tcPr>
            <w:tcW w:w="2188" w:type="dxa"/>
            <w:vAlign w:val="top"/>
          </w:tcPr>
          <w:p w14:paraId="3B800A70">
            <w:pPr>
              <w:pStyle w:val="12"/>
              <w:rPr>
                <w:rFonts w:hint="default" w:ascii="Times New Roman" w:hAnsi="Times New Roman" w:cs="Times New Roman"/>
                <w:u w:val="none" w:color="auto"/>
              </w:rPr>
            </w:pPr>
          </w:p>
        </w:tc>
      </w:tr>
      <w:tr w14:paraId="1D56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14:paraId="2A6AEDDF">
            <w:pPr>
              <w:pStyle w:val="12"/>
              <w:rPr>
                <w:rFonts w:hint="default" w:ascii="Times New Roman" w:hAnsi="Times New Roman" w:cs="Times New Roman"/>
                <w:u w:val="none" w:color="auto"/>
              </w:rPr>
            </w:pPr>
          </w:p>
        </w:tc>
        <w:tc>
          <w:tcPr>
            <w:tcW w:w="1128" w:type="dxa"/>
            <w:vAlign w:val="top"/>
          </w:tcPr>
          <w:p w14:paraId="5E1F413D">
            <w:pPr>
              <w:pStyle w:val="12"/>
              <w:rPr>
                <w:rFonts w:hint="default" w:ascii="Times New Roman" w:hAnsi="Times New Roman" w:cs="Times New Roman"/>
                <w:u w:val="none" w:color="auto"/>
              </w:rPr>
            </w:pPr>
          </w:p>
        </w:tc>
        <w:tc>
          <w:tcPr>
            <w:tcW w:w="2129" w:type="dxa"/>
            <w:vAlign w:val="top"/>
          </w:tcPr>
          <w:p w14:paraId="71FD9EBF">
            <w:pPr>
              <w:pStyle w:val="12"/>
              <w:rPr>
                <w:rFonts w:hint="default" w:ascii="Times New Roman" w:hAnsi="Times New Roman" w:cs="Times New Roman"/>
                <w:u w:val="none" w:color="auto"/>
              </w:rPr>
            </w:pPr>
          </w:p>
        </w:tc>
        <w:tc>
          <w:tcPr>
            <w:tcW w:w="2272" w:type="dxa"/>
            <w:vAlign w:val="top"/>
          </w:tcPr>
          <w:p w14:paraId="21A19CDE">
            <w:pPr>
              <w:pStyle w:val="12"/>
              <w:rPr>
                <w:rFonts w:hint="default" w:ascii="Times New Roman" w:hAnsi="Times New Roman" w:cs="Times New Roman"/>
                <w:u w:val="none" w:color="auto"/>
              </w:rPr>
            </w:pPr>
          </w:p>
        </w:tc>
        <w:tc>
          <w:tcPr>
            <w:tcW w:w="2188" w:type="dxa"/>
            <w:vAlign w:val="top"/>
          </w:tcPr>
          <w:p w14:paraId="03975AF4">
            <w:pPr>
              <w:pStyle w:val="12"/>
              <w:rPr>
                <w:rFonts w:hint="default" w:ascii="Times New Roman" w:hAnsi="Times New Roman" w:cs="Times New Roman"/>
                <w:u w:val="none" w:color="auto"/>
              </w:rPr>
            </w:pPr>
          </w:p>
        </w:tc>
      </w:tr>
    </w:tbl>
    <w:p w14:paraId="7C22F2F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注：本表反映部门本年度国有资本经营预算财政拨款支出情况。</w:t>
      </w:r>
    </w:p>
    <w:p w14:paraId="2909F6C2">
      <w:pPr>
        <w:jc w:val="center"/>
        <w:rPr>
          <w:rFonts w:hint="default" w:ascii="Times New Roman" w:hAnsi="Times New Roman" w:eastAsia="黑体" w:cs="Times New Roman"/>
          <w:spacing w:val="0"/>
          <w:w w:val="100"/>
          <w:position w:val="0"/>
          <w:sz w:val="32"/>
          <w:szCs w:val="32"/>
          <w:u w:val="none" w:color="auto"/>
          <w:lang w:val="en-US" w:eastAsia="zh-CN"/>
        </w:rPr>
      </w:pPr>
      <w:r>
        <w:rPr>
          <w:rFonts w:hint="eastAsia" w:ascii="Times New Roman" w:hAnsi="Times New Roman" w:eastAsia="黑体" w:cs="Times New Roman"/>
          <w:spacing w:val="0"/>
          <w:w w:val="100"/>
          <w:position w:val="0"/>
          <w:sz w:val="32"/>
          <w:szCs w:val="32"/>
          <w:u w:val="none" w:color="auto"/>
          <w:lang w:val="en-US" w:eastAsia="zh-CN"/>
        </w:rPr>
        <w:t>（此表无数据）</w:t>
      </w:r>
    </w:p>
    <w:p w14:paraId="79BC5020">
      <w:pPr>
        <w:rPr>
          <w:rFonts w:hint="default"/>
          <w:u w:val="none" w:color="auto"/>
          <w:lang w:val="en-US" w:eastAsia="zh-CN"/>
        </w:rPr>
      </w:pPr>
    </w:p>
    <w:p w14:paraId="63DEE2E4">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C490E56">
      <w:pPr>
        <w:rPr>
          <w:rFonts w:hint="default" w:ascii="Times New Roman" w:hAnsi="Times New Roman" w:eastAsia="微软雅黑" w:cs="Times New Roman"/>
          <w:b/>
          <w:bCs/>
          <w:spacing w:val="-13"/>
          <w:w w:val="96"/>
          <w:sz w:val="33"/>
          <w:szCs w:val="33"/>
          <w:u w:val="none" w:color="auto"/>
        </w:rPr>
      </w:pPr>
      <w:r>
        <w:rPr>
          <w:rFonts w:hint="default" w:ascii="Times New Roman" w:hAnsi="Times New Roman" w:eastAsia="微软雅黑" w:cs="Times New Roman"/>
          <w:b/>
          <w:bCs/>
          <w:spacing w:val="-13"/>
          <w:w w:val="96"/>
          <w:sz w:val="33"/>
          <w:szCs w:val="33"/>
          <w:u w:val="none" w:color="auto"/>
        </w:rPr>
        <w:br w:type="page"/>
      </w:r>
    </w:p>
    <w:p w14:paraId="0C7AE9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年度财政拨款“ 三公 ”经费支出决算表</w:t>
      </w:r>
    </w:p>
    <w:p w14:paraId="6BDF26E3">
      <w:pPr>
        <w:pStyle w:val="8"/>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公开09表</w:t>
      </w:r>
    </w:p>
    <w:p w14:paraId="035FCCAF">
      <w:pPr>
        <w:pStyle w:val="8"/>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部门： </w:t>
      </w:r>
      <w:r>
        <w:rPr>
          <w:rFonts w:hint="eastAsia" w:ascii="Times New Roman" w:hAnsi="Times New Roman" w:cs="Times New Roman"/>
          <w:bCs/>
          <w:snapToGrid w:val="0"/>
          <w:color w:val="000000"/>
          <w:spacing w:val="0"/>
          <w:w w:val="100"/>
          <w:kern w:val="0"/>
          <w:position w:val="0"/>
          <w:sz w:val="28"/>
          <w:szCs w:val="28"/>
          <w:u w:val="none" w:color="auto"/>
          <w:lang w:val="en-US" w:eastAsia="zh-CN" w:bidi="ar-SA"/>
        </w:rPr>
        <w:t>武汉市光谷第二十六小学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单位：万元</w:t>
      </w:r>
    </w:p>
    <w:tbl>
      <w:tblPr>
        <w:tblStyle w:val="11"/>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14:paraId="363F4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14:paraId="70625E71">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预算数</w:t>
            </w:r>
          </w:p>
        </w:tc>
        <w:tc>
          <w:tcPr>
            <w:tcW w:w="4836" w:type="dxa"/>
            <w:gridSpan w:val="6"/>
            <w:vAlign w:val="center"/>
          </w:tcPr>
          <w:p w14:paraId="585FA63D">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决算数</w:t>
            </w:r>
          </w:p>
        </w:tc>
      </w:tr>
      <w:tr w14:paraId="2001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14:paraId="0BF9A1E3">
            <w:pPr>
              <w:pStyle w:val="12"/>
              <w:jc w:val="center"/>
              <w:rPr>
                <w:rFonts w:hint="default" w:ascii="Times New Roman" w:hAnsi="Times New Roman" w:cs="Times New Roman" w:eastAsiaTheme="minorEastAsia"/>
                <w:sz w:val="21"/>
                <w:szCs w:val="21"/>
                <w:u w:val="none" w:color="auto"/>
              </w:rPr>
            </w:pPr>
          </w:p>
          <w:p w14:paraId="4B95BB38">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1061" w:type="dxa"/>
            <w:vMerge w:val="restart"/>
            <w:tcBorders>
              <w:bottom w:val="nil"/>
            </w:tcBorders>
            <w:vAlign w:val="center"/>
          </w:tcPr>
          <w:p w14:paraId="446D286A">
            <w:pPr>
              <w:pStyle w:val="12"/>
              <w:jc w:val="center"/>
              <w:rPr>
                <w:rFonts w:hint="default" w:ascii="Times New Roman" w:hAnsi="Times New Roman" w:cs="Times New Roman" w:eastAsiaTheme="minorEastAsia"/>
                <w:sz w:val="21"/>
                <w:szCs w:val="21"/>
                <w:u w:val="none" w:color="auto"/>
              </w:rPr>
            </w:pPr>
          </w:p>
          <w:p w14:paraId="4A04DA04">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因公出国 （境）费</w:t>
            </w:r>
          </w:p>
        </w:tc>
        <w:tc>
          <w:tcPr>
            <w:tcW w:w="2805" w:type="dxa"/>
            <w:gridSpan w:val="3"/>
            <w:vAlign w:val="center"/>
          </w:tcPr>
          <w:p w14:paraId="2125CE7C">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公务用车购置及运行维护费</w:t>
            </w:r>
          </w:p>
        </w:tc>
        <w:tc>
          <w:tcPr>
            <w:tcW w:w="634" w:type="dxa"/>
            <w:vMerge w:val="restart"/>
            <w:tcBorders>
              <w:bottom w:val="nil"/>
            </w:tcBorders>
            <w:vAlign w:val="center"/>
          </w:tcPr>
          <w:p w14:paraId="33B3F810">
            <w:pPr>
              <w:pStyle w:val="12"/>
              <w:jc w:val="center"/>
              <w:rPr>
                <w:rFonts w:hint="default" w:ascii="Times New Roman" w:hAnsi="Times New Roman" w:cs="Times New Roman" w:eastAsiaTheme="minorEastAsia"/>
                <w:sz w:val="21"/>
                <w:szCs w:val="21"/>
                <w:u w:val="none" w:color="auto"/>
              </w:rPr>
            </w:pPr>
          </w:p>
          <w:p w14:paraId="15DDB48B">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公务接待费</w:t>
            </w:r>
          </w:p>
        </w:tc>
        <w:tc>
          <w:tcPr>
            <w:tcW w:w="450" w:type="dxa"/>
            <w:vMerge w:val="restart"/>
            <w:tcBorders>
              <w:bottom w:val="nil"/>
            </w:tcBorders>
            <w:vAlign w:val="center"/>
          </w:tcPr>
          <w:p w14:paraId="5BB9127B">
            <w:pPr>
              <w:pStyle w:val="12"/>
              <w:jc w:val="center"/>
              <w:rPr>
                <w:rFonts w:hint="default" w:ascii="Times New Roman" w:hAnsi="Times New Roman" w:cs="Times New Roman" w:eastAsiaTheme="minorEastAsia"/>
                <w:sz w:val="21"/>
                <w:szCs w:val="21"/>
                <w:u w:val="none" w:color="auto"/>
              </w:rPr>
            </w:pPr>
          </w:p>
          <w:p w14:paraId="531D8020">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合计</w:t>
            </w:r>
          </w:p>
        </w:tc>
        <w:tc>
          <w:tcPr>
            <w:tcW w:w="970" w:type="dxa"/>
            <w:vMerge w:val="restart"/>
            <w:tcBorders>
              <w:bottom w:val="nil"/>
            </w:tcBorders>
            <w:vAlign w:val="center"/>
          </w:tcPr>
          <w:p w14:paraId="661F5641">
            <w:pPr>
              <w:pStyle w:val="12"/>
              <w:jc w:val="center"/>
              <w:rPr>
                <w:rFonts w:hint="default" w:ascii="Times New Roman" w:hAnsi="Times New Roman" w:cs="Times New Roman" w:eastAsiaTheme="minorEastAsia"/>
                <w:sz w:val="21"/>
                <w:szCs w:val="21"/>
                <w:u w:val="none" w:color="auto"/>
              </w:rPr>
            </w:pPr>
          </w:p>
          <w:p w14:paraId="5B85E483">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因公出国 （境）费</w:t>
            </w:r>
          </w:p>
        </w:tc>
        <w:tc>
          <w:tcPr>
            <w:tcW w:w="2709" w:type="dxa"/>
            <w:gridSpan w:val="3"/>
            <w:vAlign w:val="center"/>
          </w:tcPr>
          <w:p w14:paraId="17582B09">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公务用车购置及运行维护费</w:t>
            </w:r>
          </w:p>
        </w:tc>
        <w:tc>
          <w:tcPr>
            <w:tcW w:w="707" w:type="dxa"/>
            <w:vMerge w:val="restart"/>
            <w:tcBorders>
              <w:bottom w:val="nil"/>
            </w:tcBorders>
            <w:vAlign w:val="center"/>
          </w:tcPr>
          <w:p w14:paraId="396D6E73">
            <w:pPr>
              <w:pStyle w:val="12"/>
              <w:jc w:val="center"/>
              <w:rPr>
                <w:rFonts w:hint="default" w:ascii="Times New Roman" w:hAnsi="Times New Roman" w:cs="Times New Roman" w:eastAsiaTheme="minorEastAsia"/>
                <w:sz w:val="21"/>
                <w:szCs w:val="21"/>
                <w:u w:val="none" w:color="auto"/>
              </w:rPr>
            </w:pPr>
          </w:p>
          <w:p w14:paraId="00F0F229">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公务接 待费</w:t>
            </w:r>
          </w:p>
        </w:tc>
      </w:tr>
      <w:tr w14:paraId="7593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14:paraId="36088A93">
            <w:pPr>
              <w:pStyle w:val="12"/>
              <w:jc w:val="center"/>
              <w:rPr>
                <w:rFonts w:hint="default" w:ascii="Times New Roman" w:hAnsi="Times New Roman" w:cs="Times New Roman" w:eastAsiaTheme="minorEastAsia"/>
                <w:sz w:val="21"/>
                <w:szCs w:val="21"/>
                <w:u w:val="none" w:color="auto"/>
              </w:rPr>
            </w:pPr>
          </w:p>
        </w:tc>
        <w:tc>
          <w:tcPr>
            <w:tcW w:w="1061" w:type="dxa"/>
            <w:vMerge w:val="continue"/>
            <w:tcBorders>
              <w:top w:val="nil"/>
            </w:tcBorders>
            <w:vAlign w:val="center"/>
          </w:tcPr>
          <w:p w14:paraId="24A958D4">
            <w:pPr>
              <w:pStyle w:val="12"/>
              <w:jc w:val="center"/>
              <w:rPr>
                <w:rFonts w:hint="default" w:ascii="Times New Roman" w:hAnsi="Times New Roman" w:cs="Times New Roman" w:eastAsiaTheme="minorEastAsia"/>
                <w:sz w:val="21"/>
                <w:szCs w:val="21"/>
                <w:u w:val="none" w:color="auto"/>
              </w:rPr>
            </w:pPr>
          </w:p>
        </w:tc>
        <w:tc>
          <w:tcPr>
            <w:tcW w:w="453" w:type="dxa"/>
            <w:vAlign w:val="center"/>
          </w:tcPr>
          <w:p w14:paraId="78DF46E4">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小计</w:t>
            </w:r>
          </w:p>
        </w:tc>
        <w:tc>
          <w:tcPr>
            <w:tcW w:w="1193" w:type="dxa"/>
            <w:vAlign w:val="center"/>
          </w:tcPr>
          <w:p w14:paraId="43DF58D4">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w:t>
            </w:r>
          </w:p>
          <w:p w14:paraId="47FBA821">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购置费</w:t>
            </w:r>
          </w:p>
        </w:tc>
        <w:tc>
          <w:tcPr>
            <w:tcW w:w="1159" w:type="dxa"/>
            <w:vAlign w:val="center"/>
          </w:tcPr>
          <w:p w14:paraId="6BF08E57">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w:t>
            </w:r>
          </w:p>
          <w:p w14:paraId="76CF6991">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运行维护费</w:t>
            </w:r>
          </w:p>
        </w:tc>
        <w:tc>
          <w:tcPr>
            <w:tcW w:w="634" w:type="dxa"/>
            <w:vMerge w:val="continue"/>
            <w:tcBorders>
              <w:top w:val="nil"/>
            </w:tcBorders>
            <w:vAlign w:val="center"/>
          </w:tcPr>
          <w:p w14:paraId="342CDD21">
            <w:pPr>
              <w:pStyle w:val="12"/>
              <w:jc w:val="center"/>
              <w:rPr>
                <w:rFonts w:hint="default" w:ascii="Times New Roman" w:hAnsi="Times New Roman" w:cs="Times New Roman" w:eastAsiaTheme="minorEastAsia"/>
                <w:sz w:val="21"/>
                <w:szCs w:val="21"/>
                <w:u w:val="none" w:color="auto"/>
              </w:rPr>
            </w:pPr>
          </w:p>
        </w:tc>
        <w:tc>
          <w:tcPr>
            <w:tcW w:w="450" w:type="dxa"/>
            <w:vMerge w:val="continue"/>
            <w:tcBorders>
              <w:top w:val="nil"/>
            </w:tcBorders>
            <w:vAlign w:val="center"/>
          </w:tcPr>
          <w:p w14:paraId="20FBF179">
            <w:pPr>
              <w:pStyle w:val="12"/>
              <w:jc w:val="center"/>
              <w:rPr>
                <w:rFonts w:hint="default" w:ascii="Times New Roman" w:hAnsi="Times New Roman" w:cs="Times New Roman" w:eastAsiaTheme="minorEastAsia"/>
                <w:sz w:val="21"/>
                <w:szCs w:val="21"/>
                <w:u w:val="none" w:color="auto"/>
              </w:rPr>
            </w:pPr>
          </w:p>
        </w:tc>
        <w:tc>
          <w:tcPr>
            <w:tcW w:w="970" w:type="dxa"/>
            <w:vMerge w:val="continue"/>
            <w:tcBorders>
              <w:top w:val="nil"/>
            </w:tcBorders>
            <w:vAlign w:val="center"/>
          </w:tcPr>
          <w:p w14:paraId="68E08E25">
            <w:pPr>
              <w:pStyle w:val="12"/>
              <w:jc w:val="center"/>
              <w:rPr>
                <w:rFonts w:hint="default" w:ascii="Times New Roman" w:hAnsi="Times New Roman" w:cs="Times New Roman" w:eastAsiaTheme="minorEastAsia"/>
                <w:sz w:val="21"/>
                <w:szCs w:val="21"/>
                <w:u w:val="none" w:color="auto"/>
              </w:rPr>
            </w:pPr>
          </w:p>
        </w:tc>
        <w:tc>
          <w:tcPr>
            <w:tcW w:w="641" w:type="dxa"/>
            <w:vAlign w:val="center"/>
          </w:tcPr>
          <w:p w14:paraId="3C481F97">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小计</w:t>
            </w:r>
          </w:p>
        </w:tc>
        <w:tc>
          <w:tcPr>
            <w:tcW w:w="887" w:type="dxa"/>
            <w:vAlign w:val="center"/>
          </w:tcPr>
          <w:p w14:paraId="6C06A8D7">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 购置费</w:t>
            </w:r>
          </w:p>
        </w:tc>
        <w:tc>
          <w:tcPr>
            <w:tcW w:w="1181" w:type="dxa"/>
            <w:vAlign w:val="center"/>
          </w:tcPr>
          <w:p w14:paraId="450F05B5">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公务用车   运行维护费</w:t>
            </w:r>
          </w:p>
        </w:tc>
        <w:tc>
          <w:tcPr>
            <w:tcW w:w="707" w:type="dxa"/>
            <w:vMerge w:val="continue"/>
            <w:tcBorders>
              <w:top w:val="nil"/>
            </w:tcBorders>
            <w:vAlign w:val="center"/>
          </w:tcPr>
          <w:p w14:paraId="72F337FF">
            <w:pPr>
              <w:pStyle w:val="12"/>
              <w:jc w:val="center"/>
              <w:rPr>
                <w:rFonts w:hint="default" w:ascii="Times New Roman" w:hAnsi="Times New Roman" w:cs="Times New Roman" w:eastAsiaTheme="minorEastAsia"/>
                <w:sz w:val="21"/>
                <w:szCs w:val="21"/>
                <w:u w:val="none" w:color="auto"/>
              </w:rPr>
            </w:pPr>
          </w:p>
        </w:tc>
      </w:tr>
      <w:tr w14:paraId="2B900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630" w:type="dxa"/>
            <w:vAlign w:val="center"/>
          </w:tcPr>
          <w:p w14:paraId="62C08162">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w:t>
            </w:r>
          </w:p>
        </w:tc>
        <w:tc>
          <w:tcPr>
            <w:tcW w:w="1061" w:type="dxa"/>
            <w:vAlign w:val="center"/>
          </w:tcPr>
          <w:p w14:paraId="4D4FBD52">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2</w:t>
            </w:r>
          </w:p>
        </w:tc>
        <w:tc>
          <w:tcPr>
            <w:tcW w:w="453" w:type="dxa"/>
            <w:vAlign w:val="center"/>
          </w:tcPr>
          <w:p w14:paraId="58CF3BB9">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3</w:t>
            </w:r>
          </w:p>
        </w:tc>
        <w:tc>
          <w:tcPr>
            <w:tcW w:w="1193" w:type="dxa"/>
            <w:vAlign w:val="center"/>
          </w:tcPr>
          <w:p w14:paraId="4D5F66E0">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4</w:t>
            </w:r>
          </w:p>
        </w:tc>
        <w:tc>
          <w:tcPr>
            <w:tcW w:w="1159" w:type="dxa"/>
            <w:vAlign w:val="center"/>
          </w:tcPr>
          <w:p w14:paraId="3DAA6531">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5</w:t>
            </w:r>
          </w:p>
        </w:tc>
        <w:tc>
          <w:tcPr>
            <w:tcW w:w="634" w:type="dxa"/>
            <w:vAlign w:val="center"/>
          </w:tcPr>
          <w:p w14:paraId="1E1080D6">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6</w:t>
            </w:r>
          </w:p>
        </w:tc>
        <w:tc>
          <w:tcPr>
            <w:tcW w:w="450" w:type="dxa"/>
            <w:vAlign w:val="center"/>
          </w:tcPr>
          <w:p w14:paraId="43FF884D">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7</w:t>
            </w:r>
          </w:p>
        </w:tc>
        <w:tc>
          <w:tcPr>
            <w:tcW w:w="970" w:type="dxa"/>
            <w:vAlign w:val="center"/>
          </w:tcPr>
          <w:p w14:paraId="1F8715B8">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8</w:t>
            </w:r>
          </w:p>
        </w:tc>
        <w:tc>
          <w:tcPr>
            <w:tcW w:w="641" w:type="dxa"/>
            <w:vAlign w:val="center"/>
          </w:tcPr>
          <w:p w14:paraId="1C81C72D">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9</w:t>
            </w:r>
          </w:p>
        </w:tc>
        <w:tc>
          <w:tcPr>
            <w:tcW w:w="887" w:type="dxa"/>
            <w:vAlign w:val="center"/>
          </w:tcPr>
          <w:p w14:paraId="58AC2AD0">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10</w:t>
            </w:r>
          </w:p>
        </w:tc>
        <w:tc>
          <w:tcPr>
            <w:tcW w:w="1181" w:type="dxa"/>
            <w:vAlign w:val="center"/>
          </w:tcPr>
          <w:p w14:paraId="237BF6F4">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11</w:t>
            </w:r>
          </w:p>
        </w:tc>
        <w:tc>
          <w:tcPr>
            <w:tcW w:w="707" w:type="dxa"/>
            <w:vAlign w:val="center"/>
          </w:tcPr>
          <w:p w14:paraId="70F32B00">
            <w:pPr>
              <w:pStyle w:val="12"/>
              <w:jc w:val="center"/>
              <w:rPr>
                <w:rFonts w:hint="default" w:ascii="Times New Roman" w:hAnsi="Times New Roman" w:cs="Times New Roman" w:eastAsiaTheme="minorEastAsia"/>
                <w:sz w:val="21"/>
                <w:szCs w:val="21"/>
                <w:u w:val="none" w:color="auto"/>
              </w:rPr>
            </w:pPr>
            <w:r>
              <w:rPr>
                <w:rFonts w:hint="default" w:ascii="Times New Roman" w:hAnsi="Times New Roman" w:cs="Times New Roman" w:eastAsiaTheme="minorEastAsia"/>
                <w:sz w:val="21"/>
                <w:szCs w:val="21"/>
                <w:u w:val="none" w:color="auto"/>
              </w:rPr>
              <w:t>12</w:t>
            </w:r>
          </w:p>
        </w:tc>
      </w:tr>
      <w:tr w14:paraId="2CBE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14:paraId="4F6989F4">
            <w:pPr>
              <w:pStyle w:val="12"/>
              <w:jc w:val="center"/>
              <w:rPr>
                <w:rFonts w:hint="default" w:ascii="Times New Roman" w:hAnsi="Times New Roman" w:cs="Times New Roman" w:eastAsiaTheme="minorEastAsia"/>
                <w:sz w:val="21"/>
                <w:szCs w:val="21"/>
                <w:u w:val="none" w:color="auto"/>
              </w:rPr>
            </w:pPr>
          </w:p>
        </w:tc>
        <w:tc>
          <w:tcPr>
            <w:tcW w:w="1061" w:type="dxa"/>
            <w:vAlign w:val="center"/>
          </w:tcPr>
          <w:p w14:paraId="1BEC06B6">
            <w:pPr>
              <w:pStyle w:val="12"/>
              <w:jc w:val="center"/>
              <w:rPr>
                <w:rFonts w:hint="default" w:ascii="Times New Roman" w:hAnsi="Times New Roman" w:cs="Times New Roman" w:eastAsiaTheme="minorEastAsia"/>
                <w:sz w:val="21"/>
                <w:szCs w:val="21"/>
                <w:u w:val="none" w:color="auto"/>
              </w:rPr>
            </w:pPr>
          </w:p>
        </w:tc>
        <w:tc>
          <w:tcPr>
            <w:tcW w:w="453" w:type="dxa"/>
            <w:vAlign w:val="center"/>
          </w:tcPr>
          <w:p w14:paraId="7BADBFE0">
            <w:pPr>
              <w:pStyle w:val="12"/>
              <w:jc w:val="center"/>
              <w:rPr>
                <w:rFonts w:hint="default" w:ascii="Times New Roman" w:hAnsi="Times New Roman" w:cs="Times New Roman" w:eastAsiaTheme="minorEastAsia"/>
                <w:sz w:val="21"/>
                <w:szCs w:val="21"/>
                <w:u w:val="none" w:color="auto"/>
              </w:rPr>
            </w:pPr>
          </w:p>
        </w:tc>
        <w:tc>
          <w:tcPr>
            <w:tcW w:w="1193" w:type="dxa"/>
            <w:vAlign w:val="center"/>
          </w:tcPr>
          <w:p w14:paraId="2485DC30">
            <w:pPr>
              <w:pStyle w:val="12"/>
              <w:jc w:val="center"/>
              <w:rPr>
                <w:rFonts w:hint="default" w:ascii="Times New Roman" w:hAnsi="Times New Roman" w:cs="Times New Roman" w:eastAsiaTheme="minorEastAsia"/>
                <w:sz w:val="21"/>
                <w:szCs w:val="21"/>
                <w:u w:val="none" w:color="auto"/>
              </w:rPr>
            </w:pPr>
          </w:p>
        </w:tc>
        <w:tc>
          <w:tcPr>
            <w:tcW w:w="1159" w:type="dxa"/>
            <w:vAlign w:val="center"/>
          </w:tcPr>
          <w:p w14:paraId="35BDEEF7">
            <w:pPr>
              <w:pStyle w:val="12"/>
              <w:jc w:val="center"/>
              <w:rPr>
                <w:rFonts w:hint="default" w:ascii="Times New Roman" w:hAnsi="Times New Roman" w:cs="Times New Roman" w:eastAsiaTheme="minorEastAsia"/>
                <w:sz w:val="21"/>
                <w:szCs w:val="21"/>
                <w:u w:val="none" w:color="auto"/>
              </w:rPr>
            </w:pPr>
          </w:p>
        </w:tc>
        <w:tc>
          <w:tcPr>
            <w:tcW w:w="634" w:type="dxa"/>
            <w:vAlign w:val="center"/>
          </w:tcPr>
          <w:p w14:paraId="360BA7A6">
            <w:pPr>
              <w:pStyle w:val="12"/>
              <w:jc w:val="center"/>
              <w:rPr>
                <w:rFonts w:hint="default" w:ascii="Times New Roman" w:hAnsi="Times New Roman" w:cs="Times New Roman" w:eastAsiaTheme="minorEastAsia"/>
                <w:sz w:val="21"/>
                <w:szCs w:val="21"/>
                <w:u w:val="none" w:color="auto"/>
              </w:rPr>
            </w:pPr>
          </w:p>
        </w:tc>
        <w:tc>
          <w:tcPr>
            <w:tcW w:w="450" w:type="dxa"/>
            <w:vAlign w:val="center"/>
          </w:tcPr>
          <w:p w14:paraId="24AC68B1">
            <w:pPr>
              <w:pStyle w:val="12"/>
              <w:jc w:val="center"/>
              <w:rPr>
                <w:rFonts w:hint="default" w:ascii="Times New Roman" w:hAnsi="Times New Roman" w:cs="Times New Roman" w:eastAsiaTheme="minorEastAsia"/>
                <w:sz w:val="21"/>
                <w:szCs w:val="21"/>
                <w:u w:val="none" w:color="auto"/>
              </w:rPr>
            </w:pPr>
          </w:p>
        </w:tc>
        <w:tc>
          <w:tcPr>
            <w:tcW w:w="970" w:type="dxa"/>
            <w:vAlign w:val="center"/>
          </w:tcPr>
          <w:p w14:paraId="4E43E2AA">
            <w:pPr>
              <w:pStyle w:val="12"/>
              <w:jc w:val="center"/>
              <w:rPr>
                <w:rFonts w:hint="default" w:ascii="Times New Roman" w:hAnsi="Times New Roman" w:cs="Times New Roman" w:eastAsiaTheme="minorEastAsia"/>
                <w:sz w:val="21"/>
                <w:szCs w:val="21"/>
                <w:u w:val="none" w:color="auto"/>
              </w:rPr>
            </w:pPr>
          </w:p>
        </w:tc>
        <w:tc>
          <w:tcPr>
            <w:tcW w:w="641" w:type="dxa"/>
            <w:vAlign w:val="center"/>
          </w:tcPr>
          <w:p w14:paraId="2974E925">
            <w:pPr>
              <w:pStyle w:val="12"/>
              <w:jc w:val="center"/>
              <w:rPr>
                <w:rFonts w:hint="default" w:ascii="Times New Roman" w:hAnsi="Times New Roman" w:cs="Times New Roman" w:eastAsiaTheme="minorEastAsia"/>
                <w:sz w:val="21"/>
                <w:szCs w:val="21"/>
                <w:u w:val="none" w:color="auto"/>
              </w:rPr>
            </w:pPr>
          </w:p>
        </w:tc>
        <w:tc>
          <w:tcPr>
            <w:tcW w:w="887" w:type="dxa"/>
            <w:vAlign w:val="center"/>
          </w:tcPr>
          <w:p w14:paraId="453B524D">
            <w:pPr>
              <w:pStyle w:val="12"/>
              <w:jc w:val="center"/>
              <w:rPr>
                <w:rFonts w:hint="default" w:ascii="Times New Roman" w:hAnsi="Times New Roman" w:cs="Times New Roman" w:eastAsiaTheme="minorEastAsia"/>
                <w:sz w:val="21"/>
                <w:szCs w:val="21"/>
                <w:u w:val="none" w:color="auto"/>
              </w:rPr>
            </w:pPr>
          </w:p>
        </w:tc>
        <w:tc>
          <w:tcPr>
            <w:tcW w:w="1181" w:type="dxa"/>
            <w:vAlign w:val="center"/>
          </w:tcPr>
          <w:p w14:paraId="7699C3B5">
            <w:pPr>
              <w:pStyle w:val="12"/>
              <w:jc w:val="center"/>
              <w:rPr>
                <w:rFonts w:hint="default" w:ascii="Times New Roman" w:hAnsi="Times New Roman" w:cs="Times New Roman" w:eastAsiaTheme="minorEastAsia"/>
                <w:sz w:val="21"/>
                <w:szCs w:val="21"/>
                <w:u w:val="none" w:color="auto"/>
              </w:rPr>
            </w:pPr>
          </w:p>
        </w:tc>
        <w:tc>
          <w:tcPr>
            <w:tcW w:w="707" w:type="dxa"/>
            <w:vAlign w:val="center"/>
          </w:tcPr>
          <w:p w14:paraId="317DE9EA">
            <w:pPr>
              <w:pStyle w:val="12"/>
              <w:jc w:val="center"/>
              <w:rPr>
                <w:rFonts w:hint="default" w:ascii="Times New Roman" w:hAnsi="Times New Roman" w:cs="Times New Roman" w:eastAsiaTheme="minorEastAsia"/>
                <w:sz w:val="21"/>
                <w:szCs w:val="21"/>
                <w:u w:val="none" w:color="auto"/>
              </w:rPr>
            </w:pPr>
          </w:p>
        </w:tc>
      </w:tr>
    </w:tbl>
    <w:p w14:paraId="5640C1A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14:paraId="4B370EE1">
      <w:pPr>
        <w:jc w:val="center"/>
        <w:rPr>
          <w:rFonts w:hint="default" w:ascii="Times New Roman" w:hAnsi="Times New Roman" w:eastAsia="黑体" w:cs="Times New Roman"/>
          <w:spacing w:val="0"/>
          <w:w w:val="100"/>
          <w:position w:val="0"/>
          <w:sz w:val="32"/>
          <w:szCs w:val="32"/>
          <w:u w:val="none" w:color="auto"/>
          <w:lang w:val="en-US" w:eastAsia="zh-CN"/>
        </w:rPr>
      </w:pPr>
      <w:r>
        <w:rPr>
          <w:rFonts w:hint="eastAsia" w:ascii="Times New Roman" w:hAnsi="Times New Roman" w:eastAsia="黑体" w:cs="Times New Roman"/>
          <w:spacing w:val="0"/>
          <w:w w:val="100"/>
          <w:position w:val="0"/>
          <w:sz w:val="32"/>
          <w:szCs w:val="32"/>
          <w:u w:val="none" w:color="auto"/>
          <w:lang w:val="en-US" w:eastAsia="zh-CN"/>
        </w:rPr>
        <w:t>（此表无数据）</w:t>
      </w:r>
    </w:p>
    <w:p w14:paraId="51C81B1E">
      <w:pPr>
        <w:rPr>
          <w:rFonts w:hint="default"/>
          <w:u w:val="none" w:color="auto"/>
          <w:lang w:val="en-US" w:eastAsia="zh-CN"/>
        </w:rPr>
      </w:pPr>
    </w:p>
    <w:p w14:paraId="30615845">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14007CB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u w:val="none" w:color="auto"/>
        </w:rPr>
      </w:pPr>
      <w:r>
        <w:rPr>
          <w:rFonts w:hint="eastAsia" w:ascii="Times New Roman" w:hAnsi="Times New Roman" w:eastAsia="方正小标宋_GBK" w:cs="Times New Roman"/>
          <w:spacing w:val="-23"/>
          <w:sz w:val="44"/>
          <w:szCs w:val="44"/>
          <w:u w:val="none" w:color="auto"/>
          <w:lang w:eastAsia="zh-CN"/>
        </w:rPr>
        <w:t>武汉市光谷第二十六小学</w:t>
      </w:r>
      <w:r>
        <w:rPr>
          <w:rFonts w:hint="default" w:ascii="Times New Roman" w:hAnsi="Times New Roman" w:eastAsia="方正小标宋_GBK" w:cs="Times New Roman"/>
          <w:spacing w:val="-23"/>
          <w:sz w:val="44"/>
          <w:szCs w:val="44"/>
          <w:u w:val="none" w:color="auto"/>
        </w:rPr>
        <w:t xml:space="preserve"> </w:t>
      </w:r>
      <w:r>
        <w:rPr>
          <w:rFonts w:hint="default" w:ascii="Times New Roman" w:hAnsi="Times New Roman" w:eastAsia="方正小标宋_GBK" w:cs="Times New Roman"/>
          <w:spacing w:val="-23"/>
          <w:sz w:val="44"/>
          <w:szCs w:val="44"/>
          <w:u w:val="none" w:color="auto"/>
        </w:rPr>
        <w:t>202</w:t>
      </w:r>
      <w:r>
        <w:rPr>
          <w:rFonts w:hint="eastAsia" w:ascii="Times New Roman" w:hAnsi="Times New Roman" w:eastAsia="方正小标宋_GBK" w:cs="Times New Roman"/>
          <w:spacing w:val="-23"/>
          <w:sz w:val="44"/>
          <w:szCs w:val="44"/>
          <w:u w:val="none" w:color="auto"/>
          <w:lang w:val="en-US" w:eastAsia="zh-CN"/>
        </w:rPr>
        <w:t>4</w:t>
      </w:r>
      <w:r>
        <w:rPr>
          <w:rFonts w:hint="default" w:ascii="Times New Roman" w:hAnsi="Times New Roman" w:eastAsia="方正小标宋_GBK" w:cs="Times New Roman"/>
          <w:spacing w:val="-23"/>
          <w:sz w:val="44"/>
          <w:szCs w:val="44"/>
          <w:u w:val="none" w:color="auto"/>
        </w:rPr>
        <w:t>年度 部门决算情况说明</w:t>
      </w:r>
    </w:p>
    <w:p w14:paraId="048899C8">
      <w:pPr>
        <w:rPr>
          <w:rFonts w:hint="default" w:ascii="Times New Roman" w:hAnsi="Times New Roman" w:cs="Times New Roman"/>
          <w:u w:val="none" w:color="auto"/>
        </w:rPr>
      </w:pPr>
    </w:p>
    <w:p w14:paraId="0382BD43">
      <w:pPr>
        <w:rPr>
          <w:rFonts w:hint="default" w:ascii="Times New Roman" w:hAnsi="Times New Roman" w:cs="Times New Roman"/>
          <w:u w:val="none" w:color="auto"/>
          <w:lang w:val="en-US" w:eastAsia="zh-CN"/>
        </w:rPr>
      </w:pPr>
    </w:p>
    <w:p w14:paraId="0D5B50F9">
      <w:pPr>
        <w:spacing w:before="10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一、收入支出决算总体情况说明</w:t>
      </w:r>
    </w:p>
    <w:p w14:paraId="10555D40">
      <w:pPr>
        <w:adjustRightInd w:val="0"/>
        <w:snapToGrid w:val="0"/>
        <w:spacing w:line="560" w:lineRule="atLeast"/>
        <w:ind w:firstLine="640" w:firstLineChars="200"/>
        <w:rPr>
          <w:rFonts w:hint="eastAsia" w:ascii="Times New Roman" w:hAnsi="Times New Roman" w:eastAsia="楷体_GB2312" w:cs="Times New Roman"/>
          <w:spacing w:val="3"/>
          <w:sz w:val="32"/>
          <w:szCs w:val="32"/>
          <w:u w:val="none" w:color="auto"/>
          <w:lang w:val="en-US" w:eastAsia="zh-CN"/>
        </w:rPr>
      </w:pPr>
      <w:r>
        <w:rPr>
          <w:rFonts w:hint="default" w:ascii="Times New Roman" w:hAnsi="Times New Roman" w:eastAsia="仿宋_GB2312" w:cs="Times New Roman"/>
          <w:snapToGrid w:val="0"/>
          <w:color w:val="000000"/>
          <w:kern w:val="0"/>
          <w:sz w:val="32"/>
          <w:szCs w:val="21"/>
          <w:u w:val="none" w:color="auto"/>
          <w:lang w:val="en-US" w:eastAsia="zh-CN" w:bidi="ar-SA"/>
        </w:rPr>
        <w:t>202</w:t>
      </w:r>
      <w:r>
        <w:rPr>
          <w:rFonts w:hint="eastAsia" w:ascii="Times New Roman" w:hAnsi="Times New Roman" w:eastAsia="仿宋_GB2312" w:cs="Times New Roman"/>
          <w:snapToGrid w:val="0"/>
          <w:color w:val="000000"/>
          <w:kern w:val="0"/>
          <w:sz w:val="32"/>
          <w:szCs w:val="21"/>
          <w:u w:val="none" w:color="auto"/>
          <w:lang w:val="en-US" w:eastAsia="zh-CN" w:bidi="ar-SA"/>
        </w:rPr>
        <w:t>4</w:t>
      </w:r>
      <w:r>
        <w:rPr>
          <w:rFonts w:hint="default" w:ascii="Times New Roman" w:hAnsi="Times New Roman" w:eastAsia="仿宋_GB2312" w:cs="Times New Roman"/>
          <w:snapToGrid w:val="0"/>
          <w:color w:val="000000"/>
          <w:kern w:val="0"/>
          <w:sz w:val="32"/>
          <w:szCs w:val="21"/>
          <w:u w:val="none" w:color="auto"/>
          <w:lang w:val="en-US" w:eastAsia="zh-CN" w:bidi="ar-SA"/>
        </w:rPr>
        <w:t xml:space="preserve"> 年度收、支总计</w:t>
      </w:r>
      <w:r>
        <w:rPr>
          <w:rFonts w:hint="eastAsia" w:ascii="Times New Roman" w:hAnsi="Times New Roman" w:eastAsia="仿宋_GB2312" w:cs="Times New Roman"/>
          <w:snapToGrid w:val="0"/>
          <w:color w:val="000000"/>
          <w:kern w:val="0"/>
          <w:sz w:val="32"/>
          <w:szCs w:val="21"/>
          <w:u w:val="none" w:color="auto"/>
          <w:lang w:val="en-US" w:eastAsia="zh-CN" w:bidi="ar-SA"/>
        </w:rPr>
        <w:t>4323.88</w:t>
      </w:r>
      <w:r>
        <w:rPr>
          <w:rFonts w:hint="default" w:ascii="Times New Roman" w:hAnsi="Times New Roman" w:eastAsia="仿宋_GB2312" w:cs="Times New Roman"/>
          <w:snapToGrid w:val="0"/>
          <w:color w:val="000000"/>
          <w:kern w:val="0"/>
          <w:sz w:val="32"/>
          <w:szCs w:val="21"/>
          <w:u w:val="none" w:color="auto"/>
          <w:lang w:val="en-US" w:eastAsia="zh-CN" w:bidi="ar-SA"/>
        </w:rPr>
        <w:t>万元。与 202</w:t>
      </w:r>
      <w:r>
        <w:rPr>
          <w:rFonts w:hint="eastAsia" w:ascii="Times New Roman" w:hAnsi="Times New Roman" w:eastAsia="仿宋_GB2312" w:cs="Times New Roman"/>
          <w:snapToGrid w:val="0"/>
          <w:color w:val="000000"/>
          <w:kern w:val="0"/>
          <w:sz w:val="32"/>
          <w:szCs w:val="21"/>
          <w:u w:val="none" w:color="auto"/>
          <w:lang w:val="en-US" w:eastAsia="zh-CN" w:bidi="ar-SA"/>
        </w:rPr>
        <w:t>3</w:t>
      </w:r>
      <w:r>
        <w:rPr>
          <w:rFonts w:hint="default" w:ascii="Times New Roman" w:hAnsi="Times New Roman" w:eastAsia="仿宋_GB2312" w:cs="Times New Roman"/>
          <w:snapToGrid w:val="0"/>
          <w:color w:val="000000"/>
          <w:kern w:val="0"/>
          <w:sz w:val="32"/>
          <w:szCs w:val="21"/>
          <w:u w:val="none" w:color="auto"/>
          <w:lang w:val="en-US" w:eastAsia="zh-CN" w:bidi="ar-SA"/>
        </w:rPr>
        <w:t xml:space="preserve"> 年度相比，收、 支总计各增加</w:t>
      </w:r>
      <w:r>
        <w:rPr>
          <w:rFonts w:hint="eastAsia" w:ascii="Times New Roman" w:hAnsi="Times New Roman" w:eastAsia="仿宋_GB2312" w:cs="Times New Roman"/>
          <w:snapToGrid w:val="0"/>
          <w:color w:val="000000"/>
          <w:kern w:val="0"/>
          <w:sz w:val="32"/>
          <w:szCs w:val="21"/>
          <w:u w:val="none" w:color="auto"/>
          <w:lang w:val="en-US" w:eastAsia="zh-CN" w:bidi="ar-SA"/>
        </w:rPr>
        <w:t>168.95</w:t>
      </w:r>
      <w:r>
        <w:rPr>
          <w:rFonts w:hint="default" w:ascii="Times New Roman" w:hAnsi="Times New Roman" w:eastAsia="仿宋_GB2312" w:cs="Times New Roman"/>
          <w:snapToGrid w:val="0"/>
          <w:color w:val="000000"/>
          <w:kern w:val="0"/>
          <w:sz w:val="32"/>
          <w:szCs w:val="21"/>
          <w:u w:val="none" w:color="auto"/>
          <w:lang w:val="en-US" w:eastAsia="zh-CN" w:bidi="ar-SA"/>
        </w:rPr>
        <w:t xml:space="preserve">万元，增长 </w:t>
      </w:r>
      <w:r>
        <w:rPr>
          <w:rFonts w:hint="eastAsia" w:ascii="Times New Roman" w:hAnsi="Times New Roman" w:eastAsia="仿宋_GB2312" w:cs="Times New Roman"/>
          <w:snapToGrid w:val="0"/>
          <w:color w:val="000000"/>
          <w:kern w:val="0"/>
          <w:sz w:val="32"/>
          <w:szCs w:val="21"/>
          <w:u w:val="none" w:color="auto"/>
          <w:lang w:val="en-US" w:eastAsia="zh-CN" w:bidi="ar-SA"/>
        </w:rPr>
        <w:t>8.5</w:t>
      </w:r>
      <w:r>
        <w:rPr>
          <w:rFonts w:hint="default" w:ascii="Times New Roman" w:hAnsi="Times New Roman" w:eastAsia="仿宋_GB2312" w:cs="Times New Roman"/>
          <w:snapToGrid w:val="0"/>
          <w:color w:val="000000"/>
          <w:kern w:val="0"/>
          <w:sz w:val="32"/>
          <w:szCs w:val="21"/>
          <w:u w:val="none" w:color="auto"/>
          <w:lang w:val="en-US" w:eastAsia="zh-CN" w:bidi="ar-SA"/>
        </w:rPr>
        <w:t xml:space="preserve"> %，</w:t>
      </w:r>
      <w:r>
        <w:rPr>
          <w:rFonts w:hint="default" w:ascii="Times New Roman" w:hAnsi="Times New Roman" w:eastAsia="仿宋_GB2312" w:cs="Times New Roman"/>
          <w:snapToGrid w:val="0"/>
          <w:color w:val="000000"/>
          <w:kern w:val="0"/>
          <w:sz w:val="32"/>
          <w:szCs w:val="21"/>
          <w:u w:val="none" w:color="auto"/>
          <w:lang w:val="en-US" w:eastAsia="zh-CN" w:bidi="ar-SA"/>
        </w:rPr>
        <w:t>主要原因是</w:t>
      </w:r>
      <w:r>
        <w:rPr>
          <w:rFonts w:hint="eastAsia" w:ascii="Times New Roman" w:hAnsi="Times New Roman" w:eastAsia="仿宋_GB2312" w:cs="Times New Roman"/>
          <w:snapToGrid w:val="0"/>
          <w:color w:val="000000"/>
          <w:kern w:val="0"/>
          <w:sz w:val="32"/>
          <w:szCs w:val="21"/>
          <w:u w:val="none" w:color="auto"/>
          <w:lang w:val="en-US" w:eastAsia="zh-CN" w:bidi="ar-SA"/>
        </w:rPr>
        <w:t>学</w:t>
      </w:r>
      <w:r>
        <w:rPr>
          <w:rFonts w:hint="default" w:ascii="Times New Roman" w:hAnsi="Times New Roman" w:eastAsia="仿宋_GB2312" w:cs="Times New Roman"/>
          <w:snapToGrid w:val="0"/>
          <w:color w:val="000000"/>
          <w:kern w:val="0"/>
          <w:sz w:val="32"/>
          <w:szCs w:val="21"/>
          <w:u w:val="none" w:color="auto"/>
          <w:lang w:val="en-US" w:eastAsia="zh-CN" w:bidi="ar-SA"/>
        </w:rPr>
        <w:t>生人数增长，人员经费和公用经费较上一年有一定幅度增长</w:t>
      </w:r>
      <w:r>
        <w:rPr>
          <w:rFonts w:hint="eastAsia" w:ascii="Times New Roman" w:hAnsi="Times New Roman" w:eastAsia="仿宋_GB2312" w:cs="Times New Roman"/>
          <w:snapToGrid w:val="0"/>
          <w:color w:val="000000"/>
          <w:kern w:val="0"/>
          <w:sz w:val="32"/>
          <w:szCs w:val="21"/>
          <w:u w:val="none" w:color="auto"/>
          <w:lang w:val="en-US" w:eastAsia="zh-CN" w:bidi="ar-SA"/>
        </w:rPr>
        <w:t>。</w:t>
      </w:r>
    </w:p>
    <w:p w14:paraId="289B6413">
      <w:pPr>
        <w:spacing w:before="294" w:line="222" w:lineRule="auto"/>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二、收入决算情况说明</w:t>
      </w:r>
    </w:p>
    <w:p w14:paraId="3A79B5ED">
      <w:pPr>
        <w:adjustRightInd w:val="0"/>
        <w:snapToGrid w:val="0"/>
        <w:spacing w:line="560" w:lineRule="atLeast"/>
        <w:ind w:firstLine="640" w:firstLineChars="200"/>
        <w:rPr>
          <w:rFonts w:hint="eastAsia" w:ascii="Times New Roman" w:hAnsi="Times New Roman" w:eastAsia="楷体_GB2312" w:cs="Times New Roman"/>
          <w:spacing w:val="3"/>
          <w:sz w:val="32"/>
          <w:szCs w:val="32"/>
          <w:u w:val="none" w:color="auto"/>
          <w:lang w:val="en-US" w:eastAsia="zh-CN"/>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年度收入合计</w:t>
      </w:r>
      <w:r>
        <w:rPr>
          <w:rFonts w:hint="eastAsia" w:ascii="仿宋_GB2312" w:hAnsi="仿宋_GB2312" w:eastAsia="仿宋_GB2312" w:cs="仿宋_GB2312"/>
          <w:bCs/>
          <w:kern w:val="44"/>
          <w:sz w:val="32"/>
          <w:szCs w:val="32"/>
          <w:highlight w:val="none"/>
          <w:u w:val="none" w:color="auto"/>
          <w:lang w:val="en-US" w:eastAsia="zh-CN"/>
        </w:rPr>
        <w:t>2161.94</w:t>
      </w:r>
      <w:r>
        <w:rPr>
          <w:rFonts w:hint="eastAsia" w:ascii="仿宋_GB2312" w:hAnsi="仿宋_GB2312" w:eastAsia="仿宋_GB2312" w:cs="仿宋_GB2312"/>
          <w:bCs/>
          <w:kern w:val="44"/>
          <w:sz w:val="32"/>
          <w:szCs w:val="32"/>
          <w:highlight w:val="none"/>
          <w:u w:val="none" w:color="auto"/>
        </w:rPr>
        <w:t>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bCs/>
          <w:sz w:val="32"/>
          <w:szCs w:val="32"/>
          <w:highlight w:val="none"/>
          <w:u w:val="none" w:color="auto"/>
          <w:lang w:val="en-US" w:eastAsia="zh-CN"/>
        </w:rPr>
        <w:t>与2023年度相比，收入合计增加168.95万元，增长8.5%，</w:t>
      </w:r>
      <w:r>
        <w:rPr>
          <w:rFonts w:hint="default" w:ascii="Times New Roman" w:hAnsi="Times New Roman" w:eastAsia="仿宋_GB2312" w:cs="Times New Roman"/>
          <w:snapToGrid w:val="0"/>
          <w:color w:val="000000"/>
          <w:kern w:val="0"/>
          <w:sz w:val="32"/>
          <w:szCs w:val="21"/>
          <w:u w:val="none" w:color="auto"/>
          <w:lang w:val="en-US" w:eastAsia="zh-CN" w:bidi="ar-SA"/>
        </w:rPr>
        <w:t>主要原因是</w:t>
      </w:r>
      <w:r>
        <w:rPr>
          <w:rFonts w:hint="eastAsia" w:ascii="Times New Roman" w:hAnsi="Times New Roman" w:eastAsia="仿宋_GB2312" w:cs="Times New Roman"/>
          <w:snapToGrid w:val="0"/>
          <w:color w:val="000000"/>
          <w:kern w:val="0"/>
          <w:sz w:val="32"/>
          <w:szCs w:val="21"/>
          <w:u w:val="none" w:color="auto"/>
          <w:lang w:val="en-US" w:eastAsia="zh-CN" w:bidi="ar-SA"/>
        </w:rPr>
        <w:t>学</w:t>
      </w:r>
      <w:r>
        <w:rPr>
          <w:rFonts w:hint="default" w:ascii="Times New Roman" w:hAnsi="Times New Roman" w:eastAsia="仿宋_GB2312" w:cs="Times New Roman"/>
          <w:snapToGrid w:val="0"/>
          <w:color w:val="000000"/>
          <w:kern w:val="0"/>
          <w:sz w:val="32"/>
          <w:szCs w:val="21"/>
          <w:u w:val="none" w:color="auto"/>
          <w:lang w:val="en-US" w:eastAsia="zh-CN" w:bidi="ar-SA"/>
        </w:rPr>
        <w:t>生人数增长，人员经费和公用经费较上一年有一定幅度增长</w:t>
      </w:r>
      <w:r>
        <w:rPr>
          <w:rFonts w:hint="eastAsia" w:ascii="Times New Roman" w:hAnsi="Times New Roman" w:eastAsia="仿宋_GB2312" w:cs="Times New Roman"/>
          <w:snapToGrid w:val="0"/>
          <w:color w:val="000000"/>
          <w:kern w:val="0"/>
          <w:sz w:val="32"/>
          <w:szCs w:val="21"/>
          <w:u w:val="none" w:color="auto"/>
          <w:lang w:val="en-US" w:eastAsia="zh-CN" w:bidi="ar-SA"/>
        </w:rPr>
        <w:t>。</w:t>
      </w:r>
    </w:p>
    <w:p w14:paraId="420CACDA">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cs="Times New Roman"/>
          <w:sz w:val="21"/>
          <w:u w:val="none" w:color="auto"/>
        </w:rPr>
      </w:pPr>
      <w:r>
        <w:rPr>
          <w:rFonts w:hint="eastAsia" w:ascii="仿宋_GB2312" w:hAnsi="仿宋_GB2312" w:eastAsia="仿宋_GB2312" w:cs="仿宋_GB2312"/>
          <w:bCs/>
          <w:kern w:val="44"/>
          <w:sz w:val="32"/>
          <w:szCs w:val="32"/>
          <w:highlight w:val="none"/>
          <w:u w:val="none" w:color="auto"/>
        </w:rPr>
        <w:t>其中：财政拨款收入</w:t>
      </w:r>
      <w:r>
        <w:rPr>
          <w:rFonts w:hint="eastAsia" w:ascii="仿宋_GB2312" w:hAnsi="仿宋_GB2312" w:eastAsia="仿宋_GB2312" w:cs="仿宋_GB2312"/>
          <w:bCs/>
          <w:kern w:val="44"/>
          <w:sz w:val="32"/>
          <w:szCs w:val="32"/>
          <w:highlight w:val="none"/>
          <w:u w:val="none" w:color="auto"/>
          <w:lang w:val="en-US" w:eastAsia="zh-CN"/>
        </w:rPr>
        <w:t>2014.25</w:t>
      </w:r>
      <w:r>
        <w:rPr>
          <w:rFonts w:hint="eastAsia" w:ascii="仿宋_GB2312" w:hAnsi="仿宋_GB2312" w:eastAsia="仿宋_GB2312" w:cs="仿宋_GB2312"/>
          <w:bCs/>
          <w:kern w:val="44"/>
          <w:sz w:val="32"/>
          <w:szCs w:val="32"/>
          <w:highlight w:val="none"/>
          <w:u w:val="none" w:color="auto"/>
        </w:rPr>
        <w:t>万元，占本年收入</w:t>
      </w:r>
      <w:r>
        <w:rPr>
          <w:rFonts w:hint="eastAsia" w:ascii="仿宋_GB2312" w:hAnsi="仿宋_GB2312" w:eastAsia="仿宋_GB2312" w:cs="仿宋_GB2312"/>
          <w:bCs/>
          <w:kern w:val="44"/>
          <w:sz w:val="32"/>
          <w:szCs w:val="32"/>
          <w:highlight w:val="none"/>
          <w:u w:val="none" w:color="auto"/>
          <w:lang w:val="en-US" w:eastAsia="zh-CN"/>
        </w:rPr>
        <w:t>93.2</w:t>
      </w:r>
      <w:r>
        <w:rPr>
          <w:rFonts w:hint="eastAsia" w:ascii="仿宋_GB2312" w:hAnsi="仿宋_GB2312" w:eastAsia="仿宋_GB2312" w:cs="仿宋_GB2312"/>
          <w:bCs/>
          <w:kern w:val="44"/>
          <w:sz w:val="32"/>
          <w:szCs w:val="32"/>
          <w:highlight w:val="none"/>
          <w:u w:val="none" w:color="auto"/>
        </w:rPr>
        <w:t xml:space="preserve"> </w:t>
      </w:r>
      <w:r>
        <w:rPr>
          <w:rFonts w:hint="eastAsia" w:ascii="仿宋_GB2312" w:hAnsi="仿宋_GB2312" w:eastAsia="仿宋_GB2312" w:cs="仿宋_GB2312"/>
          <w:bCs/>
          <w:kern w:val="44"/>
          <w:sz w:val="32"/>
          <w:szCs w:val="32"/>
          <w:highlight w:val="none"/>
          <w:u w:val="none" w:color="auto"/>
        </w:rPr>
        <w:t>%；其他收入</w:t>
      </w:r>
      <w:r>
        <w:rPr>
          <w:rFonts w:hint="eastAsia" w:ascii="仿宋_GB2312" w:hAnsi="仿宋_GB2312" w:eastAsia="仿宋_GB2312" w:cs="仿宋_GB2312"/>
          <w:bCs/>
          <w:kern w:val="44"/>
          <w:sz w:val="32"/>
          <w:szCs w:val="32"/>
          <w:highlight w:val="none"/>
          <w:u w:val="none" w:color="auto"/>
        </w:rPr>
        <w:t xml:space="preserve"> </w:t>
      </w:r>
      <w:r>
        <w:rPr>
          <w:rFonts w:hint="eastAsia" w:ascii="仿宋_GB2312" w:hAnsi="仿宋_GB2312" w:eastAsia="仿宋_GB2312" w:cs="仿宋_GB2312"/>
          <w:bCs/>
          <w:kern w:val="44"/>
          <w:sz w:val="32"/>
          <w:szCs w:val="32"/>
          <w:highlight w:val="none"/>
          <w:u w:val="none" w:color="auto"/>
          <w:lang w:val="en-US" w:eastAsia="zh-CN"/>
        </w:rPr>
        <w:t>146.97</w:t>
      </w:r>
      <w:r>
        <w:rPr>
          <w:rFonts w:hint="eastAsia" w:ascii="仿宋_GB2312" w:hAnsi="仿宋_GB2312" w:eastAsia="仿宋_GB2312" w:cs="仿宋_GB2312"/>
          <w:bCs/>
          <w:kern w:val="44"/>
          <w:sz w:val="32"/>
          <w:szCs w:val="32"/>
          <w:highlight w:val="none"/>
          <w:u w:val="none" w:color="auto"/>
        </w:rPr>
        <w:t>万元，占本年收入</w:t>
      </w:r>
      <w:r>
        <w:rPr>
          <w:rFonts w:hint="eastAsia" w:ascii="仿宋_GB2312" w:hAnsi="仿宋_GB2312" w:eastAsia="仿宋_GB2312" w:cs="仿宋_GB2312"/>
          <w:bCs/>
          <w:kern w:val="44"/>
          <w:sz w:val="32"/>
          <w:szCs w:val="32"/>
          <w:highlight w:val="none"/>
          <w:u w:val="none" w:color="auto"/>
        </w:rPr>
        <w:t xml:space="preserve"> </w:t>
      </w:r>
      <w:r>
        <w:rPr>
          <w:rFonts w:hint="eastAsia" w:ascii="仿宋_GB2312" w:hAnsi="仿宋_GB2312" w:eastAsia="仿宋_GB2312" w:cs="仿宋_GB2312"/>
          <w:bCs/>
          <w:kern w:val="44"/>
          <w:sz w:val="32"/>
          <w:szCs w:val="32"/>
          <w:highlight w:val="none"/>
          <w:u w:val="none" w:color="auto"/>
          <w:lang w:val="en-US" w:eastAsia="zh-CN"/>
        </w:rPr>
        <w:t>6.8</w:t>
      </w:r>
      <w:r>
        <w:rPr>
          <w:rFonts w:hint="eastAsia" w:ascii="仿宋_GB2312" w:hAnsi="仿宋_GB2312" w:eastAsia="仿宋_GB2312" w:cs="仿宋_GB2312"/>
          <w:bCs/>
          <w:kern w:val="44"/>
          <w:sz w:val="32"/>
          <w:szCs w:val="32"/>
          <w:highlight w:val="none"/>
          <w:u w:val="none" w:color="auto"/>
        </w:rPr>
        <w:t xml:space="preserve"> </w:t>
      </w:r>
      <w:r>
        <w:rPr>
          <w:rFonts w:hint="eastAsia" w:ascii="仿宋_GB2312" w:hAnsi="仿宋_GB2312" w:eastAsia="仿宋_GB2312" w:cs="仿宋_GB2312"/>
          <w:bCs/>
          <w:kern w:val="44"/>
          <w:sz w:val="32"/>
          <w:szCs w:val="32"/>
          <w:highlight w:val="none"/>
          <w:u w:val="none" w:color="auto"/>
        </w:rPr>
        <w:t>%。</w:t>
      </w:r>
    </w:p>
    <w:p w14:paraId="012C9AE6">
      <w:pPr>
        <w:spacing w:line="241" w:lineRule="auto"/>
        <w:rPr>
          <w:rFonts w:hint="default" w:ascii="Times New Roman" w:hAnsi="Times New Roman" w:cs="Times New Roman"/>
          <w:sz w:val="21"/>
          <w:u w:val="none" w:color="auto"/>
        </w:rPr>
      </w:pPr>
    </w:p>
    <w:p w14:paraId="2E57358E">
      <w:pPr>
        <w:spacing w:before="104" w:line="222" w:lineRule="auto"/>
        <w:ind w:left="642"/>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三、支出决算情况说明</w:t>
      </w:r>
    </w:p>
    <w:p w14:paraId="2CFE84E1">
      <w:pPr>
        <w:adjustRightInd w:val="0"/>
        <w:snapToGrid w:val="0"/>
        <w:spacing w:line="560" w:lineRule="atLeast"/>
        <w:ind w:firstLine="640" w:firstLineChars="200"/>
        <w:rPr>
          <w:rFonts w:hint="eastAsia" w:ascii="Times New Roman" w:hAnsi="Times New Roman" w:eastAsia="楷体_GB2312" w:cs="Times New Roman"/>
          <w:spacing w:val="3"/>
          <w:sz w:val="32"/>
          <w:szCs w:val="32"/>
          <w:u w:val="none" w:color="auto"/>
          <w:lang w:val="en-US" w:eastAsia="zh-CN"/>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年度支出合计</w:t>
      </w:r>
      <w:r>
        <w:rPr>
          <w:rFonts w:hint="eastAsia" w:ascii="仿宋_GB2312" w:hAnsi="仿宋_GB2312" w:eastAsia="仿宋_GB2312" w:cs="仿宋_GB2312"/>
          <w:bCs/>
          <w:kern w:val="44"/>
          <w:sz w:val="32"/>
          <w:szCs w:val="32"/>
          <w:highlight w:val="none"/>
          <w:u w:val="none" w:color="auto"/>
          <w:lang w:val="en-US" w:eastAsia="zh-CN"/>
        </w:rPr>
        <w:t>2161.94</w:t>
      </w:r>
      <w:r>
        <w:rPr>
          <w:rFonts w:hint="eastAsia" w:ascii="仿宋_GB2312" w:hAnsi="仿宋_GB2312" w:eastAsia="仿宋_GB2312" w:cs="仿宋_GB2312"/>
          <w:bCs/>
          <w:kern w:val="44"/>
          <w:sz w:val="32"/>
          <w:szCs w:val="32"/>
          <w:highlight w:val="none"/>
          <w:u w:val="none" w:color="auto"/>
        </w:rPr>
        <w:t xml:space="preserve"> </w:t>
      </w:r>
      <w:r>
        <w:rPr>
          <w:rFonts w:hint="eastAsia" w:ascii="仿宋_GB2312" w:hAnsi="仿宋_GB2312" w:eastAsia="仿宋_GB2312" w:cs="仿宋_GB2312"/>
          <w:bCs/>
          <w:kern w:val="44"/>
          <w:sz w:val="32"/>
          <w:szCs w:val="32"/>
          <w:highlight w:val="none"/>
          <w:u w:val="none" w:color="auto"/>
        </w:rPr>
        <w:t>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sz w:val="32"/>
          <w:szCs w:val="32"/>
          <w:u w:val="none" w:color="auto"/>
          <w:lang w:val="en-US" w:eastAsia="zh-CN"/>
        </w:rPr>
        <w:t>与2023年度相比，支出合计增加168.95万元，增长8.5%，</w:t>
      </w:r>
      <w:r>
        <w:rPr>
          <w:rFonts w:hint="default" w:ascii="Times New Roman" w:hAnsi="Times New Roman" w:eastAsia="仿宋_GB2312" w:cs="Times New Roman"/>
          <w:snapToGrid w:val="0"/>
          <w:color w:val="000000"/>
          <w:kern w:val="0"/>
          <w:sz w:val="32"/>
          <w:szCs w:val="21"/>
          <w:u w:val="none" w:color="auto"/>
          <w:lang w:val="en-US" w:eastAsia="zh-CN" w:bidi="ar-SA"/>
        </w:rPr>
        <w:t>主要原因是</w:t>
      </w:r>
      <w:r>
        <w:rPr>
          <w:rFonts w:hint="eastAsia" w:ascii="Times New Roman" w:hAnsi="Times New Roman" w:eastAsia="仿宋_GB2312" w:cs="Times New Roman"/>
          <w:snapToGrid w:val="0"/>
          <w:color w:val="000000"/>
          <w:kern w:val="0"/>
          <w:sz w:val="32"/>
          <w:szCs w:val="21"/>
          <w:u w:val="none" w:color="auto"/>
          <w:lang w:val="en-US" w:eastAsia="zh-CN" w:bidi="ar-SA"/>
        </w:rPr>
        <w:t>学</w:t>
      </w:r>
      <w:r>
        <w:rPr>
          <w:rFonts w:hint="default" w:ascii="Times New Roman" w:hAnsi="Times New Roman" w:eastAsia="仿宋_GB2312" w:cs="Times New Roman"/>
          <w:snapToGrid w:val="0"/>
          <w:color w:val="000000"/>
          <w:kern w:val="0"/>
          <w:sz w:val="32"/>
          <w:szCs w:val="21"/>
          <w:u w:val="none" w:color="auto"/>
          <w:lang w:val="en-US" w:eastAsia="zh-CN" w:bidi="ar-SA"/>
        </w:rPr>
        <w:t>生人数增长，人员经费和公用经费较上一年有一定幅度增长</w:t>
      </w:r>
      <w:r>
        <w:rPr>
          <w:rFonts w:hint="eastAsia" w:ascii="Times New Roman" w:hAnsi="Times New Roman" w:eastAsia="仿宋_GB2312" w:cs="Times New Roman"/>
          <w:snapToGrid w:val="0"/>
          <w:color w:val="000000"/>
          <w:kern w:val="0"/>
          <w:sz w:val="32"/>
          <w:szCs w:val="21"/>
          <w:u w:val="none" w:color="auto"/>
          <w:lang w:val="en-US" w:eastAsia="zh-CN" w:bidi="ar-SA"/>
        </w:rPr>
        <w:t>。</w:t>
      </w:r>
    </w:p>
    <w:p w14:paraId="2DD3D3C5">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cs="Times New Roman"/>
          <w:u w:val="none" w:color="auto"/>
        </w:rPr>
      </w:pPr>
      <w:r>
        <w:rPr>
          <w:rFonts w:hint="eastAsia" w:ascii="仿宋_GB2312" w:hAnsi="仿宋_GB2312" w:eastAsia="仿宋_GB2312" w:cs="仿宋_GB2312"/>
          <w:bCs/>
          <w:kern w:val="44"/>
          <w:sz w:val="32"/>
          <w:szCs w:val="32"/>
          <w:highlight w:val="none"/>
          <w:u w:val="none" w:color="auto"/>
        </w:rPr>
        <w:t>其中：基本支出</w:t>
      </w:r>
      <w:r>
        <w:rPr>
          <w:rFonts w:hint="eastAsia" w:ascii="仿宋_GB2312" w:hAnsi="仿宋_GB2312" w:eastAsia="仿宋_GB2312" w:cs="仿宋_GB2312"/>
          <w:bCs/>
          <w:kern w:val="44"/>
          <w:sz w:val="32"/>
          <w:szCs w:val="32"/>
          <w:highlight w:val="none"/>
          <w:u w:val="none" w:color="auto"/>
          <w:lang w:val="en-US" w:eastAsia="zh-CN"/>
        </w:rPr>
        <w:t>2058.60</w:t>
      </w:r>
      <w:r>
        <w:rPr>
          <w:rFonts w:hint="eastAsia" w:ascii="仿宋_GB2312" w:hAnsi="仿宋_GB2312" w:eastAsia="仿宋_GB2312" w:cs="仿宋_GB2312"/>
          <w:bCs/>
          <w:kern w:val="44"/>
          <w:sz w:val="32"/>
          <w:szCs w:val="32"/>
          <w:highlight w:val="none"/>
          <w:u w:val="none" w:color="auto"/>
        </w:rPr>
        <w:t>万元，占本年支出</w:t>
      </w:r>
      <w:r>
        <w:rPr>
          <w:rFonts w:hint="eastAsia" w:ascii="仿宋_GB2312" w:hAnsi="仿宋_GB2312" w:eastAsia="仿宋_GB2312" w:cs="仿宋_GB2312"/>
          <w:bCs/>
          <w:kern w:val="44"/>
          <w:sz w:val="32"/>
          <w:szCs w:val="32"/>
          <w:highlight w:val="none"/>
          <w:u w:val="none" w:color="auto"/>
          <w:lang w:val="en-US" w:eastAsia="zh-CN"/>
        </w:rPr>
        <w:t>95.2</w:t>
      </w:r>
      <w:r>
        <w:rPr>
          <w:rFonts w:hint="eastAsia" w:ascii="仿宋_GB2312" w:hAnsi="仿宋_GB2312" w:eastAsia="仿宋_GB2312" w:cs="仿宋_GB2312"/>
          <w:bCs/>
          <w:kern w:val="44"/>
          <w:sz w:val="32"/>
          <w:szCs w:val="32"/>
          <w:highlight w:val="none"/>
          <w:u w:val="none" w:color="auto"/>
        </w:rPr>
        <w:t>%；项目支出</w:t>
      </w:r>
      <w:r>
        <w:rPr>
          <w:rFonts w:hint="eastAsia" w:ascii="仿宋_GB2312" w:hAnsi="仿宋_GB2312" w:eastAsia="仿宋_GB2312" w:cs="仿宋_GB2312"/>
          <w:bCs/>
          <w:kern w:val="44"/>
          <w:sz w:val="32"/>
          <w:szCs w:val="32"/>
          <w:highlight w:val="none"/>
          <w:u w:val="none" w:color="auto"/>
        </w:rPr>
        <w:t xml:space="preserve">    </w:t>
      </w:r>
      <w:r>
        <w:rPr>
          <w:rFonts w:hint="eastAsia" w:ascii="仿宋_GB2312" w:hAnsi="仿宋_GB2312" w:eastAsia="仿宋_GB2312" w:cs="仿宋_GB2312"/>
          <w:bCs/>
          <w:kern w:val="44"/>
          <w:sz w:val="32"/>
          <w:szCs w:val="32"/>
          <w:highlight w:val="none"/>
          <w:u w:val="none" w:color="auto"/>
          <w:lang w:val="en-US" w:eastAsia="zh-CN"/>
        </w:rPr>
        <w:t>103.34</w:t>
      </w:r>
      <w:r>
        <w:rPr>
          <w:rFonts w:hint="eastAsia" w:ascii="仿宋_GB2312" w:hAnsi="仿宋_GB2312" w:eastAsia="仿宋_GB2312" w:cs="仿宋_GB2312"/>
          <w:bCs/>
          <w:kern w:val="44"/>
          <w:sz w:val="32"/>
          <w:szCs w:val="32"/>
          <w:highlight w:val="none"/>
          <w:u w:val="none" w:color="auto"/>
        </w:rPr>
        <w:t>万元，占本年支出</w:t>
      </w:r>
      <w:r>
        <w:rPr>
          <w:rFonts w:hint="eastAsia" w:ascii="仿宋_GB2312" w:hAnsi="仿宋_GB2312" w:eastAsia="仿宋_GB2312" w:cs="仿宋_GB2312"/>
          <w:bCs/>
          <w:kern w:val="44"/>
          <w:sz w:val="32"/>
          <w:szCs w:val="32"/>
          <w:highlight w:val="none"/>
          <w:u w:val="none" w:color="auto"/>
          <w:lang w:val="en-US" w:eastAsia="zh-CN"/>
        </w:rPr>
        <w:t>4.8</w:t>
      </w:r>
      <w:r>
        <w:rPr>
          <w:rFonts w:hint="eastAsia" w:ascii="仿宋_GB2312" w:hAnsi="仿宋_GB2312" w:eastAsia="仿宋_GB2312" w:cs="仿宋_GB2312"/>
          <w:bCs/>
          <w:kern w:val="44"/>
          <w:sz w:val="32"/>
          <w:szCs w:val="32"/>
          <w:highlight w:val="none"/>
          <w:u w:val="none" w:color="auto"/>
        </w:rPr>
        <w:t>%。</w:t>
      </w:r>
    </w:p>
    <w:p w14:paraId="5AAA2027">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四、财政拨款收入支出决算总体情况说明</w:t>
      </w:r>
    </w:p>
    <w:p w14:paraId="61A7122D">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年度财政拨款收、支总计</w:t>
      </w:r>
      <w:r>
        <w:rPr>
          <w:rFonts w:hint="eastAsia" w:ascii="仿宋_GB2312" w:hAnsi="仿宋_GB2312" w:eastAsia="仿宋_GB2312" w:cs="仿宋_GB2312"/>
          <w:bCs/>
          <w:kern w:val="44"/>
          <w:sz w:val="32"/>
          <w:szCs w:val="32"/>
          <w:highlight w:val="none"/>
          <w:u w:val="none" w:color="auto"/>
          <w:lang w:val="en-US" w:eastAsia="zh-CN"/>
        </w:rPr>
        <w:t>4028.5</w:t>
      </w:r>
      <w:r>
        <w:rPr>
          <w:rFonts w:hint="eastAsia" w:ascii="仿宋_GB2312" w:hAnsi="仿宋_GB2312" w:eastAsia="仿宋_GB2312" w:cs="仿宋_GB2312"/>
          <w:bCs/>
          <w:kern w:val="44"/>
          <w:sz w:val="32"/>
          <w:szCs w:val="32"/>
          <w:highlight w:val="none"/>
          <w:u w:val="none" w:color="auto"/>
        </w:rPr>
        <w:t>万元。与20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相比，财政拨款收、支总计各增加</w:t>
      </w:r>
      <w:r>
        <w:rPr>
          <w:rFonts w:hint="eastAsia" w:ascii="仿宋_GB2312" w:hAnsi="仿宋_GB2312" w:eastAsia="仿宋_GB2312" w:cs="仿宋_GB2312"/>
          <w:bCs/>
          <w:kern w:val="44"/>
          <w:sz w:val="32"/>
          <w:szCs w:val="32"/>
          <w:highlight w:val="none"/>
          <w:u w:val="none" w:color="auto"/>
          <w:lang w:val="en-US" w:eastAsia="zh-CN"/>
        </w:rPr>
        <w:t>158.48</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8.5</w:t>
      </w:r>
      <w:r>
        <w:rPr>
          <w:rFonts w:hint="eastAsia" w:ascii="仿宋_GB2312" w:hAnsi="仿宋_GB2312" w:eastAsia="仿宋_GB2312" w:cs="仿宋_GB2312"/>
          <w:bCs/>
          <w:kern w:val="44"/>
          <w:sz w:val="32"/>
          <w:szCs w:val="32"/>
          <w:highlight w:val="none"/>
          <w:u w:val="none" w:color="auto"/>
        </w:rPr>
        <w:t>%。</w:t>
      </w:r>
      <w:r>
        <w:rPr>
          <w:rFonts w:hint="default" w:ascii="Times New Roman" w:hAnsi="Times New Roman" w:eastAsia="仿宋_GB2312" w:cs="Times New Roman"/>
          <w:snapToGrid w:val="0"/>
          <w:color w:val="000000"/>
          <w:kern w:val="0"/>
          <w:sz w:val="32"/>
          <w:szCs w:val="21"/>
          <w:u w:val="none" w:color="auto"/>
          <w:lang w:val="en-US" w:eastAsia="zh-CN" w:bidi="ar-SA"/>
        </w:rPr>
        <w:t>主要原因是</w:t>
      </w:r>
      <w:r>
        <w:rPr>
          <w:rFonts w:hint="eastAsia" w:ascii="Times New Roman" w:hAnsi="Times New Roman" w:eastAsia="仿宋_GB2312" w:cs="Times New Roman"/>
          <w:snapToGrid w:val="0"/>
          <w:color w:val="000000"/>
          <w:kern w:val="0"/>
          <w:sz w:val="32"/>
          <w:szCs w:val="21"/>
          <w:u w:val="none" w:color="auto"/>
          <w:lang w:val="en-US" w:eastAsia="zh-CN" w:bidi="ar-SA"/>
        </w:rPr>
        <w:t>学</w:t>
      </w:r>
      <w:r>
        <w:rPr>
          <w:rFonts w:hint="default" w:ascii="Times New Roman" w:hAnsi="Times New Roman" w:eastAsia="仿宋_GB2312" w:cs="Times New Roman"/>
          <w:snapToGrid w:val="0"/>
          <w:color w:val="000000"/>
          <w:kern w:val="0"/>
          <w:sz w:val="32"/>
          <w:szCs w:val="21"/>
          <w:u w:val="none" w:color="auto"/>
          <w:lang w:val="en-US" w:eastAsia="zh-CN" w:bidi="ar-SA"/>
        </w:rPr>
        <w:t>生人数增长，人员经费和公用经费较上一年有一定幅度增长</w:t>
      </w:r>
      <w:r>
        <w:rPr>
          <w:rFonts w:hint="eastAsia" w:ascii="Times New Roman" w:hAnsi="Times New Roman" w:eastAsia="仿宋_GB2312" w:cs="Times New Roman"/>
          <w:snapToGrid w:val="0"/>
          <w:color w:val="000000"/>
          <w:kern w:val="0"/>
          <w:sz w:val="32"/>
          <w:szCs w:val="21"/>
          <w:u w:val="none" w:color="auto"/>
          <w:lang w:val="en-US" w:eastAsia="zh-CN" w:bidi="ar-SA"/>
        </w:rPr>
        <w:t>。</w:t>
      </w:r>
    </w:p>
    <w:p w14:paraId="446FCBFF">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sz w:val="32"/>
          <w:szCs w:val="32"/>
          <w:u w:val="none" w:color="auto"/>
          <w:lang w:val="en-US" w:eastAsia="zh-CN"/>
        </w:rPr>
        <w:t>2024年度财政拨款收入中，一般公共预算财政拨款收入</w:t>
      </w:r>
      <w:r>
        <w:rPr>
          <w:rFonts w:hint="eastAsia" w:ascii="仿宋_GB2312" w:hAnsi="仿宋_GB2312" w:eastAsia="仿宋_GB2312" w:cs="仿宋_GB2312"/>
          <w:sz w:val="32"/>
          <w:szCs w:val="32"/>
          <w:u w:val="none" w:color="auto"/>
          <w:lang w:val="en-US" w:eastAsia="zh-CN"/>
        </w:rPr>
        <w:t>2014.25</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2023年度决算数增加158.48</w:t>
      </w:r>
      <w:r>
        <w:rPr>
          <w:rFonts w:hint="eastAsia" w:ascii="仿宋_GB2312" w:hAnsi="仿宋_GB2312" w:eastAsia="仿宋_GB2312" w:cs="仿宋_GB2312"/>
          <w:sz w:val="32"/>
          <w:szCs w:val="32"/>
          <w:u w:val="none" w:color="auto"/>
          <w:lang w:val="en-US" w:eastAsia="zh-CN"/>
        </w:rPr>
        <w:t>万元</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bCs/>
          <w:kern w:val="44"/>
          <w:sz w:val="32"/>
          <w:szCs w:val="32"/>
          <w:highlight w:val="none"/>
          <w:u w:val="none" w:color="auto"/>
        </w:rPr>
        <w:t>增长</w:t>
      </w:r>
      <w:r>
        <w:rPr>
          <w:rFonts w:hint="eastAsia" w:ascii="仿宋_GB2312" w:hAnsi="仿宋_GB2312" w:eastAsia="仿宋_GB2312" w:cs="仿宋_GB2312"/>
          <w:bCs/>
          <w:kern w:val="44"/>
          <w:sz w:val="32"/>
          <w:szCs w:val="32"/>
          <w:highlight w:val="none"/>
          <w:u w:val="none" w:color="auto"/>
          <w:lang w:val="en-US" w:eastAsia="zh-CN"/>
        </w:rPr>
        <w:t>8.5</w:t>
      </w:r>
      <w:r>
        <w:rPr>
          <w:rFonts w:hint="eastAsia" w:ascii="仿宋_GB2312" w:hAnsi="仿宋_GB2312" w:eastAsia="仿宋_GB2312" w:cs="仿宋_GB2312"/>
          <w:bCs/>
          <w:kern w:val="44"/>
          <w:sz w:val="32"/>
          <w:szCs w:val="32"/>
          <w:highlight w:val="none"/>
          <w:u w:val="none" w:color="auto"/>
        </w:rPr>
        <w:t>%。</w:t>
      </w:r>
      <w:r>
        <w:rPr>
          <w:rFonts w:hint="default" w:ascii="Times New Roman" w:hAnsi="Times New Roman" w:eastAsia="仿宋_GB2312" w:cs="Times New Roman"/>
          <w:snapToGrid w:val="0"/>
          <w:color w:val="000000"/>
          <w:kern w:val="0"/>
          <w:sz w:val="32"/>
          <w:szCs w:val="21"/>
          <w:u w:val="none" w:color="auto"/>
          <w:lang w:val="en-US" w:eastAsia="zh-CN" w:bidi="ar-SA"/>
        </w:rPr>
        <w:t>主要原因是</w:t>
      </w:r>
      <w:r>
        <w:rPr>
          <w:rFonts w:hint="eastAsia" w:ascii="Times New Roman" w:hAnsi="Times New Roman" w:eastAsia="仿宋_GB2312" w:cs="Times New Roman"/>
          <w:snapToGrid w:val="0"/>
          <w:color w:val="000000"/>
          <w:kern w:val="0"/>
          <w:sz w:val="32"/>
          <w:szCs w:val="21"/>
          <w:u w:val="none" w:color="auto"/>
          <w:lang w:val="en-US" w:eastAsia="zh-CN" w:bidi="ar-SA"/>
        </w:rPr>
        <w:t>学</w:t>
      </w:r>
      <w:r>
        <w:rPr>
          <w:rFonts w:hint="default" w:ascii="Times New Roman" w:hAnsi="Times New Roman" w:eastAsia="仿宋_GB2312" w:cs="Times New Roman"/>
          <w:snapToGrid w:val="0"/>
          <w:color w:val="000000"/>
          <w:kern w:val="0"/>
          <w:sz w:val="32"/>
          <w:szCs w:val="21"/>
          <w:u w:val="none" w:color="auto"/>
          <w:lang w:val="en-US" w:eastAsia="zh-CN" w:bidi="ar-SA"/>
        </w:rPr>
        <w:t>生人数增长，人员经费和公用经费较上一年有一定幅度增长</w:t>
      </w:r>
      <w:r>
        <w:rPr>
          <w:rFonts w:hint="eastAsia" w:ascii="Times New Roman" w:hAnsi="Times New Roman" w:eastAsia="仿宋_GB2312" w:cs="Times New Roman"/>
          <w:snapToGrid w:val="0"/>
          <w:color w:val="000000"/>
          <w:kern w:val="0"/>
          <w:sz w:val="32"/>
          <w:szCs w:val="21"/>
          <w:u w:val="none" w:color="auto"/>
          <w:lang w:val="en-US" w:eastAsia="zh-CN" w:bidi="ar-SA"/>
        </w:rPr>
        <w:t>。</w:t>
      </w:r>
    </w:p>
    <w:p w14:paraId="2916FFB8">
      <w:pPr>
        <w:ind w:firstLine="640" w:firstLineChars="200"/>
        <w:rPr>
          <w:rFonts w:hint="default" w:ascii="Times New Roman" w:hAnsi="Times New Roman" w:eastAsia="黑体" w:cs="Times New Roman"/>
          <w:spacing w:val="0"/>
          <w:sz w:val="32"/>
          <w:szCs w:val="32"/>
          <w:u w:val="none" w:color="auto"/>
        </w:rPr>
      </w:pPr>
      <w:r>
        <w:rPr>
          <w:rFonts w:hint="default" w:ascii="Times New Roman" w:hAnsi="Times New Roman" w:eastAsia="黑体" w:cs="Times New Roman"/>
          <w:spacing w:val="0"/>
          <w:sz w:val="32"/>
          <w:szCs w:val="32"/>
          <w:u w:val="none" w:color="auto"/>
        </w:rPr>
        <w:t>五、一般公共预算财政拨款支出决算情况说明</w:t>
      </w:r>
    </w:p>
    <w:p w14:paraId="16BA22DE">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u w:val="none" w:color="auto"/>
        </w:rPr>
      </w:pP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lang w:val="en-US" w:eastAsia="zh-CN"/>
        </w:rPr>
        <w:t>一</w:t>
      </w: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rPr>
        <w:t>一般公共预算财政拨款支出决算总体情况</w:t>
      </w:r>
    </w:p>
    <w:p w14:paraId="14FE8D24">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w:t>
      </w:r>
      <w:r>
        <w:rPr>
          <w:rFonts w:hint="eastAsia" w:ascii="仿宋_GB2312" w:hAnsi="仿宋_GB2312" w:eastAsia="仿宋_GB2312" w:cs="仿宋_GB2312"/>
          <w:bCs/>
          <w:kern w:val="44"/>
          <w:sz w:val="32"/>
          <w:szCs w:val="32"/>
          <w:highlight w:val="none"/>
          <w:u w:val="none" w:color="auto"/>
          <w:lang w:val="en-US" w:eastAsia="zh-CN"/>
        </w:rPr>
        <w:t>2014.25</w:t>
      </w:r>
      <w:r>
        <w:rPr>
          <w:rFonts w:hint="eastAsia" w:ascii="仿宋_GB2312" w:hAnsi="仿宋_GB2312" w:eastAsia="仿宋_GB2312" w:cs="仿宋_GB2312"/>
          <w:bCs/>
          <w:kern w:val="44"/>
          <w:sz w:val="32"/>
          <w:szCs w:val="32"/>
          <w:highlight w:val="none"/>
          <w:u w:val="none" w:color="auto"/>
        </w:rPr>
        <w:t>万元，占本年支出合计的</w:t>
      </w:r>
      <w:r>
        <w:rPr>
          <w:rFonts w:hint="eastAsia" w:ascii="仿宋_GB2312" w:hAnsi="仿宋_GB2312" w:eastAsia="仿宋_GB2312" w:cs="仿宋_GB2312"/>
          <w:bCs/>
          <w:kern w:val="44"/>
          <w:sz w:val="32"/>
          <w:szCs w:val="32"/>
          <w:highlight w:val="none"/>
          <w:u w:val="none" w:color="auto"/>
          <w:lang w:val="en-US" w:eastAsia="zh-CN"/>
        </w:rPr>
        <w:t>93.2</w:t>
      </w:r>
      <w:r>
        <w:rPr>
          <w:rFonts w:hint="eastAsia" w:ascii="仿宋_GB2312" w:hAnsi="仿宋_GB2312" w:eastAsia="仿宋_GB2312" w:cs="仿宋_GB2312"/>
          <w:bCs/>
          <w:kern w:val="44"/>
          <w:sz w:val="32"/>
          <w:szCs w:val="32"/>
          <w:highlight w:val="none"/>
          <w:u w:val="none" w:color="auto"/>
        </w:rPr>
        <w:t xml:space="preserve"> %。与20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财政拨款支出增加</w:t>
      </w:r>
      <w:r>
        <w:rPr>
          <w:rFonts w:hint="eastAsia" w:ascii="仿宋_GB2312" w:hAnsi="仿宋_GB2312" w:eastAsia="仿宋_GB2312" w:cs="仿宋_GB2312"/>
          <w:bCs/>
          <w:kern w:val="44"/>
          <w:sz w:val="32"/>
          <w:szCs w:val="32"/>
          <w:highlight w:val="none"/>
          <w:u w:val="none" w:color="auto"/>
          <w:lang w:val="en-US" w:eastAsia="zh-CN"/>
        </w:rPr>
        <w:t>158.48</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8.5</w:t>
      </w:r>
      <w:r>
        <w:rPr>
          <w:rFonts w:hint="eastAsia" w:ascii="仿宋_GB2312" w:hAnsi="仿宋_GB2312" w:eastAsia="仿宋_GB2312" w:cs="仿宋_GB2312"/>
          <w:bCs/>
          <w:kern w:val="44"/>
          <w:sz w:val="32"/>
          <w:szCs w:val="32"/>
          <w:highlight w:val="none"/>
          <w:u w:val="none" w:color="auto"/>
        </w:rPr>
        <w:t>%。</w:t>
      </w:r>
      <w:r>
        <w:rPr>
          <w:rFonts w:hint="default" w:ascii="Times New Roman" w:hAnsi="Times New Roman" w:eastAsia="仿宋_GB2312" w:cs="Times New Roman"/>
          <w:snapToGrid w:val="0"/>
          <w:color w:val="000000"/>
          <w:kern w:val="0"/>
          <w:sz w:val="32"/>
          <w:szCs w:val="21"/>
          <w:u w:val="none" w:color="auto"/>
          <w:lang w:val="en-US" w:eastAsia="zh-CN" w:bidi="ar-SA"/>
        </w:rPr>
        <w:t>主要原因是</w:t>
      </w:r>
      <w:r>
        <w:rPr>
          <w:rFonts w:hint="eastAsia" w:ascii="Times New Roman" w:hAnsi="Times New Roman" w:eastAsia="仿宋_GB2312" w:cs="Times New Roman"/>
          <w:snapToGrid w:val="0"/>
          <w:color w:val="000000"/>
          <w:kern w:val="0"/>
          <w:sz w:val="32"/>
          <w:szCs w:val="21"/>
          <w:u w:val="none" w:color="auto"/>
          <w:lang w:val="en-US" w:eastAsia="zh-CN" w:bidi="ar-SA"/>
        </w:rPr>
        <w:t>学</w:t>
      </w:r>
      <w:r>
        <w:rPr>
          <w:rFonts w:hint="default" w:ascii="Times New Roman" w:hAnsi="Times New Roman" w:eastAsia="仿宋_GB2312" w:cs="Times New Roman"/>
          <w:snapToGrid w:val="0"/>
          <w:color w:val="000000"/>
          <w:kern w:val="0"/>
          <w:sz w:val="32"/>
          <w:szCs w:val="21"/>
          <w:u w:val="none" w:color="auto"/>
          <w:lang w:val="en-US" w:eastAsia="zh-CN" w:bidi="ar-SA"/>
        </w:rPr>
        <w:t>生人数增长，人员经费和公用经费较上一年有一定幅度增长</w:t>
      </w:r>
      <w:r>
        <w:rPr>
          <w:rFonts w:hint="eastAsia" w:ascii="Times New Roman" w:hAnsi="Times New Roman" w:eastAsia="仿宋_GB2312" w:cs="Times New Roman"/>
          <w:snapToGrid w:val="0"/>
          <w:color w:val="000000"/>
          <w:kern w:val="0"/>
          <w:sz w:val="32"/>
          <w:szCs w:val="21"/>
          <w:u w:val="none" w:color="auto"/>
          <w:lang w:val="en-US" w:eastAsia="zh-CN" w:bidi="ar-SA"/>
        </w:rPr>
        <w:t>。</w:t>
      </w:r>
    </w:p>
    <w:p w14:paraId="0A9175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color="auto"/>
          <w:lang w:val="en-US" w:eastAsia="zh-CN"/>
        </w:rPr>
      </w:pPr>
      <w:r>
        <w:rPr>
          <w:rFonts w:hint="eastAsia" w:ascii="楷体_GB2312" w:hAnsi="楷体_GB2312" w:eastAsia="楷体_GB2312" w:cs="楷体_GB2312"/>
          <w:sz w:val="32"/>
          <w:szCs w:val="32"/>
          <w:highlight w:val="none"/>
          <w:u w:val="none" w:color="auto"/>
          <w:lang w:val="en-US" w:eastAsia="zh-CN"/>
        </w:rPr>
        <w:t>(二)一般公共预算财政拨款支出决算结构情况</w:t>
      </w:r>
    </w:p>
    <w:p w14:paraId="30E9DBE8">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w:t>
      </w:r>
      <w:r>
        <w:rPr>
          <w:rFonts w:hint="eastAsia" w:ascii="仿宋_GB2312" w:hAnsi="仿宋_GB2312" w:eastAsia="仿宋_GB2312" w:cs="仿宋_GB2312"/>
          <w:bCs/>
          <w:kern w:val="44"/>
          <w:sz w:val="32"/>
          <w:szCs w:val="32"/>
          <w:highlight w:val="none"/>
          <w:u w:val="none" w:color="auto"/>
          <w:lang w:val="en-US" w:eastAsia="zh-CN"/>
        </w:rPr>
        <w:t>2014.25</w:t>
      </w:r>
      <w:r>
        <w:rPr>
          <w:rFonts w:hint="eastAsia" w:ascii="仿宋_GB2312" w:hAnsi="仿宋_GB2312" w:eastAsia="仿宋_GB2312" w:cs="仿宋_GB2312"/>
          <w:bCs/>
          <w:kern w:val="44"/>
          <w:sz w:val="32"/>
          <w:szCs w:val="32"/>
          <w:highlight w:val="none"/>
          <w:u w:val="none" w:color="auto"/>
        </w:rPr>
        <w:t>万元，主要用于以下方面：</w:t>
      </w:r>
    </w:p>
    <w:p w14:paraId="5E279D36">
      <w:pPr>
        <w:pStyle w:val="4"/>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仿宋_GB2312" w:hAnsi="仿宋_GB2312" w:eastAsia="仿宋_GB2312" w:cs="仿宋_GB2312"/>
          <w:bCs/>
          <w:snapToGrid w:val="0"/>
          <w:color w:val="000000"/>
          <w:kern w:val="44"/>
          <w:sz w:val="32"/>
          <w:szCs w:val="32"/>
          <w:highlight w:val="none"/>
          <w:u w:val="none" w:color="auto"/>
          <w:lang w:val="en-US" w:eastAsia="en-US" w:bidi="ar-SA"/>
        </w:rPr>
      </w:pPr>
      <w:r>
        <w:rPr>
          <w:rFonts w:hint="eastAsia" w:ascii="仿宋_GB2312" w:hAnsi="仿宋_GB2312" w:eastAsia="仿宋_GB2312" w:cs="仿宋_GB2312"/>
          <w:bCs/>
          <w:snapToGrid w:val="0"/>
          <w:color w:val="000000"/>
          <w:kern w:val="44"/>
          <w:sz w:val="32"/>
          <w:szCs w:val="32"/>
          <w:highlight w:val="none"/>
          <w:u w:val="none" w:color="auto"/>
          <w:lang w:val="en-US" w:eastAsia="zh-CN" w:bidi="ar-SA"/>
        </w:rPr>
        <w:t>1.</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教育支出</w:t>
      </w:r>
      <w:r>
        <w:rPr>
          <w:rFonts w:hint="default" w:ascii="仿宋_GB2312" w:hAnsi="仿宋_GB2312" w:eastAsia="仿宋_GB2312" w:cs="仿宋_GB2312"/>
          <w:bCs/>
          <w:snapToGrid w:val="0"/>
          <w:color w:val="000000"/>
          <w:kern w:val="44"/>
          <w:sz w:val="32"/>
          <w:szCs w:val="32"/>
          <w:highlight w:val="none"/>
          <w:u w:val="none" w:color="auto"/>
          <w:lang w:val="en-US" w:eastAsia="zh-CN" w:bidi="ar-SA"/>
        </w:rPr>
        <w:t>（</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类</w:t>
      </w:r>
      <w:r>
        <w:rPr>
          <w:rFonts w:hint="default" w:ascii="仿宋_GB2312" w:hAnsi="仿宋_GB2312" w:eastAsia="仿宋_GB2312" w:cs="仿宋_GB2312"/>
          <w:bCs/>
          <w:snapToGrid w:val="0"/>
          <w:color w:val="000000"/>
          <w:kern w:val="44"/>
          <w:sz w:val="32"/>
          <w:szCs w:val="32"/>
          <w:highlight w:val="none"/>
          <w:u w:val="none" w:color="auto"/>
          <w:lang w:val="en-US" w:eastAsia="zh-CN" w:bidi="ar-SA"/>
        </w:rPr>
        <w:t>）1870.68</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万元，占</w:t>
      </w:r>
      <w:r>
        <w:rPr>
          <w:rFonts w:hint="eastAsia" w:ascii="仿宋_GB2312" w:hAnsi="仿宋_GB2312" w:eastAsia="仿宋_GB2312" w:cs="仿宋_GB2312"/>
          <w:bCs/>
          <w:snapToGrid w:val="0"/>
          <w:color w:val="000000"/>
          <w:kern w:val="44"/>
          <w:sz w:val="32"/>
          <w:szCs w:val="32"/>
          <w:highlight w:val="none"/>
          <w:u w:val="none" w:color="auto"/>
          <w:lang w:val="en-US" w:eastAsia="zh-CN" w:bidi="ar-SA"/>
        </w:rPr>
        <w:t>92.9</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w:t>
      </w:r>
    </w:p>
    <w:p w14:paraId="49C9B442">
      <w:pPr>
        <w:ind w:firstLine="640" w:firstLineChars="200"/>
        <w:rPr>
          <w:rFonts w:hint="default" w:ascii="仿宋_GB2312" w:hAnsi="仿宋_GB2312" w:eastAsia="仿宋_GB2312" w:cs="仿宋_GB2312"/>
          <w:bCs/>
          <w:snapToGrid w:val="0"/>
          <w:color w:val="000000"/>
          <w:kern w:val="44"/>
          <w:sz w:val="32"/>
          <w:szCs w:val="32"/>
          <w:highlight w:val="none"/>
          <w:u w:val="none" w:color="auto"/>
          <w:lang w:val="en-US" w:eastAsia="en-US" w:bidi="ar-SA"/>
        </w:rPr>
      </w:pPr>
      <w:r>
        <w:rPr>
          <w:rFonts w:hint="eastAsia" w:ascii="仿宋_GB2312" w:hAnsi="仿宋_GB2312" w:eastAsia="仿宋_GB2312" w:cs="仿宋_GB2312"/>
          <w:bCs/>
          <w:snapToGrid w:val="0"/>
          <w:color w:val="000000"/>
          <w:kern w:val="44"/>
          <w:sz w:val="32"/>
          <w:szCs w:val="32"/>
          <w:highlight w:val="none"/>
          <w:u w:val="none" w:color="auto"/>
          <w:lang w:val="en-US" w:eastAsia="zh-CN" w:bidi="ar-SA"/>
        </w:rPr>
        <w:t>2</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w:t>
      </w:r>
      <w:r>
        <w:rPr>
          <w:rFonts w:hint="eastAsia" w:ascii="仿宋_GB2312" w:hAnsi="仿宋_GB2312" w:eastAsia="仿宋_GB2312" w:cs="仿宋_GB2312"/>
          <w:bCs/>
          <w:snapToGrid w:val="0"/>
          <w:color w:val="000000"/>
          <w:kern w:val="44"/>
          <w:sz w:val="32"/>
          <w:szCs w:val="32"/>
          <w:highlight w:val="none"/>
          <w:u w:val="none" w:color="auto"/>
          <w:lang w:val="en-US" w:eastAsia="zh-CN" w:bidi="ar-SA"/>
        </w:rPr>
        <w:t>社会保障和就业支出143.57万元，</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占</w:t>
      </w:r>
      <w:r>
        <w:rPr>
          <w:rFonts w:hint="eastAsia" w:ascii="仿宋_GB2312" w:hAnsi="仿宋_GB2312" w:eastAsia="仿宋_GB2312" w:cs="仿宋_GB2312"/>
          <w:bCs/>
          <w:snapToGrid w:val="0"/>
          <w:color w:val="000000"/>
          <w:kern w:val="44"/>
          <w:sz w:val="32"/>
          <w:szCs w:val="32"/>
          <w:highlight w:val="none"/>
          <w:u w:val="none" w:color="auto"/>
          <w:lang w:val="en-US" w:eastAsia="zh-CN" w:bidi="ar-SA"/>
        </w:rPr>
        <w:t>7.1</w:t>
      </w:r>
      <w:r>
        <w:rPr>
          <w:rFonts w:hint="default" w:ascii="仿宋_GB2312" w:hAnsi="仿宋_GB2312" w:eastAsia="仿宋_GB2312" w:cs="仿宋_GB2312"/>
          <w:bCs/>
          <w:snapToGrid w:val="0"/>
          <w:color w:val="000000"/>
          <w:kern w:val="44"/>
          <w:sz w:val="32"/>
          <w:szCs w:val="32"/>
          <w:highlight w:val="none"/>
          <w:u w:val="none" w:color="auto"/>
          <w:lang w:val="en-US" w:eastAsia="en-US" w:bidi="ar-SA"/>
        </w:rPr>
        <w:t>%。</w:t>
      </w:r>
    </w:p>
    <w:p w14:paraId="12E623A2">
      <w:pPr>
        <w:ind w:firstLine="640" w:firstLineChars="200"/>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（三）一般公共预算财政拨款支出决算具体情况</w:t>
      </w:r>
    </w:p>
    <w:p w14:paraId="0561963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年度一般公共预算财政拨款支出年初预算为</w:t>
      </w:r>
      <w:r>
        <w:rPr>
          <w:rFonts w:hint="eastAsia" w:ascii="Times New Roman" w:hAnsi="Times New Roman" w:eastAsia="仿宋_GB2312" w:cs="Times New Roman"/>
          <w:spacing w:val="54"/>
          <w:u w:val="none" w:color="auto"/>
          <w:lang w:val="en-US" w:eastAsia="zh-CN"/>
        </w:rPr>
        <w:t>1895.19</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支出决算为</w:t>
      </w:r>
      <w:r>
        <w:rPr>
          <w:rFonts w:hint="eastAsia" w:ascii="Times New Roman" w:hAnsi="Times New Roman" w:eastAsia="仿宋_GB2312" w:cs="Times New Roman"/>
          <w:spacing w:val="-1"/>
          <w:u w:val="none" w:color="auto"/>
          <w:lang w:val="en-US" w:eastAsia="zh-CN"/>
        </w:rPr>
        <w:t>2014.25</w:t>
      </w:r>
      <w:r>
        <w:rPr>
          <w:rFonts w:hint="default" w:ascii="Times New Roman" w:hAnsi="Times New Roman" w:eastAsia="仿宋_GB2312" w:cs="Times New Roman"/>
          <w:spacing w:val="-115"/>
          <w:u w:val="none" w:color="auto"/>
        </w:rPr>
        <w:t xml:space="preserve"> </w:t>
      </w:r>
      <w:r>
        <w:rPr>
          <w:rFonts w:hint="default" w:ascii="Times New Roman" w:hAnsi="Times New Roman" w:eastAsia="仿宋_GB2312" w:cs="Times New Roman"/>
          <w:spacing w:val="-1"/>
          <w:u w:val="none" w:color="auto"/>
        </w:rPr>
        <w:t>万元，完成年初预算的</w:t>
      </w:r>
      <w:r>
        <w:rPr>
          <w:rFonts w:hint="eastAsia" w:ascii="Times New Roman" w:hAnsi="Times New Roman" w:eastAsia="仿宋_GB2312" w:cs="Times New Roman"/>
          <w:spacing w:val="-1"/>
          <w:u w:val="none" w:color="auto"/>
          <w:lang w:val="en-US" w:eastAsia="zh-CN"/>
        </w:rPr>
        <w:t>106.3</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%。其中：基本支出</w:t>
      </w:r>
      <w:r>
        <w:rPr>
          <w:rFonts w:hint="default" w:ascii="Times New Roman" w:hAnsi="Times New Roman" w:eastAsia="仿宋_GB2312" w:cs="Times New Roman"/>
          <w:u w:val="none" w:color="auto"/>
        </w:rPr>
        <w:t xml:space="preserve"> </w:t>
      </w:r>
      <w:r>
        <w:rPr>
          <w:rFonts w:hint="eastAsia" w:ascii="Times New Roman" w:hAnsi="Times New Roman" w:eastAsia="仿宋_GB2312" w:cs="Times New Roman"/>
          <w:u w:val="none" w:color="auto"/>
          <w:lang w:val="en-US" w:eastAsia="zh-CN"/>
        </w:rPr>
        <w:t>1940.67</w:t>
      </w:r>
      <w:r>
        <w:rPr>
          <w:rFonts w:hint="default" w:ascii="Times New Roman" w:hAnsi="Times New Roman" w:eastAsia="仿宋_GB2312" w:cs="Times New Roman"/>
          <w:spacing w:val="-6"/>
          <w:u w:val="none" w:color="auto"/>
        </w:rPr>
        <w:t>万元，项目支出</w:t>
      </w:r>
      <w:r>
        <w:rPr>
          <w:rFonts w:hint="eastAsia" w:ascii="Times New Roman" w:hAnsi="Times New Roman" w:eastAsia="仿宋_GB2312" w:cs="Times New Roman"/>
          <w:spacing w:val="-6"/>
          <w:u w:val="none" w:color="auto"/>
          <w:lang w:val="en-US" w:eastAsia="zh-CN"/>
        </w:rPr>
        <w:t>73.58</w:t>
      </w:r>
      <w:r>
        <w:rPr>
          <w:rFonts w:hint="default" w:ascii="Times New Roman" w:hAnsi="Times New Roman" w:eastAsia="仿宋_GB2312" w:cs="Times New Roman"/>
          <w:spacing w:val="-6"/>
          <w:u w:val="none" w:color="auto"/>
        </w:rPr>
        <w:t>万元。项目支出主要用于</w:t>
      </w:r>
      <w:r>
        <w:rPr>
          <w:rFonts w:hint="default" w:ascii="Times New Roman" w:hAnsi="Times New Roman" w:eastAsia="仿宋_GB2312" w:cs="Times New Roman"/>
          <w:spacing w:val="-6"/>
          <w:u w:val="none" w:color="auto"/>
        </w:rPr>
        <w:t>用于</w:t>
      </w:r>
      <w:r>
        <w:rPr>
          <w:rFonts w:hint="eastAsia" w:ascii="Times New Roman" w:hAnsi="Times New Roman" w:eastAsia="仿宋_GB2312" w:cs="Times New Roman"/>
          <w:spacing w:val="-6"/>
          <w:u w:val="none" w:color="auto"/>
          <w:lang w:val="en-US" w:eastAsia="zh-CN"/>
        </w:rPr>
        <w:t>课后服务费73.58</w:t>
      </w:r>
      <w:r>
        <w:rPr>
          <w:rFonts w:hint="default" w:ascii="Times New Roman" w:hAnsi="Times New Roman" w:eastAsia="仿宋_GB2312" w:cs="Times New Roman"/>
          <w:spacing w:val="-6"/>
          <w:u w:val="none" w:color="auto"/>
        </w:rPr>
        <w:t>万</w:t>
      </w:r>
      <w:r>
        <w:rPr>
          <w:rFonts w:hint="default" w:ascii="Times New Roman" w:hAnsi="Times New Roman" w:eastAsia="仿宋_GB2312" w:cs="Times New Roman"/>
          <w:spacing w:val="-16"/>
          <w:u w:val="none" w:color="auto"/>
        </w:rPr>
        <w:t>元，主要成效</w:t>
      </w:r>
      <w:r>
        <w:rPr>
          <w:rFonts w:hint="eastAsia" w:ascii="Times New Roman" w:hAnsi="Times New Roman" w:eastAsia="仿宋_GB2312" w:cs="Times New Roman"/>
          <w:spacing w:val="-16"/>
          <w:u w:val="none" w:color="auto"/>
          <w:lang w:val="en-US" w:eastAsia="zh-CN"/>
        </w:rPr>
        <w:t>为学生提供课后服务。</w:t>
      </w:r>
    </w:p>
    <w:p w14:paraId="5B22EA0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六、一般公共预算财政拨款基本支出决算情况说明</w:t>
      </w:r>
    </w:p>
    <w:p w14:paraId="7586710D">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47"/>
          <w:u w:val="none" w:color="auto"/>
        </w:rPr>
        <w:t xml:space="preserve"> </w:t>
      </w:r>
      <w:r>
        <w:rPr>
          <w:rFonts w:hint="default" w:ascii="Times New Roman" w:hAnsi="Times New Roman" w:eastAsia="仿宋_GB2312" w:cs="Times New Roman"/>
          <w:spacing w:val="-7"/>
          <w:u w:val="none" w:color="auto"/>
        </w:rPr>
        <w:t>年度一般公共预算财政拨款基本支出</w:t>
      </w:r>
      <w:r>
        <w:rPr>
          <w:rFonts w:hint="eastAsia" w:ascii="Times New Roman" w:hAnsi="Times New Roman" w:eastAsia="仿宋_GB2312" w:cs="Times New Roman"/>
          <w:spacing w:val="-7"/>
          <w:u w:val="none" w:color="auto"/>
          <w:lang w:val="en-US" w:eastAsia="zh-CN"/>
        </w:rPr>
        <w:t xml:space="preserve">1940.67 </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eastAsia" w:ascii="Times New Roman" w:hAnsi="Times New Roman" w:eastAsia="仿宋_GB2312" w:cs="Times New Roman"/>
          <w:spacing w:val="-7"/>
          <w:u w:val="none" w:color="auto"/>
          <w:lang w:val="en-US" w:eastAsia="zh-CN"/>
        </w:rPr>
        <w:t xml:space="preserve"> 1774.45</w:t>
      </w:r>
      <w:r>
        <w:rPr>
          <w:rFonts w:hint="default" w:ascii="Times New Roman" w:hAnsi="Times New Roman" w:eastAsia="仿宋_GB2312" w:cs="Times New Roman"/>
          <w:spacing w:val="-13"/>
          <w:u w:val="none" w:color="auto"/>
        </w:rPr>
        <w:t>万元，主要包括：基本工资、津贴补贴、</w:t>
      </w:r>
      <w:r>
        <w:rPr>
          <w:rFonts w:hint="default" w:ascii="Times New Roman" w:hAnsi="Times New Roman" w:eastAsia="仿宋_GB2312" w:cs="Times New Roman"/>
          <w:spacing w:val="-14"/>
          <w:u w:val="none" w:color="auto"/>
        </w:rPr>
        <w:t>奖金、</w:t>
      </w:r>
      <w:r>
        <w:rPr>
          <w:rFonts w:hint="default" w:ascii="Times New Roman" w:hAnsi="Times New Roman" w:eastAsia="仿宋_GB2312" w:cs="Times New Roman"/>
          <w:spacing w:val="-5"/>
          <w:u w:val="none" w:color="auto"/>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役</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费、抚恤金、生活补助</w:t>
      </w:r>
      <w:r>
        <w:rPr>
          <w:rFonts w:hint="default" w:ascii="Times New Roman" w:hAnsi="Times New Roman" w:eastAsia="仿宋_GB2312" w:cs="Times New Roman"/>
          <w:spacing w:val="-6"/>
          <w:u w:val="none" w:color="auto"/>
        </w:rPr>
        <w:t>、救济费、医疗费</w:t>
      </w:r>
      <w:r>
        <w:rPr>
          <w:rFonts w:hint="default" w:ascii="Times New Roman" w:hAnsi="Times New Roman" w:eastAsia="仿宋_GB2312" w:cs="Times New Roman"/>
          <w:spacing w:val="-3"/>
          <w:u w:val="none" w:color="auto"/>
        </w:rPr>
        <w:t>补助、助学金、奖励金、个人农业生产补贴、代缴社会保险费、</w:t>
      </w:r>
      <w:r>
        <w:rPr>
          <w:rFonts w:hint="default" w:ascii="Times New Roman" w:hAnsi="Times New Roman" w:eastAsia="仿宋_GB2312" w:cs="Times New Roman"/>
          <w:spacing w:val="12"/>
          <w:u w:val="none" w:color="auto"/>
        </w:rPr>
        <w:t xml:space="preserve"> </w:t>
      </w:r>
      <w:r>
        <w:rPr>
          <w:rFonts w:hint="default" w:ascii="Times New Roman" w:hAnsi="Times New Roman" w:eastAsia="仿宋_GB2312" w:cs="Times New Roman"/>
          <w:spacing w:val="-1"/>
          <w:u w:val="none" w:color="auto"/>
        </w:rPr>
        <w:t>其他对个人和家庭的补助。</w:t>
      </w:r>
    </w:p>
    <w:p w14:paraId="655C59BD">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公用经费</w:t>
      </w:r>
      <w:r>
        <w:rPr>
          <w:rFonts w:hint="eastAsia" w:ascii="Times New Roman" w:hAnsi="Times New Roman" w:eastAsia="仿宋_GB2312" w:cs="Times New Roman"/>
          <w:spacing w:val="-6"/>
          <w:u w:val="none" w:color="auto"/>
          <w:lang w:val="en-US" w:eastAsia="zh-CN"/>
        </w:rPr>
        <w:t>166.22</w:t>
      </w:r>
      <w:r>
        <w:rPr>
          <w:rFonts w:hint="default" w:ascii="Times New Roman" w:hAnsi="Times New Roman" w:eastAsia="仿宋_GB2312" w:cs="Times New Roman"/>
          <w:spacing w:val="-128"/>
          <w:u w:val="none" w:color="auto"/>
        </w:rPr>
        <w:t xml:space="preserve"> </w:t>
      </w:r>
      <w:r>
        <w:rPr>
          <w:rFonts w:hint="default" w:ascii="Times New Roman" w:hAnsi="Times New Roman" w:eastAsia="仿宋_GB2312" w:cs="Times New Roman"/>
          <w:spacing w:val="-6"/>
          <w:u w:val="none" w:color="auto"/>
        </w:rPr>
        <w:t>万元，主要包括：办公费、</w:t>
      </w:r>
      <w:r>
        <w:rPr>
          <w:rFonts w:hint="default" w:ascii="Times New Roman" w:hAnsi="Times New Roman" w:eastAsia="仿宋_GB2312" w:cs="Times New Roman"/>
          <w:spacing w:val="-93"/>
          <w:u w:val="none" w:color="auto"/>
        </w:rPr>
        <w:t xml:space="preserve"> </w:t>
      </w:r>
      <w:r>
        <w:rPr>
          <w:rFonts w:hint="default" w:ascii="Times New Roman" w:hAnsi="Times New Roman" w:eastAsia="仿宋_GB2312" w:cs="Times New Roman"/>
          <w:spacing w:val="-6"/>
          <w:u w:val="none" w:color="auto"/>
        </w:rPr>
        <w:t>印刷费、咨询费、</w:t>
      </w:r>
      <w:r>
        <w:rPr>
          <w:rFonts w:hint="default" w:ascii="Times New Roman" w:hAnsi="Times New Roman" w:eastAsia="仿宋_GB2312" w:cs="Times New Roman"/>
          <w:spacing w:val="-3"/>
          <w:u w:val="none" w:color="auto"/>
        </w:rPr>
        <w:t>手续费、水费、电费、邮电费、取暖费、物业管理费、差旅费、</w:t>
      </w:r>
      <w:r>
        <w:rPr>
          <w:rFonts w:hint="default" w:ascii="Times New Roman" w:hAnsi="Times New Roman" w:eastAsia="仿宋_GB2312" w:cs="Times New Roman"/>
          <w:spacing w:val="-7"/>
          <w:u w:val="none" w:color="auto"/>
        </w:rPr>
        <w:t>因公出国</w:t>
      </w:r>
      <w:r>
        <w:rPr>
          <w:rFonts w:hint="default" w:ascii="Times New Roman" w:hAnsi="Times New Roman" w:eastAsia="仿宋_GB2312" w:cs="Times New Roman"/>
          <w:spacing w:val="-75"/>
          <w:u w:val="none" w:color="auto"/>
        </w:rPr>
        <w:t xml:space="preserve"> </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境</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费用、维修</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护</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费、租赁费、会议费、培训费、公</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务接待费、专用材料费、被装购置费、专用燃料费、劳务费、委托业务费、工会经费、福利费、公务用车运行维护费、其他交通</w:t>
      </w:r>
      <w:r>
        <w:rPr>
          <w:rFonts w:hint="default" w:ascii="Times New Roman" w:hAnsi="Times New Roman" w:eastAsia="仿宋_GB2312" w:cs="Times New Roman"/>
          <w:spacing w:val="-3"/>
          <w:u w:val="none" w:color="auto"/>
        </w:rPr>
        <w:t>费用、税金及附加费用、其他商品和服务支出、办公设备购置、</w:t>
      </w:r>
      <w:r>
        <w:rPr>
          <w:rFonts w:hint="default" w:ascii="Times New Roman" w:hAnsi="Times New Roman" w:eastAsia="仿宋_GB2312" w:cs="Times New Roman"/>
          <w:spacing w:val="-5"/>
          <w:u w:val="none" w:color="auto"/>
        </w:rPr>
        <w:t>专用设备购置、信息网络及软件购置更新、公务用车购置、文物</w:t>
      </w:r>
      <w:r>
        <w:rPr>
          <w:rFonts w:hint="default" w:ascii="Times New Roman" w:hAnsi="Times New Roman" w:eastAsia="仿宋_GB2312" w:cs="Times New Roman"/>
          <w:spacing w:val="-1"/>
          <w:u w:val="none" w:color="auto"/>
        </w:rPr>
        <w:t>和陈列品购置、无形资产购置、其他资本性支出。</w:t>
      </w:r>
    </w:p>
    <w:p w14:paraId="38D6263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14:paraId="7017A25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u w:val="none" w:color="auto"/>
          <w:lang w:eastAsia="zh-CN"/>
        </w:rPr>
      </w:pPr>
      <w:r>
        <w:rPr>
          <w:rFonts w:hint="default" w:ascii="Times New Roman" w:hAnsi="Times New Roman" w:eastAsia="仿宋_GB2312" w:cs="Times New Roman"/>
          <w:sz w:val="32"/>
          <w:szCs w:val="32"/>
          <w:u w:val="none" w:color="auto"/>
        </w:rPr>
        <w:t>本部门当年无政府性基金预算财政拨款收入支出</w:t>
      </w:r>
      <w:r>
        <w:rPr>
          <w:rFonts w:hint="eastAsia" w:ascii="Times New Roman" w:hAnsi="Times New Roman" w:eastAsia="仿宋_GB2312" w:cs="Times New Roman"/>
          <w:sz w:val="32"/>
          <w:szCs w:val="32"/>
          <w:u w:val="none" w:color="auto"/>
          <w:lang w:eastAsia="zh-CN"/>
        </w:rPr>
        <w:t>。</w:t>
      </w:r>
    </w:p>
    <w:p w14:paraId="000D893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14:paraId="7B043A58">
      <w:pPr>
        <w:pStyle w:val="8"/>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rPr>
          <w:rFonts w:hint="eastAsia" w:ascii="Times New Roman" w:hAnsi="Times New Roman" w:eastAsia="仿宋_GB2312" w:cs="Times New Roman"/>
          <w:sz w:val="32"/>
          <w:szCs w:val="32"/>
          <w:u w:val="none" w:color="auto"/>
          <w:lang w:eastAsia="zh-CN"/>
        </w:rPr>
      </w:pPr>
      <w:r>
        <w:rPr>
          <w:rFonts w:hint="default" w:ascii="Times New Roman" w:hAnsi="Times New Roman" w:eastAsia="仿宋_GB2312" w:cs="Times New Roman"/>
          <w:sz w:val="32"/>
          <w:szCs w:val="32"/>
          <w:u w:val="none" w:color="auto"/>
        </w:rPr>
        <w:t>本部门当年无国有资本经营预算财政拨款支出</w:t>
      </w:r>
      <w:r>
        <w:rPr>
          <w:rFonts w:hint="eastAsia" w:ascii="Times New Roman" w:hAnsi="Times New Roman" w:eastAsia="仿宋_GB2312" w:cs="Times New Roman"/>
          <w:sz w:val="32"/>
          <w:szCs w:val="32"/>
          <w:u w:val="none" w:color="auto"/>
          <w:lang w:eastAsia="zh-CN"/>
        </w:rPr>
        <w:t>。</w:t>
      </w:r>
    </w:p>
    <w:p w14:paraId="54287075">
      <w:pPr>
        <w:pStyle w:val="8"/>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14:paraId="40441A3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202</w:t>
      </w:r>
      <w:r>
        <w:rPr>
          <w:rFonts w:hint="eastAsia" w:ascii="Times New Roman" w:hAnsi="Times New Roman" w:eastAsia="仿宋_GB2312" w:cs="Times New Roman"/>
          <w:color w:val="000000"/>
          <w:sz w:val="32"/>
          <w:szCs w:val="32"/>
          <w:u w:val="none" w:color="auto"/>
          <w:lang w:val="en-US" w:eastAsia="zh-CN"/>
        </w:rPr>
        <w:t>4</w:t>
      </w:r>
      <w:r>
        <w:rPr>
          <w:rFonts w:hint="default" w:ascii="Times New Roman" w:hAnsi="Times New Roman" w:eastAsia="仿宋_GB2312" w:cs="Times New Roman"/>
          <w:color w:val="000000"/>
          <w:sz w:val="32"/>
          <w:szCs w:val="32"/>
          <w:u w:val="none" w:color="auto"/>
        </w:rPr>
        <w:t>年度武汉市光谷第二十六小学无“三公”经费支出</w:t>
      </w:r>
      <w:r>
        <w:rPr>
          <w:rFonts w:hint="eastAsia" w:ascii="Times New Roman" w:hAnsi="Times New Roman" w:eastAsia="仿宋_GB2312" w:cs="Times New Roman"/>
          <w:color w:val="000000"/>
          <w:sz w:val="32"/>
          <w:szCs w:val="32"/>
          <w:u w:val="none" w:color="auto"/>
          <w:lang w:eastAsia="zh-CN"/>
        </w:rPr>
        <w:t>。</w:t>
      </w:r>
    </w:p>
    <w:p w14:paraId="7DF26AB7">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14:paraId="3B2A325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202</w:t>
      </w:r>
      <w:r>
        <w:rPr>
          <w:rFonts w:hint="eastAsia" w:ascii="Times New Roman" w:hAnsi="Times New Roman" w:eastAsia="仿宋_GB2312" w:cs="Times New Roman"/>
          <w:color w:val="000000"/>
          <w:sz w:val="32"/>
          <w:szCs w:val="32"/>
          <w:u w:val="none" w:color="auto"/>
          <w:lang w:val="en-US" w:eastAsia="zh-CN"/>
        </w:rPr>
        <w:t>4</w:t>
      </w:r>
      <w:r>
        <w:rPr>
          <w:rFonts w:hint="default" w:ascii="Times New Roman" w:hAnsi="Times New Roman" w:eastAsia="仿宋_GB2312" w:cs="Times New Roman"/>
          <w:color w:val="000000"/>
          <w:sz w:val="32"/>
          <w:szCs w:val="32"/>
          <w:u w:val="none" w:color="auto"/>
        </w:rPr>
        <w:t>年度武汉市光谷第二十六小学无“三公”经费支出</w:t>
      </w:r>
      <w:r>
        <w:rPr>
          <w:rFonts w:hint="eastAsia" w:ascii="Times New Roman" w:hAnsi="Times New Roman" w:eastAsia="仿宋_GB2312" w:cs="Times New Roman"/>
          <w:color w:val="000000"/>
          <w:sz w:val="32"/>
          <w:szCs w:val="32"/>
          <w:u w:val="none" w:color="auto"/>
          <w:lang w:eastAsia="zh-CN"/>
        </w:rPr>
        <w:t>。</w:t>
      </w:r>
    </w:p>
    <w:p w14:paraId="33BBCB8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14:paraId="4179D2F2">
      <w:pPr>
        <w:pStyle w:val="14"/>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cs="Times New Roman"/>
          <w:bCs/>
          <w:kern w:val="44"/>
          <w:sz w:val="32"/>
          <w:szCs w:val="32"/>
          <w:u w:val="none" w:color="auto"/>
        </w:rPr>
      </w:pPr>
      <w:r>
        <w:rPr>
          <w:rFonts w:hint="default" w:ascii="Times New Roman" w:hAnsi="Times New Roman" w:cs="Times New Roman"/>
          <w:bCs/>
          <w:kern w:val="44"/>
          <w:sz w:val="32"/>
          <w:szCs w:val="32"/>
          <w:u w:val="none" w:color="auto"/>
        </w:rPr>
        <w:t>202</w:t>
      </w:r>
      <w:r>
        <w:rPr>
          <w:rFonts w:hint="eastAsia" w:ascii="Times New Roman" w:cs="Times New Roman"/>
          <w:bCs/>
          <w:kern w:val="44"/>
          <w:sz w:val="32"/>
          <w:szCs w:val="32"/>
          <w:u w:val="none" w:color="auto"/>
          <w:lang w:val="en-US" w:eastAsia="zh-CN"/>
        </w:rPr>
        <w:t>4</w:t>
      </w:r>
      <w:r>
        <w:rPr>
          <w:rFonts w:hint="default" w:ascii="Times New Roman" w:hAnsi="Times New Roman" w:cs="Times New Roman"/>
          <w:bCs/>
          <w:kern w:val="44"/>
          <w:sz w:val="32"/>
          <w:szCs w:val="32"/>
          <w:u w:val="none" w:color="auto"/>
        </w:rPr>
        <w:t>年度武汉市光谷第二十六小学机关运行经费支出     无。</w:t>
      </w:r>
    </w:p>
    <w:p w14:paraId="59F1F47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14:paraId="6F4C818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spacing w:val="-6"/>
          <w:u w:val="none" w:color="auto"/>
        </w:rPr>
        <w:t>202</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eastAsia" w:ascii="Times New Roman" w:hAnsi="Times New Roman" w:eastAsia="仿宋_GB2312" w:cs="Times New Roman"/>
          <w:spacing w:val="-6"/>
          <w:u w:val="none" w:color="auto"/>
          <w:lang w:eastAsia="zh-CN"/>
        </w:rPr>
        <w:t>武汉市光谷第二十六小学</w:t>
      </w:r>
      <w:r>
        <w:rPr>
          <w:rFonts w:hint="default" w:ascii="Times New Roman" w:hAnsi="Times New Roman" w:eastAsia="仿宋_GB2312" w:cs="Times New Roman"/>
          <w:spacing w:val="-6"/>
          <w:u w:val="none" w:color="auto"/>
        </w:rPr>
        <w:t>政府采购支出总额</w:t>
      </w:r>
      <w:r>
        <w:rPr>
          <w:rFonts w:hint="eastAsia" w:ascii="Times New Roman" w:hAnsi="Times New Roman" w:eastAsia="仿宋_GB2312" w:cs="Times New Roman"/>
          <w:spacing w:val="-6"/>
          <w:u w:val="none" w:color="auto"/>
          <w:lang w:val="en-US" w:eastAsia="zh-CN"/>
        </w:rPr>
        <w:t>35.44</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6"/>
          <w:u w:val="none" w:color="auto"/>
        </w:rPr>
        <w:t>万元，其中：政府采购货物支出</w:t>
      </w:r>
      <w:r>
        <w:rPr>
          <w:rFonts w:hint="eastAsia" w:ascii="Times New Roman" w:hAnsi="Times New Roman" w:eastAsia="仿宋_GB2312" w:cs="Times New Roman"/>
          <w:spacing w:val="-6"/>
          <w:u w:val="none" w:color="auto"/>
          <w:lang w:val="en-US" w:eastAsia="zh-CN"/>
        </w:rPr>
        <w:t>17.74</w:t>
      </w:r>
      <w:r>
        <w:rPr>
          <w:rFonts w:hint="default" w:ascii="Times New Roman" w:hAnsi="Times New Roman" w:eastAsia="仿宋_GB2312" w:cs="Times New Roman"/>
          <w:spacing w:val="-129"/>
          <w:u w:val="none" w:color="auto"/>
        </w:rPr>
        <w:t xml:space="preserve"> </w:t>
      </w:r>
      <w:r>
        <w:rPr>
          <w:rFonts w:hint="default" w:ascii="Times New Roman" w:hAnsi="Times New Roman" w:eastAsia="仿宋_GB2312" w:cs="Times New Roman"/>
          <w:spacing w:val="-125"/>
          <w:u w:val="none" w:color="auto"/>
        </w:rPr>
        <w:t xml:space="preserve"> </w:t>
      </w:r>
      <w:r>
        <w:rPr>
          <w:rFonts w:hint="default" w:ascii="Times New Roman" w:hAnsi="Times New Roman" w:eastAsia="仿宋_GB2312" w:cs="Times New Roman"/>
          <w:spacing w:val="-6"/>
          <w:u w:val="none" w:color="auto"/>
        </w:rPr>
        <w:t>万元、政府采购工程支出</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6"/>
          <w:u w:val="none" w:color="auto"/>
        </w:rPr>
        <w:t>万元、政府采购服务支出</w:t>
      </w:r>
      <w:r>
        <w:rPr>
          <w:rFonts w:hint="default" w:ascii="Times New Roman" w:hAnsi="Times New Roman" w:eastAsia="仿宋_GB2312" w:cs="Times New Roman"/>
          <w:spacing w:val="-6"/>
          <w:u w:val="none" w:color="auto"/>
        </w:rPr>
        <w:t xml:space="preserve"> </w:t>
      </w:r>
      <w:r>
        <w:rPr>
          <w:rFonts w:hint="eastAsia" w:ascii="Times New Roman" w:hAnsi="Times New Roman" w:eastAsia="仿宋_GB2312" w:cs="Times New Roman"/>
          <w:spacing w:val="-6"/>
          <w:u w:val="none" w:color="auto"/>
          <w:lang w:val="en-US" w:eastAsia="zh-CN"/>
        </w:rPr>
        <w:t>17.70</w:t>
      </w:r>
      <w:r>
        <w:rPr>
          <w:rFonts w:hint="default" w:ascii="Times New Roman" w:hAnsi="Times New Roman" w:eastAsia="仿宋_GB2312" w:cs="Times New Roman"/>
          <w:spacing w:val="-6"/>
          <w:u w:val="none" w:color="auto"/>
        </w:rPr>
        <w:t>万元。授予中小企业合同金额</w:t>
      </w:r>
      <w:r>
        <w:rPr>
          <w:rFonts w:hint="default" w:ascii="Times New Roman" w:hAnsi="Times New Roman" w:eastAsia="仿宋_GB2312" w:cs="Times New Roman"/>
          <w:spacing w:val="-6"/>
          <w:u w:val="none" w:color="auto"/>
        </w:rPr>
        <w:t xml:space="preserve"> </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万元，占政府采购</w:t>
      </w:r>
      <w:r>
        <w:rPr>
          <w:rFonts w:hint="default" w:ascii="Times New Roman" w:hAnsi="Times New Roman" w:eastAsia="仿宋_GB2312" w:cs="Times New Roman"/>
          <w:spacing w:val="-3"/>
          <w:u w:val="none" w:color="auto"/>
        </w:rPr>
        <w:t>支出总额的</w:t>
      </w:r>
      <w:r>
        <w:rPr>
          <w:rFonts w:hint="default" w:ascii="Times New Roman" w:hAnsi="Times New Roman" w:eastAsia="仿宋_GB2312" w:cs="Times New Roman"/>
          <w:spacing w:val="-3"/>
          <w:u w:val="none" w:color="auto"/>
        </w:rPr>
        <w:t xml:space="preserve"> </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3"/>
          <w:u w:val="none" w:color="auto"/>
        </w:rPr>
        <w:t>%，其中：授予小微企业合同金额</w:t>
      </w:r>
      <w:r>
        <w:rPr>
          <w:rFonts w:hint="eastAsia" w:ascii="Times New Roman" w:hAnsi="Times New Roman" w:eastAsia="仿宋_GB2312" w:cs="Times New Roman"/>
          <w:spacing w:val="-3"/>
          <w:u w:val="none" w:color="auto"/>
          <w:lang w:val="en-US" w:eastAsia="zh-CN"/>
        </w:rPr>
        <w:t>35.44</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w:t>
      </w:r>
      <w:r>
        <w:rPr>
          <w:rFonts w:hint="default" w:ascii="Times New Roman" w:hAnsi="Times New Roman" w:eastAsia="仿宋_GB2312" w:cs="Times New Roman"/>
          <w:spacing w:val="1"/>
          <w:u w:val="none" w:color="auto"/>
        </w:rPr>
        <w:t>授予中小企业合同金额的</w:t>
      </w:r>
      <w:r>
        <w:rPr>
          <w:rFonts w:hint="eastAsia" w:ascii="Times New Roman" w:hAnsi="Times New Roman" w:eastAsia="仿宋_GB2312" w:cs="Times New Roman"/>
          <w:spacing w:val="54"/>
          <w:u w:val="none" w:color="auto"/>
          <w:lang w:val="en-US" w:eastAsia="zh-CN"/>
        </w:rPr>
        <w:t>100</w:t>
      </w:r>
      <w:r>
        <w:rPr>
          <w:rFonts w:hint="default" w:ascii="Times New Roman" w:hAnsi="Times New Roman" w:eastAsia="仿宋_GB2312" w:cs="Times New Roman"/>
          <w:spacing w:val="1"/>
          <w:u w:val="none" w:color="auto"/>
        </w:rPr>
        <w:t>%；货物采购授予中小企业合同金额占货物支出金额的</w:t>
      </w:r>
      <w:r>
        <w:rPr>
          <w:rFonts w:hint="eastAsia" w:ascii="Times New Roman" w:hAnsi="Times New Roman" w:eastAsia="仿宋_GB2312" w:cs="Times New Roman"/>
          <w:spacing w:val="1"/>
          <w:u w:val="none" w:color="auto"/>
          <w:lang w:val="en-US" w:eastAsia="zh-CN"/>
        </w:rPr>
        <w:t>49.2</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%，工程采购授予中小企业合同金</w:t>
      </w:r>
      <w:r>
        <w:rPr>
          <w:rFonts w:hint="default" w:ascii="Times New Roman" w:hAnsi="Times New Roman" w:eastAsia="仿宋_GB2312" w:cs="Times New Roman"/>
          <w:u w:val="none" w:color="auto"/>
        </w:rPr>
        <w:t>额占</w:t>
      </w:r>
      <w:r>
        <w:rPr>
          <w:rFonts w:hint="default" w:ascii="Times New Roman" w:hAnsi="Times New Roman" w:eastAsia="仿宋_GB2312" w:cs="Times New Roman"/>
          <w:spacing w:val="1"/>
          <w:u w:val="none" w:color="auto"/>
        </w:rPr>
        <w:t>工程支出金额的</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u w:val="none" w:color="auto"/>
        </w:rPr>
        <w:t>%，服务采购授予中小企业合同金额占</w:t>
      </w:r>
      <w:r>
        <w:rPr>
          <w:rFonts w:hint="default" w:ascii="Times New Roman" w:hAnsi="Times New Roman" w:eastAsia="仿宋_GB2312" w:cs="Times New Roman"/>
          <w:u w:val="none" w:color="auto"/>
        </w:rPr>
        <w:t xml:space="preserve">服务 </w:t>
      </w:r>
      <w:r>
        <w:rPr>
          <w:rFonts w:hint="default" w:ascii="Times New Roman" w:hAnsi="Times New Roman" w:eastAsia="仿宋_GB2312" w:cs="Times New Roman"/>
          <w:spacing w:val="-2"/>
          <w:u w:val="none" w:color="auto"/>
        </w:rPr>
        <w:t>支出金额的</w:t>
      </w:r>
      <w:r>
        <w:rPr>
          <w:rFonts w:hint="default" w:ascii="Times New Roman" w:hAnsi="Times New Roman" w:eastAsia="仿宋_GB2312" w:cs="Times New Roman"/>
          <w:spacing w:val="-2"/>
          <w:u w:val="none" w:color="auto"/>
        </w:rPr>
        <w:t xml:space="preserve"> </w:t>
      </w:r>
      <w:r>
        <w:rPr>
          <w:rFonts w:hint="eastAsia" w:ascii="Times New Roman" w:hAnsi="Times New Roman" w:eastAsia="仿宋_GB2312" w:cs="Times New Roman"/>
          <w:spacing w:val="-2"/>
          <w:u w:val="none" w:color="auto"/>
          <w:lang w:val="en-US" w:eastAsia="zh-CN"/>
        </w:rPr>
        <w:t>50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2"/>
          <w:u w:val="none" w:color="auto"/>
        </w:rPr>
        <w:t>%。</w:t>
      </w:r>
    </w:p>
    <w:p w14:paraId="7932C5C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十二、国有资产占用情况说明</w:t>
      </w:r>
    </w:p>
    <w:p w14:paraId="2F7FFC2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u w:val="none" w:color="auto"/>
        </w:rPr>
      </w:pPr>
      <w:r>
        <w:rPr>
          <w:rFonts w:hint="default" w:ascii="Times New Roman" w:hAnsi="Times New Roman" w:eastAsia="仿宋_GB2312" w:cs="Times New Roman"/>
          <w:bCs/>
          <w:kern w:val="44"/>
          <w:sz w:val="32"/>
          <w:szCs w:val="32"/>
          <w:u w:val="none" w:color="auto"/>
        </w:rPr>
        <w:t>截至 202</w:t>
      </w:r>
      <w:r>
        <w:rPr>
          <w:rFonts w:hint="eastAsia" w:ascii="Times New Roman" w:hAnsi="Times New Roman" w:eastAsia="仿宋_GB2312" w:cs="Times New Roman"/>
          <w:bCs/>
          <w:kern w:val="44"/>
          <w:sz w:val="32"/>
          <w:szCs w:val="32"/>
          <w:u w:val="none" w:color="auto"/>
          <w:lang w:val="en-US" w:eastAsia="zh-CN"/>
        </w:rPr>
        <w:t>4</w:t>
      </w:r>
      <w:r>
        <w:rPr>
          <w:rFonts w:hint="default" w:ascii="Times New Roman" w:hAnsi="Times New Roman" w:eastAsia="仿宋_GB2312" w:cs="Times New Roman"/>
          <w:bCs/>
          <w:kern w:val="44"/>
          <w:sz w:val="32"/>
          <w:szCs w:val="32"/>
          <w:u w:val="none" w:color="auto"/>
        </w:rPr>
        <w:t>年12月31</w:t>
      </w:r>
      <w:bookmarkStart w:id="0" w:name="_GoBack"/>
      <w:bookmarkEnd w:id="0"/>
      <w:r>
        <w:rPr>
          <w:rFonts w:hint="default" w:ascii="Times New Roman" w:hAnsi="Times New Roman" w:eastAsia="仿宋_GB2312" w:cs="Times New Roman"/>
          <w:bCs/>
          <w:kern w:val="44"/>
          <w:sz w:val="32"/>
          <w:szCs w:val="32"/>
          <w:u w:val="none" w:color="auto"/>
        </w:rPr>
        <w:t>日</w:t>
      </w:r>
      <w:r>
        <w:rPr>
          <w:rFonts w:hint="default" w:ascii="Times New Roman" w:hAnsi="Times New Roman" w:eastAsia="仿宋_GB2312" w:cs="Times New Roman"/>
          <w:bCs/>
          <w:kern w:val="44"/>
          <w:sz w:val="32"/>
          <w:szCs w:val="32"/>
          <w:u w:val="none" w:color="auto"/>
        </w:rPr>
        <w:t>，武汉市光谷第二十六小学共有车辆0辆。单价50 万元(含)以上通用设备0台(套)，单价100万元(含)以上专用设备0台(套)。</w:t>
      </w:r>
    </w:p>
    <w:p w14:paraId="088035F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十三、预算绩效情况说明</w:t>
      </w:r>
    </w:p>
    <w:p w14:paraId="639DFF8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一</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预算绩效管理工作开展情况</w:t>
      </w:r>
    </w:p>
    <w:p w14:paraId="06E3DA1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rPr>
        <w:t>根据预算绩效管理要求，我部门</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组织对</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60"/>
          <w:u w:val="none" w:color="auto"/>
        </w:rPr>
        <w:t xml:space="preserve"> </w:t>
      </w:r>
      <w:r>
        <w:rPr>
          <w:rFonts w:hint="default" w:ascii="Times New Roman" w:hAnsi="Times New Roman" w:eastAsia="仿宋_GB2312" w:cs="Times New Roman"/>
          <w:spacing w:val="-4"/>
          <w:u w:val="none" w:color="auto"/>
        </w:rPr>
        <w:t>年度一</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3"/>
          <w:u w:val="none" w:color="auto"/>
        </w:rPr>
        <w:t>般公共预算项目支出全面开展绩效自评，共</w:t>
      </w:r>
      <w:r>
        <w:rPr>
          <w:rFonts w:hint="default" w:ascii="Times New Roman" w:hAnsi="Times New Roman" w:eastAsia="仿宋_GB2312" w:cs="Times New Roman"/>
          <w:spacing w:val="-4"/>
          <w:u w:val="none" w:color="auto"/>
        </w:rPr>
        <w:t>涉及项目</w:t>
      </w:r>
      <w:r>
        <w:rPr>
          <w:rFonts w:hint="eastAsia" w:ascii="Times New Roman" w:hAnsi="Times New Roman" w:eastAsia="仿宋_GB2312" w:cs="Times New Roman"/>
          <w:spacing w:val="-4"/>
          <w:u w:val="none" w:color="auto"/>
          <w:lang w:val="en-US" w:eastAsia="zh-CN"/>
        </w:rPr>
        <w:t>2</w:t>
      </w:r>
      <w:r>
        <w:rPr>
          <w:rFonts w:hint="default" w:ascii="Times New Roman" w:hAnsi="Times New Roman" w:eastAsia="仿宋_GB2312" w:cs="Times New Roman"/>
          <w:spacing w:val="-4"/>
          <w:u w:val="none" w:color="auto"/>
        </w:rPr>
        <w:t>个，</w:t>
      </w:r>
      <w:r>
        <w:rPr>
          <w:rFonts w:hint="default" w:ascii="Times New Roman" w:hAnsi="Times New Roman" w:eastAsia="仿宋_GB2312" w:cs="Times New Roman"/>
          <w:spacing w:val="-3"/>
          <w:u w:val="none" w:color="auto"/>
        </w:rPr>
        <w:t>资金</w:t>
      </w:r>
      <w:r>
        <w:rPr>
          <w:rFonts w:hint="eastAsia" w:ascii="Times New Roman" w:hAnsi="Times New Roman" w:eastAsia="仿宋_GB2312" w:cs="Times New Roman"/>
          <w:spacing w:val="-3"/>
          <w:u w:val="none" w:color="auto"/>
          <w:lang w:val="en-US" w:eastAsia="zh-CN"/>
        </w:rPr>
        <w:t>2105.91</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spacing w:val="-89"/>
          <w:u w:val="none" w:color="auto"/>
        </w:rPr>
        <w:t xml:space="preserve"> </w:t>
      </w:r>
      <w:r>
        <w:rPr>
          <w:rFonts w:hint="default" w:ascii="Times New Roman" w:hAnsi="Times New Roman" w:eastAsia="仿宋_GB2312" w:cs="Times New Roman"/>
          <w:spacing w:val="-3"/>
          <w:u w:val="none" w:color="auto"/>
        </w:rPr>
        <w:t>占一般公共预算项目支出总额的</w:t>
      </w:r>
      <w:r>
        <w:rPr>
          <w:rFonts w:hint="eastAsia"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3"/>
          <w:u w:val="none" w:color="auto"/>
        </w:rPr>
        <w:t xml:space="preserve"> </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3"/>
          <w:u w:val="none" w:color="auto"/>
        </w:rPr>
        <w:t>%。从</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6"/>
          <w:u w:val="none" w:color="auto"/>
        </w:rPr>
        <w:t>绩效评价情况来看，</w:t>
      </w:r>
      <w:r>
        <w:rPr>
          <w:rFonts w:hint="default" w:ascii="Times New Roman" w:hAnsi="Times New Roman" w:eastAsia="仿宋_GB2312" w:cs="Times New Roman"/>
          <w:spacing w:val="-98"/>
          <w:u w:val="none" w:color="auto"/>
        </w:rPr>
        <w:t xml:space="preserve"> </w:t>
      </w:r>
      <w:r>
        <w:rPr>
          <w:rFonts w:hint="default" w:ascii="Times New Roman" w:hAnsi="Times New Roman" w:eastAsia="仿宋_GB2312" w:cs="Times New Roman"/>
          <w:sz w:val="32"/>
          <w:szCs w:val="32"/>
          <w:u w:val="none" w:color="auto"/>
        </w:rPr>
        <w:t>社会效益良好，得到广大家长的认可</w:t>
      </w:r>
      <w:r>
        <w:rPr>
          <w:rFonts w:hint="default" w:ascii="Times New Roman" w:hAnsi="Times New Roman" w:eastAsia="仿宋_GB2312" w:cs="Times New Roman"/>
          <w:spacing w:val="-6"/>
          <w:u w:val="none" w:color="auto"/>
        </w:rPr>
        <w:t>。</w:t>
      </w:r>
    </w:p>
    <w:p w14:paraId="177A15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二</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部门</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单位</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整体支出自评结果</w:t>
      </w:r>
    </w:p>
    <w:p w14:paraId="4052D01D">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u w:val="none" w:color="auto"/>
          <w:lang w:val="en-US" w:eastAsia="zh-CN"/>
        </w:rPr>
      </w:pPr>
      <w:r>
        <w:rPr>
          <w:rFonts w:hint="default" w:ascii="Times New Roman" w:hAnsi="Times New Roman" w:eastAsia="仿宋_GB2312" w:cs="Times New Roman"/>
          <w:spacing w:val="-3"/>
          <w:u w:val="none" w:color="auto"/>
        </w:rPr>
        <w:t>我部门</w:t>
      </w:r>
      <w:r>
        <w:rPr>
          <w:rFonts w:hint="default" w:ascii="Times New Roman" w:hAnsi="Times New Roman" w:eastAsia="仿宋_GB2312" w:cs="Times New Roman"/>
          <w:spacing w:val="-70"/>
          <w:u w:val="none" w:color="auto"/>
        </w:rPr>
        <w:t xml:space="preserve"> </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组织对</w:t>
      </w:r>
      <w:r>
        <w:rPr>
          <w:rFonts w:hint="default" w:ascii="Times New Roman" w:hAnsi="Times New Roman" w:eastAsia="仿宋_GB2312" w:cs="Times New Roman"/>
          <w:spacing w:val="-151"/>
          <w:u w:val="none" w:color="auto"/>
        </w:rPr>
        <w:t xml:space="preserve"> </w:t>
      </w:r>
      <w:r>
        <w:rPr>
          <w:rFonts w:hint="eastAsia" w:ascii="Times New Roman" w:hAnsi="Times New Roman" w:eastAsia="仿宋_GB2312" w:cs="Times New Roman"/>
          <w:spacing w:val="7"/>
          <w:u w:val="none" w:color="auto"/>
          <w:lang w:val="en-US" w:eastAsia="zh-CN"/>
        </w:rPr>
        <w:t>1</w:t>
      </w:r>
      <w:r>
        <w:rPr>
          <w:rFonts w:hint="default" w:ascii="Times New Roman" w:hAnsi="Times New Roman" w:eastAsia="仿宋_GB2312" w:cs="Times New Roman"/>
          <w:spacing w:val="-3"/>
          <w:u w:val="none" w:color="auto"/>
        </w:rPr>
        <w:t>个部门</w:t>
      </w:r>
      <w:r>
        <w:rPr>
          <w:rFonts w:hint="default" w:ascii="Times New Roman" w:hAnsi="Times New Roman" w:eastAsia="仿宋_GB2312" w:cs="Times New Roman"/>
          <w:spacing w:val="-75"/>
          <w:u w:val="none" w:color="auto"/>
        </w:rPr>
        <w:t xml:space="preserve"> </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单位</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开展整体支出绩</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7"/>
          <w:u w:val="none" w:color="auto"/>
        </w:rPr>
        <w:t>效自评，资金</w:t>
      </w:r>
      <w:r>
        <w:rPr>
          <w:rFonts w:hint="default" w:ascii="Times New Roman" w:hAnsi="Times New Roman" w:eastAsia="仿宋_GB2312" w:cs="Times New Roman"/>
          <w:spacing w:val="-7"/>
          <w:u w:val="none" w:color="auto"/>
        </w:rPr>
        <w:t xml:space="preserve"> </w:t>
      </w:r>
      <w:r>
        <w:rPr>
          <w:rFonts w:hint="eastAsia" w:ascii="Times New Roman" w:hAnsi="Times New Roman" w:eastAsia="仿宋_GB2312" w:cs="Times New Roman"/>
          <w:spacing w:val="-7"/>
          <w:u w:val="none" w:color="auto"/>
          <w:lang w:val="en-US" w:eastAsia="zh-CN"/>
        </w:rPr>
        <w:t>2105.91</w:t>
      </w:r>
      <w:r>
        <w:rPr>
          <w:rFonts w:hint="default" w:ascii="Times New Roman" w:hAnsi="Times New Roman" w:eastAsia="仿宋_GB2312" w:cs="Times New Roman"/>
          <w:spacing w:val="-7"/>
          <w:u w:val="none" w:color="auto"/>
        </w:rPr>
        <w:t>万元，从评价情况来看，</w:t>
      </w:r>
      <w:r>
        <w:rPr>
          <w:rFonts w:hint="default" w:ascii="Times New Roman" w:hAnsi="Times New Roman" w:eastAsia="仿宋_GB2312" w:cs="Times New Roman"/>
          <w:sz w:val="32"/>
          <w:szCs w:val="32"/>
          <w:u w:val="none" w:color="auto"/>
        </w:rPr>
        <w:t>资金完成情况良好</w:t>
      </w:r>
      <w:r>
        <w:rPr>
          <w:rFonts w:hint="default" w:ascii="Times New Roman" w:hAnsi="Times New Roman" w:eastAsia="仿宋_GB2312" w:cs="Times New Roman"/>
          <w:spacing w:val="-6"/>
          <w:u w:val="none" w:color="auto"/>
        </w:rPr>
        <w:t>。</w:t>
      </w:r>
    </w:p>
    <w:p w14:paraId="22618F8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三</w:t>
      </w: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项目支出自评结果</w:t>
      </w:r>
    </w:p>
    <w:p w14:paraId="47870538">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我部门</w:t>
      </w:r>
      <w:r>
        <w:rPr>
          <w:rFonts w:hint="default" w:ascii="Times New Roman" w:hAnsi="Times New Roman" w:eastAsia="仿宋_GB2312" w:cs="Times New Roman"/>
          <w:spacing w:val="-68"/>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单位</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在</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4"/>
          <w:u w:val="none" w:color="auto"/>
        </w:rPr>
        <w:t>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4"/>
          <w:u w:val="none" w:color="auto"/>
        </w:rPr>
        <w:t>年度部门决算中反映所有项目绩效自</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评结果</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不包括涉密项目</w:t>
      </w:r>
      <w:r>
        <w:rPr>
          <w:rFonts w:hint="eastAsia"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，共涉及</w:t>
      </w:r>
      <w:r>
        <w:rPr>
          <w:rFonts w:hint="eastAsia" w:ascii="Times New Roman" w:hAnsi="Times New Roman" w:eastAsia="仿宋_GB2312" w:cs="Times New Roman"/>
          <w:spacing w:val="-1"/>
          <w:u w:val="none" w:color="auto"/>
          <w:lang w:val="en-US" w:eastAsia="zh-CN"/>
        </w:rPr>
        <w:t>1</w:t>
      </w:r>
      <w:r>
        <w:rPr>
          <w:rFonts w:hint="default" w:ascii="Times New Roman" w:hAnsi="Times New Roman" w:eastAsia="仿宋_GB2312" w:cs="Times New Roman"/>
          <w:spacing w:val="-142"/>
          <w:u w:val="none" w:color="auto"/>
        </w:rPr>
        <w:t xml:space="preserve"> </w:t>
      </w:r>
      <w:r>
        <w:rPr>
          <w:rFonts w:hint="default" w:ascii="Times New Roman" w:hAnsi="Times New Roman" w:eastAsia="仿宋_GB2312" w:cs="Times New Roman"/>
          <w:spacing w:val="-1"/>
          <w:u w:val="none" w:color="auto"/>
        </w:rPr>
        <w:t>个一级项目。</w:t>
      </w:r>
    </w:p>
    <w:p w14:paraId="0EFAFF7F">
      <w:pPr>
        <w:keepNext w:val="0"/>
        <w:keepLines w:val="0"/>
        <w:pageBreakBefore w:val="0"/>
        <w:widowControl w:val="0"/>
        <w:kinsoku/>
        <w:wordWrap/>
        <w:overflowPunct/>
        <w:topLinePunct w:val="0"/>
        <w:bidi w:val="0"/>
        <w:adjustRightInd w:val="0"/>
        <w:snapToGrid w:val="0"/>
        <w:spacing w:line="560" w:lineRule="exact"/>
        <w:ind w:firstLine="624" w:firstLineChars="200"/>
        <w:textAlignment w:val="auto"/>
        <w:outlineLvl w:val="9"/>
        <w:rPr>
          <w:rFonts w:hint="default" w:ascii="Times New Roman" w:hAnsi="Times New Roman" w:eastAsia="仿宋_GB2312" w:cs="Times New Roman"/>
          <w:snapToGrid w:val="0"/>
          <w:color w:val="000000"/>
          <w:spacing w:val="-4"/>
          <w:kern w:val="0"/>
          <w:sz w:val="32"/>
          <w:szCs w:val="32"/>
          <w:u w:val="none" w:color="auto"/>
          <w:lang w:val="en-US" w:eastAsia="en-US" w:bidi="ar-SA"/>
        </w:rPr>
      </w:pPr>
      <w:r>
        <w:rPr>
          <w:rFonts w:hint="default" w:ascii="Times New Roman" w:hAnsi="Times New Roman" w:eastAsia="仿宋_GB2312" w:cs="Times New Roman"/>
          <w:snapToGrid w:val="0"/>
          <w:color w:val="000000"/>
          <w:spacing w:val="-4"/>
          <w:kern w:val="0"/>
          <w:sz w:val="32"/>
          <w:szCs w:val="32"/>
          <w:u w:val="none" w:color="auto"/>
          <w:lang w:val="en-US" w:eastAsia="en-US" w:bidi="ar-SA"/>
        </w:rPr>
        <w:t>1.课后服务费项目项目绩效自评综述：项目全年预算数为</w:t>
      </w:r>
      <w:r>
        <w:rPr>
          <w:rFonts w:hint="eastAsia" w:ascii="Times New Roman" w:hAnsi="Times New Roman" w:eastAsia="仿宋_GB2312" w:cs="Times New Roman"/>
          <w:snapToGrid w:val="0"/>
          <w:color w:val="000000"/>
          <w:spacing w:val="-4"/>
          <w:kern w:val="0"/>
          <w:sz w:val="32"/>
          <w:szCs w:val="32"/>
          <w:u w:val="none" w:color="auto"/>
          <w:lang w:val="en-US" w:eastAsia="zh-CN" w:bidi="ar-SA"/>
        </w:rPr>
        <w:t>210.72</w:t>
      </w:r>
      <w:r>
        <w:rPr>
          <w:rFonts w:hint="default" w:ascii="Times New Roman" w:hAnsi="Times New Roman" w:eastAsia="仿宋_GB2312" w:cs="Times New Roman"/>
          <w:snapToGrid w:val="0"/>
          <w:color w:val="000000"/>
          <w:spacing w:val="-4"/>
          <w:kern w:val="0"/>
          <w:sz w:val="32"/>
          <w:szCs w:val="32"/>
          <w:u w:val="none" w:color="auto"/>
          <w:lang w:val="en-US" w:eastAsia="en-US" w:bidi="ar-SA"/>
        </w:rPr>
        <w:t>万元，执行数为</w:t>
      </w:r>
      <w:r>
        <w:rPr>
          <w:rFonts w:hint="eastAsia" w:ascii="Times New Roman" w:hAnsi="Times New Roman" w:eastAsia="仿宋_GB2312" w:cs="Times New Roman"/>
          <w:snapToGrid w:val="0"/>
          <w:color w:val="000000"/>
          <w:spacing w:val="-4"/>
          <w:kern w:val="0"/>
          <w:sz w:val="32"/>
          <w:szCs w:val="32"/>
          <w:u w:val="none" w:color="auto"/>
          <w:lang w:val="en-US" w:eastAsia="zh-CN" w:bidi="ar-SA"/>
        </w:rPr>
        <w:t>103.34</w:t>
      </w:r>
      <w:r>
        <w:rPr>
          <w:rFonts w:hint="default" w:ascii="Times New Roman" w:hAnsi="Times New Roman" w:eastAsia="仿宋_GB2312" w:cs="Times New Roman"/>
          <w:snapToGrid w:val="0"/>
          <w:color w:val="000000"/>
          <w:spacing w:val="-4"/>
          <w:kern w:val="0"/>
          <w:sz w:val="32"/>
          <w:szCs w:val="32"/>
          <w:u w:val="none" w:color="auto"/>
          <w:lang w:val="en-US" w:eastAsia="en-US" w:bidi="ar-SA"/>
        </w:rPr>
        <w:t>万元，完成预算的</w:t>
      </w:r>
      <w:r>
        <w:rPr>
          <w:rFonts w:hint="eastAsia" w:ascii="Times New Roman" w:hAnsi="Times New Roman" w:eastAsia="仿宋_GB2312" w:cs="Times New Roman"/>
          <w:snapToGrid w:val="0"/>
          <w:color w:val="000000"/>
          <w:spacing w:val="-4"/>
          <w:kern w:val="0"/>
          <w:sz w:val="32"/>
          <w:szCs w:val="32"/>
          <w:u w:val="none" w:color="auto"/>
          <w:lang w:val="en-US" w:eastAsia="zh-CN" w:bidi="ar-SA"/>
        </w:rPr>
        <w:t>49.1</w:t>
      </w:r>
      <w:r>
        <w:rPr>
          <w:rFonts w:hint="default" w:ascii="Times New Roman" w:hAnsi="Times New Roman" w:eastAsia="仿宋_GB2312" w:cs="Times New Roman"/>
          <w:snapToGrid w:val="0"/>
          <w:color w:val="000000"/>
          <w:spacing w:val="-4"/>
          <w:kern w:val="0"/>
          <w:sz w:val="32"/>
          <w:szCs w:val="32"/>
          <w:u w:val="none" w:color="auto"/>
          <w:lang w:val="en-US" w:eastAsia="en-US" w:bidi="ar-SA"/>
        </w:rPr>
        <w:t xml:space="preserve"> %。主要产出和效益是：一是做好中小学、学前教育共同发展，促进区域内学校帮扶及高效发展；二是促进学生素质发展。保障学校教学活动正常运转，促进促进学校事业发展，为学生提供优质教育。发现的问题及原因无。</w:t>
      </w:r>
    </w:p>
    <w:p w14:paraId="5AE0851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四</w:t>
      </w: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绩效自评结果应用情况</w:t>
      </w:r>
    </w:p>
    <w:p w14:paraId="21C55C22">
      <w:pPr>
        <w:rPr>
          <w:rFonts w:hint="default" w:ascii="Times New Roman" w:hAnsi="Times New Roman" w:eastAsia="仿宋_GB2312" w:cs="Times New Roman"/>
          <w:b/>
          <w:bCs/>
          <w:sz w:val="32"/>
          <w:szCs w:val="32"/>
          <w:u w:val="none" w:color="auto"/>
        </w:rPr>
      </w:pPr>
      <w:r>
        <w:rPr>
          <w:rFonts w:hint="default" w:ascii="Times New Roman" w:hAnsi="Times New Roman" w:eastAsia="仿宋_GB2312" w:cs="Times New Roman"/>
          <w:sz w:val="32"/>
          <w:szCs w:val="32"/>
          <w:u w:val="none" w:color="auto"/>
        </w:rPr>
        <w:t>加强项目规划、绩效目标管理，完善项目分配和管理办法、加强项目管理、结果与预算安排相结合。</w:t>
      </w:r>
      <w:r>
        <w:rPr>
          <w:rFonts w:hint="default" w:ascii="Times New Roman" w:hAnsi="Times New Roman" w:eastAsia="仿宋_GB2312" w:cs="Times New Roman"/>
          <w:b/>
          <w:bCs/>
          <w:sz w:val="32"/>
          <w:szCs w:val="32"/>
          <w:u w:val="none" w:color="auto"/>
        </w:rPr>
        <w:br w:type="page"/>
      </w:r>
    </w:p>
    <w:p w14:paraId="3CF047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u w:val="none" w:color="auto"/>
        </w:rPr>
      </w:pPr>
      <w:r>
        <w:rPr>
          <w:rFonts w:hint="eastAsia" w:ascii="方正小标宋_GBK" w:hAnsi="方正小标宋_GBK" w:eastAsia="方正小标宋_GBK" w:cs="方正小标宋_GBK"/>
          <w:spacing w:val="-2"/>
          <w:sz w:val="44"/>
          <w:szCs w:val="44"/>
          <w:u w:val="none" w:color="auto"/>
        </w:rPr>
        <w:t xml:space="preserve">第四部分  </w:t>
      </w:r>
      <w:r>
        <w:rPr>
          <w:rFonts w:hint="eastAsia" w:ascii="Times New Roman" w:hAnsi="方正小标宋_GBK" w:eastAsia="方正小标宋_GBK" w:cs="方正小标宋_GBK"/>
          <w:spacing w:val="-2"/>
          <w:sz w:val="44"/>
          <w:szCs w:val="44"/>
          <w:u w:val="none" w:color="auto"/>
        </w:rPr>
        <w:t>202</w:t>
      </w:r>
      <w:r>
        <w:rPr>
          <w:rFonts w:hint="eastAsia" w:ascii="Times New Roman" w:hAnsi="方正小标宋_GBK" w:eastAsia="方正小标宋_GBK" w:cs="方正小标宋_GBK"/>
          <w:spacing w:val="-2"/>
          <w:sz w:val="44"/>
          <w:szCs w:val="44"/>
          <w:u w:val="none" w:color="auto"/>
          <w:lang w:val="en-US" w:eastAsia="zh-CN"/>
        </w:rPr>
        <w:t>4</w:t>
      </w:r>
      <w:r>
        <w:rPr>
          <w:rFonts w:hint="eastAsia" w:ascii="方正小标宋_GBK" w:hAnsi="方正小标宋_GBK" w:eastAsia="方正小标宋_GBK" w:cs="方正小标宋_GBK"/>
          <w:spacing w:val="-82"/>
          <w:sz w:val="44"/>
          <w:szCs w:val="44"/>
          <w:u w:val="none" w:color="auto"/>
        </w:rPr>
        <w:t xml:space="preserve"> </w:t>
      </w:r>
      <w:r>
        <w:rPr>
          <w:rFonts w:hint="eastAsia" w:ascii="方正小标宋_GBK" w:hAnsi="方正小标宋_GBK" w:eastAsia="方正小标宋_GBK" w:cs="方正小标宋_GBK"/>
          <w:spacing w:val="-2"/>
          <w:sz w:val="44"/>
          <w:szCs w:val="44"/>
          <w:u w:val="none" w:color="auto"/>
        </w:rPr>
        <w:t>年重点工作完成情况</w:t>
      </w:r>
    </w:p>
    <w:p w14:paraId="392BB5A9">
      <w:pPr>
        <w:spacing w:line="249" w:lineRule="auto"/>
        <w:rPr>
          <w:rFonts w:hint="default" w:ascii="Times New Roman" w:hAnsi="Times New Roman" w:cs="Times New Roman"/>
          <w:sz w:val="21"/>
          <w:u w:val="none" w:color="auto"/>
        </w:rPr>
      </w:pPr>
    </w:p>
    <w:p w14:paraId="06E3D9A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284" w:lineRule="auto"/>
        <w:ind w:left="0" w:leftChars="0" w:right="0" w:rightChars="0" w:firstLine="632" w:firstLineChars="200"/>
        <w:textAlignment w:val="baseline"/>
        <w:rPr>
          <w:rFonts w:hint="eastAsia" w:ascii="Times New Roman" w:hAnsi="Times New Roman" w:eastAsia="仿宋_GB2312" w:cs="Times New Roman"/>
          <w:u w:val="none" w:color="auto"/>
          <w:lang w:eastAsia="zh-CN"/>
        </w:rPr>
      </w:pPr>
      <w:r>
        <w:rPr>
          <w:rFonts w:hint="default" w:ascii="Times New Roman" w:hAnsi="Times New Roman" w:eastAsia="黑体" w:cs="Times New Roman"/>
          <w:spacing w:val="-2"/>
          <w:u w:val="none" w:color="auto"/>
        </w:rPr>
        <w:t>一、重点工作事项标题</w:t>
      </w:r>
      <w:r>
        <w:rPr>
          <w:rFonts w:hint="default" w:ascii="Times New Roman" w:hAnsi="Times New Roman" w:eastAsia="黑体" w:cs="Times New Roman"/>
          <w:spacing w:val="8"/>
          <w:u w:val="none" w:color="auto"/>
        </w:rPr>
        <w:t xml:space="preserve"> </w:t>
      </w:r>
      <w:r>
        <w:rPr>
          <w:rFonts w:hint="default" w:ascii="Times New Roman" w:hAnsi="Times New Roman" w:eastAsia="仿宋_GB2312" w:cs="Times New Roman"/>
          <w:bCs/>
          <w:spacing w:val="0"/>
          <w:w w:val="100"/>
          <w:position w:val="0"/>
          <w:sz w:val="32"/>
          <w:szCs w:val="32"/>
          <w:u w:val="none" w:color="auto"/>
          <w:lang w:val="en-US" w:eastAsia="zh-CN"/>
        </w:rPr>
        <w:t>实施小学义务教育，促进基础教育发展，完成小学教育任务</w:t>
      </w:r>
      <w:r>
        <w:rPr>
          <w:rFonts w:hint="eastAsia" w:ascii="Times New Roman" w:hAnsi="Times New Roman" w:eastAsia="仿宋_GB2312" w:cs="Times New Roman"/>
          <w:bCs/>
          <w:spacing w:val="0"/>
          <w:w w:val="100"/>
          <w:position w:val="0"/>
          <w:sz w:val="32"/>
          <w:szCs w:val="32"/>
          <w:u w:val="none" w:color="auto"/>
          <w:lang w:val="en-US" w:eastAsia="zh-CN"/>
        </w:rPr>
        <w:t>。</w:t>
      </w:r>
    </w:p>
    <w:p w14:paraId="255E13B9">
      <w:pPr>
        <w:pStyle w:val="4"/>
        <w:spacing w:before="218" w:line="283" w:lineRule="auto"/>
        <w:ind w:left="1471" w:right="4738" w:hanging="705"/>
        <w:rPr>
          <w:rFonts w:hint="eastAsia" w:ascii="Times New Roman" w:hAnsi="Times New Roman" w:eastAsia="仿宋" w:cs="Times New Roman"/>
          <w:u w:val="none" w:color="auto"/>
          <w:lang w:eastAsia="zh-CN"/>
        </w:rPr>
      </w:pPr>
      <w:r>
        <w:rPr>
          <w:rFonts w:hint="default" w:ascii="Times New Roman" w:hAnsi="Times New Roman" w:eastAsia="黑体" w:cs="Times New Roman"/>
          <w:spacing w:val="-2"/>
          <w:u w:val="none" w:color="auto"/>
        </w:rPr>
        <w:t>二、重点工作事项标题</w:t>
      </w:r>
      <w:r>
        <w:rPr>
          <w:rFonts w:hint="default" w:ascii="Times New Roman" w:hAnsi="Times New Roman" w:eastAsia="黑体" w:cs="Times New Roman"/>
          <w:spacing w:val="8"/>
          <w:u w:val="none" w:color="auto"/>
        </w:rPr>
        <w:t xml:space="preserve"> </w:t>
      </w:r>
      <w:r>
        <w:rPr>
          <w:rFonts w:hint="eastAsia" w:ascii="Times New Roman" w:hAnsi="Times New Roman" w:eastAsia="黑体" w:cs="Times New Roman"/>
          <w:spacing w:val="-14"/>
          <w:u w:val="none" w:color="auto"/>
          <w:lang w:eastAsia="zh-CN"/>
        </w:rPr>
        <w:t>（</w:t>
      </w:r>
      <w:r>
        <w:rPr>
          <w:rFonts w:hint="default" w:ascii="Times New Roman" w:hAnsi="Times New Roman" w:eastAsia="仿宋_GB2312" w:cs="Times New Roman"/>
          <w:spacing w:val="-14"/>
          <w:u w:val="none" w:color="auto"/>
        </w:rPr>
        <w:t>主要内容</w:t>
      </w:r>
      <w:r>
        <w:rPr>
          <w:rFonts w:hint="eastAsia" w:ascii="Times New Roman" w:hAnsi="Times New Roman" w:eastAsia="仿宋_GB2312" w:cs="Times New Roman"/>
          <w:spacing w:val="-14"/>
          <w:u w:val="none" w:color="auto"/>
          <w:lang w:eastAsia="zh-CN"/>
        </w:rPr>
        <w:t>）</w:t>
      </w:r>
    </w:p>
    <w:tbl>
      <w:tblPr>
        <w:tblStyle w:val="11"/>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0E776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006E5A28">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9"/>
                <w:sz w:val="32"/>
                <w:szCs w:val="32"/>
                <w:u w:val="none" w:color="auto"/>
              </w:rPr>
              <w:t>序号</w:t>
            </w:r>
          </w:p>
        </w:tc>
        <w:tc>
          <w:tcPr>
            <w:tcW w:w="1838" w:type="dxa"/>
            <w:vAlign w:val="center"/>
          </w:tcPr>
          <w:p w14:paraId="57C4D35C">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8"/>
                <w:sz w:val="32"/>
                <w:szCs w:val="32"/>
                <w:u w:val="none" w:color="auto"/>
              </w:rPr>
              <w:t>重要事项</w:t>
            </w:r>
          </w:p>
        </w:tc>
        <w:tc>
          <w:tcPr>
            <w:tcW w:w="2804" w:type="dxa"/>
            <w:vAlign w:val="center"/>
          </w:tcPr>
          <w:p w14:paraId="49965D75">
            <w:pPr>
              <w:spacing w:before="104" w:line="221"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4"/>
                <w:sz w:val="32"/>
                <w:szCs w:val="32"/>
                <w:u w:val="none" w:color="auto"/>
              </w:rPr>
              <w:t>工作内容及目标</w:t>
            </w:r>
          </w:p>
        </w:tc>
        <w:tc>
          <w:tcPr>
            <w:tcW w:w="2648" w:type="dxa"/>
            <w:vAlign w:val="center"/>
          </w:tcPr>
          <w:p w14:paraId="0F2211AA">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7"/>
                <w:sz w:val="32"/>
                <w:szCs w:val="32"/>
                <w:u w:val="none" w:color="auto"/>
              </w:rPr>
              <w:t>完成情况</w:t>
            </w:r>
          </w:p>
        </w:tc>
      </w:tr>
      <w:tr w14:paraId="1D1B5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16777796">
            <w:pPr>
              <w:spacing w:before="159" w:line="181" w:lineRule="auto"/>
              <w:ind w:left="606"/>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z w:val="32"/>
                <w:szCs w:val="32"/>
                <w:u w:val="none" w:color="auto"/>
              </w:rPr>
              <w:t>1</w:t>
            </w:r>
          </w:p>
        </w:tc>
        <w:tc>
          <w:tcPr>
            <w:tcW w:w="1838" w:type="dxa"/>
            <w:vAlign w:val="top"/>
          </w:tcPr>
          <w:p w14:paraId="78CC54FB">
            <w:pPr>
              <w:pStyle w:val="12"/>
              <w:rPr>
                <w:rFonts w:hint="default" w:ascii="Times New Roman" w:hAnsi="Times New Roman" w:cs="Times New Roman"/>
                <w:u w:val="none" w:color="auto"/>
              </w:rPr>
            </w:pPr>
            <w:r>
              <w:rPr>
                <w:rFonts w:hint="default" w:ascii="Times New Roman" w:hAnsi="Times New Roman" w:eastAsia="仿宋_GB2312" w:cs="Times New Roman"/>
                <w:bCs/>
                <w:spacing w:val="0"/>
                <w:w w:val="100"/>
                <w:position w:val="0"/>
                <w:sz w:val="32"/>
                <w:szCs w:val="32"/>
                <w:u w:val="none" w:color="auto"/>
                <w:lang w:val="en-US" w:eastAsia="zh-CN"/>
              </w:rPr>
              <w:t>实施小学义务教育</w:t>
            </w:r>
          </w:p>
        </w:tc>
        <w:tc>
          <w:tcPr>
            <w:tcW w:w="2804" w:type="dxa"/>
            <w:vAlign w:val="top"/>
          </w:tcPr>
          <w:p w14:paraId="1F0688AD">
            <w:pPr>
              <w:pStyle w:val="12"/>
              <w:rPr>
                <w:rFonts w:hint="default" w:ascii="Times New Roman" w:hAnsi="Times New Roman" w:cs="Times New Roman"/>
                <w:u w:val="none" w:color="auto"/>
              </w:rPr>
            </w:pPr>
            <w:r>
              <w:rPr>
                <w:rFonts w:hint="default" w:ascii="Times New Roman" w:hAnsi="Times New Roman" w:eastAsia="仿宋_GB2312" w:cs="Times New Roman"/>
                <w:bCs/>
                <w:spacing w:val="0"/>
                <w:w w:val="100"/>
                <w:position w:val="0"/>
                <w:sz w:val="32"/>
                <w:szCs w:val="32"/>
                <w:u w:val="none" w:color="auto"/>
                <w:lang w:val="en-US" w:eastAsia="zh-CN"/>
              </w:rPr>
              <w:t>实施小学义务教育</w:t>
            </w:r>
            <w:r>
              <w:rPr>
                <w:rFonts w:hint="eastAsia" w:ascii="Times New Roman" w:hAnsi="Times New Roman" w:eastAsia="仿宋_GB2312" w:cs="Times New Roman"/>
                <w:bCs/>
                <w:spacing w:val="0"/>
                <w:w w:val="100"/>
                <w:position w:val="0"/>
                <w:sz w:val="32"/>
                <w:szCs w:val="32"/>
                <w:u w:val="none" w:color="auto"/>
                <w:lang w:val="en-US" w:eastAsia="zh-CN"/>
              </w:rPr>
              <w:t>，</w:t>
            </w:r>
            <w:r>
              <w:rPr>
                <w:rFonts w:hint="default" w:ascii="Times New Roman" w:hAnsi="Times New Roman" w:eastAsia="仿宋_GB2312" w:cs="Times New Roman"/>
                <w:bCs/>
                <w:spacing w:val="0"/>
                <w:w w:val="100"/>
                <w:position w:val="0"/>
                <w:sz w:val="32"/>
                <w:szCs w:val="32"/>
                <w:u w:val="none" w:color="auto"/>
                <w:lang w:val="en-US" w:eastAsia="zh-CN"/>
              </w:rPr>
              <w:t>促进基础教育发展</w:t>
            </w:r>
          </w:p>
        </w:tc>
        <w:tc>
          <w:tcPr>
            <w:tcW w:w="2648" w:type="dxa"/>
            <w:vAlign w:val="top"/>
          </w:tcPr>
          <w:p w14:paraId="3884F994">
            <w:pPr>
              <w:pStyle w:val="12"/>
              <w:rPr>
                <w:rFonts w:hint="default" w:ascii="Times New Roman" w:hAnsi="Times New Roman" w:cs="Times New Roman"/>
                <w:u w:val="none" w:color="auto"/>
              </w:rPr>
            </w:pPr>
            <w:r>
              <w:rPr>
                <w:rFonts w:hint="eastAsia" w:ascii="Times New Roman" w:hAnsi="Times New Roman" w:eastAsia="仿宋_GB2312" w:cs="Times New Roman"/>
                <w:bCs/>
                <w:snapToGrid w:val="0"/>
                <w:color w:val="000000"/>
                <w:spacing w:val="0"/>
                <w:w w:val="100"/>
                <w:kern w:val="0"/>
                <w:position w:val="0"/>
                <w:sz w:val="32"/>
                <w:szCs w:val="32"/>
                <w:u w:val="none" w:color="auto"/>
                <w:lang w:val="en-US" w:eastAsia="zh-CN" w:bidi="ar-SA"/>
              </w:rPr>
              <w:t>良好</w:t>
            </w:r>
          </w:p>
        </w:tc>
      </w:tr>
    </w:tbl>
    <w:p w14:paraId="3FF19D56">
      <w:pP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br w:type="page"/>
      </w:r>
    </w:p>
    <w:p w14:paraId="0C59BD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第五部分  名词解释</w:t>
      </w:r>
    </w:p>
    <w:p w14:paraId="56C777F4">
      <w:pPr>
        <w:spacing w:line="398" w:lineRule="auto"/>
        <w:rPr>
          <w:rFonts w:hint="default" w:ascii="Times New Roman" w:hAnsi="Times New Roman" w:cs="Times New Roman"/>
          <w:sz w:val="21"/>
          <w:u w:val="none" w:color="auto"/>
        </w:rPr>
      </w:pPr>
    </w:p>
    <w:p w14:paraId="09926D0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一般公共预算财政拨款收入：指</w:t>
      </w:r>
      <w:r>
        <w:rPr>
          <w:rFonts w:hint="default" w:ascii="Times New Roman" w:hAnsi="Times New Roman" w:eastAsia="仿宋_GB2312" w:cs="Times New Roman"/>
          <w:spacing w:val="4"/>
          <w:u w:val="none" w:color="auto"/>
          <w:lang w:eastAsia="zh-CN"/>
        </w:rPr>
        <w:t>区</w:t>
      </w:r>
      <w:r>
        <w:rPr>
          <w:rFonts w:hint="default" w:ascii="Times New Roman" w:hAnsi="Times New Roman" w:eastAsia="仿宋_GB2312" w:cs="Times New Roman"/>
          <w:spacing w:val="4"/>
          <w:u w:val="none" w:color="auto"/>
        </w:rPr>
        <w:t>级财政一般公共预</w:t>
      </w:r>
      <w:r>
        <w:rPr>
          <w:rFonts w:hint="default" w:ascii="Times New Roman" w:hAnsi="Times New Roman" w:eastAsia="仿宋_GB2312" w:cs="Times New Roman"/>
          <w:spacing w:val="7"/>
          <w:u w:val="none" w:color="auto"/>
        </w:rPr>
        <w:t xml:space="preserve"> </w:t>
      </w:r>
      <w:r>
        <w:rPr>
          <w:rFonts w:hint="default" w:ascii="Times New Roman" w:hAnsi="Times New Roman" w:eastAsia="仿宋_GB2312" w:cs="Times New Roman"/>
          <w:spacing w:val="-1"/>
          <w:u w:val="none" w:color="auto"/>
        </w:rPr>
        <w:t>算当年拨付的资金。</w:t>
      </w:r>
    </w:p>
    <w:p w14:paraId="47BFBDD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政府性基金预算财政拨款收入：指</w:t>
      </w:r>
      <w:r>
        <w:rPr>
          <w:rFonts w:hint="default" w:ascii="Times New Roman" w:hAnsi="Times New Roman" w:eastAsia="仿宋_GB2312" w:cs="Times New Roman"/>
          <w:spacing w:val="-7"/>
          <w:u w:val="none" w:color="auto"/>
          <w:lang w:eastAsia="zh-CN"/>
        </w:rPr>
        <w:t>区</w:t>
      </w:r>
      <w:r>
        <w:rPr>
          <w:rFonts w:hint="default" w:ascii="Times New Roman" w:hAnsi="Times New Roman" w:eastAsia="仿宋_GB2312" w:cs="Times New Roman"/>
          <w:spacing w:val="-7"/>
          <w:u w:val="none" w:color="auto"/>
        </w:rPr>
        <w:t>级财政政</w:t>
      </w:r>
      <w:r>
        <w:rPr>
          <w:rFonts w:hint="default" w:ascii="Times New Roman" w:hAnsi="Times New Roman" w:eastAsia="仿宋_GB2312" w:cs="Times New Roman"/>
          <w:spacing w:val="-8"/>
          <w:u w:val="none" w:color="auto"/>
        </w:rPr>
        <w:t>府性基金</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预算当年拨付的资金。</w:t>
      </w:r>
    </w:p>
    <w:p w14:paraId="0C50527D">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三</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国有资本经营预算财政拨款收入：指</w:t>
      </w:r>
      <w:r>
        <w:rPr>
          <w:rFonts w:hint="default" w:ascii="Times New Roman" w:hAnsi="Times New Roman" w:eastAsia="仿宋_GB2312" w:cs="Times New Roman"/>
          <w:spacing w:val="-8"/>
          <w:u w:val="none" w:color="auto"/>
          <w:lang w:eastAsia="zh-CN"/>
        </w:rPr>
        <w:t>区</w:t>
      </w:r>
      <w:r>
        <w:rPr>
          <w:rFonts w:hint="default" w:ascii="Times New Roman" w:hAnsi="Times New Roman" w:eastAsia="仿宋_GB2312" w:cs="Times New Roman"/>
          <w:spacing w:val="-8"/>
          <w:u w:val="none" w:color="auto"/>
        </w:rPr>
        <w:t>级财政国有资本</w:t>
      </w:r>
      <w:r>
        <w:rPr>
          <w:rFonts w:hint="default" w:ascii="Times New Roman" w:hAnsi="Times New Roman" w:eastAsia="仿宋_GB2312" w:cs="Times New Roman"/>
          <w:spacing w:val="18"/>
          <w:u w:val="none" w:color="auto"/>
        </w:rPr>
        <w:t xml:space="preserve"> </w:t>
      </w:r>
      <w:r>
        <w:rPr>
          <w:rFonts w:hint="default" w:ascii="Times New Roman" w:hAnsi="Times New Roman" w:eastAsia="仿宋_GB2312" w:cs="Times New Roman"/>
          <w:spacing w:val="-2"/>
          <w:u w:val="none" w:color="auto"/>
        </w:rPr>
        <w:t>经营预算当年拨付的资金。</w:t>
      </w:r>
    </w:p>
    <w:p w14:paraId="2E1D3AC8">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上级补助收入：指从事业单位主管部门和上级</w:t>
      </w:r>
      <w:r>
        <w:rPr>
          <w:rFonts w:hint="default" w:ascii="Times New Roman" w:hAnsi="Times New Roman" w:eastAsia="仿宋_GB2312" w:cs="Times New Roman"/>
          <w:spacing w:val="-8"/>
          <w:u w:val="none" w:color="auto"/>
        </w:rPr>
        <w:t>单位取得</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的非财政补助收入。</w:t>
      </w:r>
    </w:p>
    <w:p w14:paraId="34B84F0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事业收入：指事业单位开展专业业务活动及其辅助活动</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3"/>
          <w:u w:val="none" w:color="auto"/>
        </w:rPr>
        <w:t>取得的收入。</w:t>
      </w:r>
    </w:p>
    <w:p w14:paraId="450FB65D">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六</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经营收入：指事业单位在专业业务活动及其辅助活动之</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2"/>
          <w:u w:val="none" w:color="auto"/>
        </w:rPr>
        <w:t>外开展非独立核算经营活动取得的收入。</w:t>
      </w:r>
    </w:p>
    <w:p w14:paraId="47DD8E2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其他收入：指单位取得的除上述“一般公共预算财政拨</w:t>
      </w:r>
      <w:r>
        <w:rPr>
          <w:rFonts w:hint="default" w:ascii="Times New Roman" w:hAnsi="Times New Roman" w:eastAsia="仿宋_GB2312" w:cs="Times New Roman"/>
          <w:spacing w:val="9"/>
          <w:u w:val="none" w:color="auto"/>
        </w:rPr>
        <w:t xml:space="preserve">  </w:t>
      </w:r>
      <w:r>
        <w:rPr>
          <w:rFonts w:hint="default" w:ascii="Times New Roman" w:hAnsi="Times New Roman" w:eastAsia="仿宋_GB2312" w:cs="Times New Roman"/>
          <w:spacing w:val="-16"/>
          <w:u w:val="none" w:color="auto"/>
        </w:rPr>
        <w:t>款收入”、“政府性基金预算财政拨款收入”、“国有资本经营预</w:t>
      </w:r>
      <w:r>
        <w:rPr>
          <w:rFonts w:hint="default" w:ascii="Times New Roman" w:hAnsi="Times New Roman" w:eastAsia="仿宋_GB2312" w:cs="Times New Roman"/>
          <w:spacing w:val="-26"/>
          <w:u w:val="none" w:color="auto"/>
        </w:rPr>
        <w:t>算财政拨款收入”、“上级补助收入”、“事业收入”、</w:t>
      </w:r>
      <w:r>
        <w:rPr>
          <w:rFonts w:hint="default" w:ascii="Times New Roman" w:hAnsi="Times New Roman" w:eastAsia="仿宋_GB2312" w:cs="Times New Roman"/>
          <w:spacing w:val="-27"/>
          <w:u w:val="none" w:color="auto"/>
        </w:rPr>
        <w:t>“经营收入”</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等收入以外的各项收入。</w:t>
      </w:r>
      <w:r>
        <w:rPr>
          <w:rFonts w:hint="default" w:ascii="Times New Roman" w:hAnsi="Times New Roman" w:eastAsia="仿宋_GB2312" w:cs="Times New Roman"/>
          <w:spacing w:val="-38"/>
          <w:u w:val="none" w:color="auto"/>
        </w:rPr>
        <w:t xml:space="preserve"> </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该项名词解释中</w:t>
      </w:r>
      <w:r>
        <w:rPr>
          <w:rFonts w:hint="default" w:ascii="Times New Roman" w:hAnsi="Times New Roman" w:eastAsia="仿宋_GB2312" w:cs="Times New Roman"/>
          <w:spacing w:val="-114"/>
          <w:u w:val="none" w:color="auto"/>
        </w:rPr>
        <w:t xml:space="preserve"> </w:t>
      </w:r>
      <w:r>
        <w:rPr>
          <w:rFonts w:hint="default" w:ascii="Times New Roman" w:hAnsi="Times New Roman" w:eastAsia="仿宋_GB2312" w:cs="Times New Roman"/>
          <w:spacing w:val="-1"/>
          <w:u w:val="none" w:color="auto"/>
        </w:rPr>
        <w:t>“上述</w:t>
      </w:r>
      <w:r>
        <w:rPr>
          <w:rFonts w:hint="default" w:ascii="Times New Roman" w:hAnsi="Times New Roman" w:eastAsia="仿宋_GB2312" w:cs="Times New Roman"/>
          <w:spacing w:val="-107"/>
          <w:u w:val="none" w:color="auto"/>
        </w:rPr>
        <w:t xml:space="preserve"> </w:t>
      </w:r>
      <w:r>
        <w:rPr>
          <w:rFonts w:hint="default" w:ascii="Times New Roman" w:hAnsi="Times New Roman" w:eastAsia="仿宋_GB2312" w:cs="Times New Roman"/>
          <w:spacing w:val="-1"/>
          <w:u w:val="none" w:color="auto"/>
        </w:rPr>
        <w:t>……等收入”</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请依据部门收入的实际情况进行解释</w:t>
      </w:r>
      <w:r>
        <w:rPr>
          <w:rFonts w:hint="default" w:ascii="Times New Roman" w:hAnsi="Times New Roman" w:eastAsia="仿宋_GB2312" w:cs="Times New Roman"/>
          <w:spacing w:val="-1"/>
          <w:u w:val="none" w:color="auto"/>
          <w:lang w:eastAsia="zh-CN"/>
        </w:rPr>
        <w:t>）</w:t>
      </w:r>
    </w:p>
    <w:p w14:paraId="76CB6C0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八</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使用非财政拨款结余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含专用结余</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：指事业单位按预算</w:t>
      </w:r>
      <w:r>
        <w:rPr>
          <w:rFonts w:hint="default" w:ascii="Times New Roman" w:hAnsi="Times New Roman" w:eastAsia="仿宋_GB2312" w:cs="Times New Roman"/>
          <w:spacing w:val="6"/>
          <w:u w:val="none" w:color="auto"/>
        </w:rPr>
        <w:t>管理要求使用非财政拨款结余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含专用结余</w:t>
      </w:r>
      <w:r>
        <w:rPr>
          <w:rFonts w:hint="default" w:ascii="Times New Roman" w:hAnsi="Times New Roman" w:eastAsia="仿宋_GB2312" w:cs="Times New Roman"/>
          <w:spacing w:val="6"/>
          <w:u w:val="none" w:color="auto"/>
          <w:lang w:eastAsia="zh-CN"/>
        </w:rPr>
        <w:t>）</w:t>
      </w:r>
      <w:r>
        <w:rPr>
          <w:rFonts w:hint="default" w:ascii="Times New Roman" w:hAnsi="Times New Roman" w:eastAsia="仿宋_GB2312" w:cs="Times New Roman"/>
          <w:spacing w:val="6"/>
          <w:u w:val="none" w:color="auto"/>
        </w:rPr>
        <w:t>弥补收支差额的金</w:t>
      </w:r>
      <w:r>
        <w:rPr>
          <w:rFonts w:hint="default" w:ascii="Times New Roman" w:hAnsi="Times New Roman" w:eastAsia="仿宋_GB2312" w:cs="Times New Roman"/>
          <w:spacing w:val="-10"/>
          <w:u w:val="none" w:color="auto"/>
        </w:rPr>
        <w:t>额。</w:t>
      </w:r>
    </w:p>
    <w:p w14:paraId="262268E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九</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年初结转和结余：指单位以前年度尚未完成、</w:t>
      </w:r>
      <w:r>
        <w:rPr>
          <w:rFonts w:hint="default" w:ascii="Times New Roman" w:hAnsi="Times New Roman" w:eastAsia="仿宋_GB2312" w:cs="Times New Roman"/>
          <w:spacing w:val="-8"/>
          <w:u w:val="none" w:color="auto"/>
        </w:rPr>
        <w:t>结转到本</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年仍按原规定用途继续使用的资金，或项目已完成等产生的结余</w:t>
      </w:r>
      <w:r>
        <w:rPr>
          <w:rFonts w:hint="default" w:ascii="Times New Roman" w:hAnsi="Times New Roman" w:eastAsia="仿宋_GB2312" w:cs="Times New Roman"/>
          <w:spacing w:val="9"/>
          <w:u w:val="none" w:color="auto"/>
        </w:rPr>
        <w:t xml:space="preserve"> </w:t>
      </w:r>
      <w:r>
        <w:rPr>
          <w:rFonts w:hint="default" w:ascii="Times New Roman" w:hAnsi="Times New Roman" w:eastAsia="仿宋_GB2312" w:cs="Times New Roman"/>
          <w:spacing w:val="-5"/>
          <w:u w:val="none" w:color="auto"/>
        </w:rPr>
        <w:t>资金。</w:t>
      </w:r>
    </w:p>
    <w:p w14:paraId="6739858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十</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本部门使用的支出功能分类科目</w:t>
      </w: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到项级</w:t>
      </w:r>
      <w:r>
        <w:rPr>
          <w:rFonts w:hint="default" w:ascii="Times New Roman" w:hAnsi="Times New Roman" w:eastAsia="仿宋_GB2312" w:cs="Times New Roman"/>
          <w:spacing w:val="-4"/>
          <w:u w:val="none" w:color="auto"/>
          <w:lang w:eastAsia="zh-CN"/>
        </w:rPr>
        <w:t>）</w:t>
      </w:r>
    </w:p>
    <w:p w14:paraId="2D4CD1C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u w:val="none" w:color="auto"/>
        </w:rPr>
      </w:pPr>
      <w:r>
        <w:rPr>
          <w:rFonts w:hint="default" w:ascii="Times New Roman" w:hAnsi="Times New Roman" w:eastAsia="仿宋_GB2312" w:cs="Times New Roman"/>
          <w:spacing w:val="-2"/>
          <w:u w:val="none" w:color="auto"/>
        </w:rPr>
        <w:t>1.一般公共服务</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类</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财政事务</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款</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行政运行</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项</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18"/>
          <w:u w:val="none" w:color="auto"/>
        </w:rPr>
        <w:t xml:space="preserve"> </w:t>
      </w:r>
    </w:p>
    <w:p w14:paraId="3F25E56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56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18"/>
          <w:u w:val="none" w:color="auto"/>
        </w:rPr>
        <w:t>2.</w:t>
      </w:r>
      <w:r>
        <w:rPr>
          <w:rFonts w:hint="default" w:ascii="Times New Roman" w:hAnsi="Times New Roman" w:eastAsia="仿宋_GB2312" w:cs="Times New Roman"/>
          <w:spacing w:val="-109"/>
          <w:u w:val="none" w:color="auto"/>
        </w:rPr>
        <w:t xml:space="preserve"> </w:t>
      </w:r>
      <w:r>
        <w:rPr>
          <w:rFonts w:hint="default" w:ascii="Times New Roman" w:hAnsi="Times New Roman" w:eastAsia="仿宋_GB2312" w:cs="Times New Roman"/>
          <w:spacing w:val="-18"/>
          <w:u w:val="none" w:color="auto"/>
        </w:rPr>
        <w:t>……</w:t>
      </w:r>
    </w:p>
    <w:p w14:paraId="6479B22F">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u w:val="none" w:color="auto"/>
          <w:lang w:eastAsia="zh-CN"/>
        </w:rPr>
      </w:pPr>
      <w:r>
        <w:rPr>
          <w:rFonts w:hint="default"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参考《202</w:t>
      </w:r>
      <w:r>
        <w:rPr>
          <w:rFonts w:hint="eastAsia" w:ascii="Times New Roman" w:hAnsi="Times New Roman" w:eastAsia="仿宋_GB2312" w:cs="Times New Roman"/>
          <w:spacing w:val="-4"/>
          <w:u w:val="none" w:color="auto"/>
          <w:lang w:val="en-US" w:eastAsia="zh-CN"/>
        </w:rPr>
        <w:t>4</w:t>
      </w:r>
      <w:r>
        <w:rPr>
          <w:rFonts w:hint="default" w:ascii="Times New Roman" w:hAnsi="Times New Roman" w:eastAsia="仿宋_GB2312" w:cs="Times New Roman"/>
          <w:spacing w:val="-56"/>
          <w:u w:val="none" w:color="auto"/>
        </w:rPr>
        <w:t xml:space="preserve"> </w:t>
      </w:r>
      <w:r>
        <w:rPr>
          <w:rFonts w:hint="default" w:ascii="Times New Roman" w:hAnsi="Times New Roman" w:eastAsia="仿宋_GB2312" w:cs="Times New Roman"/>
          <w:spacing w:val="-4"/>
          <w:u w:val="none" w:color="auto"/>
        </w:rPr>
        <w:t>年政府收支分类科目》说明逐项解释</w:t>
      </w:r>
      <w:r>
        <w:rPr>
          <w:rFonts w:hint="default" w:ascii="Times New Roman" w:hAnsi="Times New Roman" w:eastAsia="仿宋_GB2312" w:cs="Times New Roman"/>
          <w:spacing w:val="-4"/>
          <w:u w:val="none" w:color="auto"/>
          <w:lang w:eastAsia="zh-CN"/>
        </w:rPr>
        <w:t>）</w:t>
      </w:r>
    </w:p>
    <w:p w14:paraId="6532784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十一</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结余分配：指单位按照会计制度规定缴纳企</w:t>
      </w:r>
      <w:r>
        <w:rPr>
          <w:rFonts w:hint="default" w:ascii="Times New Roman" w:hAnsi="Times New Roman" w:eastAsia="仿宋_GB2312" w:cs="Times New Roman"/>
          <w:spacing w:val="-8"/>
          <w:u w:val="none" w:color="auto"/>
        </w:rPr>
        <w:t>业所得税</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2"/>
          <w:u w:val="none" w:color="auto"/>
        </w:rPr>
        <w:t>以及从非财政拨款结余或经营结余中提取各类结余的情况。</w:t>
      </w:r>
    </w:p>
    <w:p w14:paraId="1FEE63E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十二</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年末结转和结余：指单位按有关规定结转到</w:t>
      </w:r>
      <w:r>
        <w:rPr>
          <w:rFonts w:hint="default" w:ascii="Times New Roman" w:hAnsi="Times New Roman" w:eastAsia="仿宋_GB2312" w:cs="Times New Roman"/>
          <w:spacing w:val="-8"/>
          <w:u w:val="none" w:color="auto"/>
        </w:rPr>
        <w:t>下年或以</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后年度继续使用的资金，或项目已完成等产生的结余资金。</w:t>
      </w:r>
    </w:p>
    <w:p w14:paraId="71312550">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十三</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基本支出：指为保障机构正常运转、完成日</w:t>
      </w:r>
      <w:r>
        <w:rPr>
          <w:rFonts w:hint="default" w:ascii="Times New Roman" w:hAnsi="Times New Roman" w:eastAsia="仿宋_GB2312" w:cs="Times New Roman"/>
          <w:spacing w:val="-8"/>
          <w:u w:val="none" w:color="auto"/>
        </w:rPr>
        <w:t>常工作任</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务而发生的人员支出和公用支出。</w:t>
      </w:r>
    </w:p>
    <w:p w14:paraId="07A9B8E7">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十四</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项目支出：指在基本支出之外为完成特定行</w:t>
      </w:r>
      <w:r>
        <w:rPr>
          <w:rFonts w:hint="default" w:ascii="Times New Roman" w:hAnsi="Times New Roman" w:eastAsia="仿宋_GB2312" w:cs="Times New Roman"/>
          <w:spacing w:val="-8"/>
          <w:u w:val="none" w:color="auto"/>
        </w:rPr>
        <w:t>政任务或</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2"/>
          <w:u w:val="none" w:color="auto"/>
        </w:rPr>
        <w:t>事业发展目标所发生的支出。</w:t>
      </w:r>
    </w:p>
    <w:p w14:paraId="2938DA1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十五</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经营支出：指事业单位在专业活动及辅助活</w:t>
      </w:r>
      <w:r>
        <w:rPr>
          <w:rFonts w:hint="default" w:ascii="Times New Roman" w:hAnsi="Times New Roman" w:eastAsia="仿宋_GB2312" w:cs="Times New Roman"/>
          <w:spacing w:val="-8"/>
          <w:u w:val="none" w:color="auto"/>
        </w:rPr>
        <w:t>动之外开</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展非独立核算经营活动发生的支出。</w:t>
      </w:r>
    </w:p>
    <w:p w14:paraId="692B420D">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十六</w:t>
      </w:r>
      <w:r>
        <w:rPr>
          <w:rFonts w:hint="default"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111"/>
          <w:u w:val="none" w:color="auto"/>
        </w:rPr>
        <w:t xml:space="preserve"> </w:t>
      </w:r>
      <w:r>
        <w:rPr>
          <w:rFonts w:hint="default" w:ascii="Times New Roman" w:hAnsi="Times New Roman" w:eastAsia="仿宋_GB2312" w:cs="Times New Roman"/>
          <w:spacing w:val="-3"/>
          <w:u w:val="none" w:color="auto"/>
        </w:rPr>
        <w:t>“</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3"/>
          <w:u w:val="none" w:color="auto"/>
        </w:rPr>
        <w:t>三公”经费：纳入市级财政预决算管理的</w:t>
      </w:r>
      <w:r>
        <w:rPr>
          <w:rFonts w:hint="default" w:ascii="Times New Roman" w:hAnsi="Times New Roman" w:eastAsia="仿宋_GB2312" w:cs="Times New Roman"/>
          <w:spacing w:val="-118"/>
          <w:u w:val="none" w:color="auto"/>
        </w:rPr>
        <w:t xml:space="preserve"> </w:t>
      </w:r>
      <w:r>
        <w:rPr>
          <w:rFonts w:hint="default" w:ascii="Times New Roman" w:hAnsi="Times New Roman" w:eastAsia="仿宋_GB2312" w:cs="Times New Roman"/>
          <w:spacing w:val="-3"/>
          <w:u w:val="none" w:color="auto"/>
        </w:rPr>
        <w:t>“</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3"/>
          <w:u w:val="none" w:color="auto"/>
        </w:rPr>
        <w:t>三公”</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5"/>
          <w:u w:val="none" w:color="auto"/>
        </w:rPr>
        <w:t>经费，是指部门用财政拨款安排的因公出国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费、公务用</w:t>
      </w:r>
      <w:r>
        <w:rPr>
          <w:rFonts w:hint="default" w:ascii="Times New Roman" w:hAnsi="Times New Roman" w:eastAsia="仿宋_GB2312" w:cs="Times New Roman"/>
          <w:spacing w:val="-8"/>
          <w:u w:val="none" w:color="auto"/>
        </w:rPr>
        <w:t>车购置及运行维护费和公务接待费。其中，因公出国</w:t>
      </w:r>
      <w:r>
        <w:rPr>
          <w:rFonts w:hint="default" w:ascii="Times New Roman" w:hAnsi="Times New Roman" w:eastAsia="仿宋_GB2312" w:cs="Times New Roman"/>
          <w:spacing w:val="-65"/>
          <w:u w:val="none" w:color="auto"/>
        </w:rPr>
        <w:t xml:space="preserve"> </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境</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费反映</w:t>
      </w:r>
      <w:r>
        <w:rPr>
          <w:rFonts w:hint="default" w:ascii="Times New Roman" w:hAnsi="Times New Roman" w:eastAsia="仿宋_GB2312" w:cs="Times New Roman"/>
          <w:spacing w:val="-5"/>
          <w:u w:val="none" w:color="auto"/>
        </w:rPr>
        <w:t>单位公务出国</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境</w:t>
      </w:r>
      <w:r>
        <w:rPr>
          <w:rFonts w:hint="default"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的国际旅费、国外城市间交通费、住宿费、伙食费、培训费、公杂费等支出；公务用车购置及运行维护费反映</w:t>
      </w:r>
      <w:r>
        <w:rPr>
          <w:rFonts w:hint="default" w:ascii="Times New Roman" w:hAnsi="Times New Roman" w:eastAsia="仿宋_GB2312" w:cs="Times New Roman"/>
          <w:spacing w:val="13"/>
          <w:u w:val="none" w:color="auto"/>
        </w:rPr>
        <w:t xml:space="preserve"> </w:t>
      </w:r>
      <w:r>
        <w:rPr>
          <w:rFonts w:hint="default" w:ascii="Times New Roman" w:hAnsi="Times New Roman" w:eastAsia="仿宋_GB2312" w:cs="Times New Roman"/>
          <w:spacing w:val="-7"/>
          <w:u w:val="none" w:color="auto"/>
        </w:rPr>
        <w:t>单位公务用车购置支出</w:t>
      </w:r>
      <w:r>
        <w:rPr>
          <w:rFonts w:hint="default" w:ascii="Times New Roman" w:hAnsi="Times New Roman" w:eastAsia="仿宋_GB2312" w:cs="Times New Roman"/>
          <w:spacing w:val="-80"/>
          <w:u w:val="none" w:color="auto"/>
        </w:rPr>
        <w:t xml:space="preserve"> </w:t>
      </w:r>
      <w:r>
        <w:rPr>
          <w:rFonts w:hint="default"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含车辆购置税、牌照</w:t>
      </w:r>
      <w:r>
        <w:rPr>
          <w:rFonts w:hint="default" w:ascii="Times New Roman" w:hAnsi="Times New Roman" w:eastAsia="仿宋_GB2312" w:cs="Times New Roman"/>
          <w:spacing w:val="-8"/>
          <w:u w:val="none" w:color="auto"/>
        </w:rPr>
        <w:t>费</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及燃料费、维修</w:t>
      </w:r>
      <w:r>
        <w:rPr>
          <w:rFonts w:hint="default" w:ascii="Times New Roman" w:hAnsi="Times New Roman" w:eastAsia="仿宋_GB2312" w:cs="Times New Roman"/>
          <w:spacing w:val="-5"/>
          <w:u w:val="none" w:color="auto"/>
        </w:rPr>
        <w:t>费、过桥过路费、保险费、安全奖励费用等支出；公务接待费反</w:t>
      </w:r>
      <w:r>
        <w:rPr>
          <w:rFonts w:hint="default" w:ascii="Times New Roman" w:hAnsi="Times New Roman" w:eastAsia="仿宋_GB2312" w:cs="Times New Roman"/>
          <w:spacing w:val="-1"/>
          <w:u w:val="none" w:color="auto"/>
        </w:rPr>
        <w:t>映单位按规定开支的各类公务接待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含外宾接待</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费用。</w:t>
      </w:r>
    </w:p>
    <w:p w14:paraId="2695DD12">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十七</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机关运行经费：指为保障行政单位</w:t>
      </w:r>
      <w:r>
        <w:rPr>
          <w:rFonts w:hint="default" w:ascii="Times New Roman" w:hAnsi="Times New Roman" w:eastAsia="仿宋_GB2312" w:cs="Times New Roman"/>
          <w:spacing w:val="-2"/>
          <w:u w:val="none" w:color="auto"/>
          <w:lang w:eastAsia="zh-CN"/>
        </w:rPr>
        <w:t>（</w:t>
      </w:r>
      <w:r>
        <w:rPr>
          <w:rFonts w:hint="default" w:ascii="Times New Roman" w:hAnsi="Times New Roman" w:eastAsia="仿宋_GB2312" w:cs="Times New Roman"/>
          <w:spacing w:val="-2"/>
          <w:u w:val="none" w:color="auto"/>
        </w:rPr>
        <w:t>包括参照公务员</w:t>
      </w:r>
      <w:r>
        <w:rPr>
          <w:rFonts w:hint="default" w:ascii="Times New Roman" w:hAnsi="Times New Roman" w:eastAsia="仿宋_GB2312" w:cs="Times New Roman"/>
          <w:spacing w:val="16"/>
          <w:u w:val="none" w:color="auto"/>
        </w:rPr>
        <w:t xml:space="preserve"> </w:t>
      </w:r>
      <w:r>
        <w:rPr>
          <w:rFonts w:hint="default" w:ascii="Times New Roman" w:hAnsi="Times New Roman" w:eastAsia="仿宋_GB2312" w:cs="Times New Roman"/>
          <w:spacing w:val="1"/>
          <w:u w:val="none" w:color="auto"/>
        </w:rPr>
        <w:t>法管理的事业单位</w:t>
      </w:r>
      <w:r>
        <w:rPr>
          <w:rFonts w:hint="default" w:ascii="Times New Roman" w:hAnsi="Times New Roman" w:eastAsia="仿宋_GB2312" w:cs="Times New Roman"/>
          <w:spacing w:val="1"/>
          <w:u w:val="none" w:color="auto"/>
          <w:lang w:eastAsia="zh-CN"/>
        </w:rPr>
        <w:t>）</w:t>
      </w:r>
      <w:r>
        <w:rPr>
          <w:rFonts w:hint="default" w:ascii="Times New Roman" w:hAnsi="Times New Roman" w:eastAsia="仿宋_GB2312" w:cs="Times New Roman"/>
          <w:spacing w:val="1"/>
          <w:u w:val="none" w:color="auto"/>
        </w:rPr>
        <w:t>运行用于购买货物和服务的各项资金，</w:t>
      </w:r>
      <w:r>
        <w:rPr>
          <w:rFonts w:hint="default" w:ascii="Times New Roman" w:hAnsi="Times New Roman" w:eastAsia="仿宋_GB2312" w:cs="Times New Roman"/>
          <w:u w:val="none" w:color="auto"/>
        </w:rPr>
        <w:t xml:space="preserve">包括 </w:t>
      </w:r>
      <w:r>
        <w:rPr>
          <w:rFonts w:hint="default" w:ascii="Times New Roman" w:hAnsi="Times New Roman" w:eastAsia="仿宋_GB2312" w:cs="Times New Roman"/>
          <w:spacing w:val="-5"/>
          <w:u w:val="none" w:color="auto"/>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u w:val="none" w:color="auto"/>
        </w:rPr>
        <w:t>暖费、办公用房物业管理费、公务用车运行维护费以及其他费用。</w:t>
      </w:r>
    </w:p>
    <w:p w14:paraId="4DB1E38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u w:val="none" w:color="auto"/>
        </w:rPr>
      </w:pP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十八</w:t>
      </w:r>
      <w:r>
        <w:rPr>
          <w:rFonts w:hint="default" w:ascii="Times New Roman" w:hAnsi="Times New Roman" w:eastAsia="仿宋_GB2312" w:cs="Times New Roman"/>
          <w:spacing w:val="-8"/>
          <w:u w:val="none" w:color="auto"/>
          <w:lang w:eastAsia="zh-CN"/>
        </w:rPr>
        <w:t>）</w:t>
      </w:r>
      <w:r>
        <w:rPr>
          <w:rFonts w:hint="default" w:ascii="Times New Roman" w:hAnsi="Times New Roman" w:eastAsia="仿宋_GB2312" w:cs="Times New Roman"/>
          <w:spacing w:val="-8"/>
          <w:u w:val="none" w:color="auto"/>
        </w:rPr>
        <w:t>其他专用名词。</w:t>
      </w:r>
    </w:p>
    <w:p w14:paraId="61CCB559">
      <w:pPr>
        <w:pStyle w:val="8"/>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u w:val="none" w:color="auto"/>
          <w:lang w:eastAsia="zh-CN"/>
        </w:rPr>
      </w:pPr>
      <w:r>
        <w:rPr>
          <w:rFonts w:hint="default" w:ascii="Times New Roman" w:hAnsi="Times New Roman" w:cs="Times New Roman"/>
          <w:b/>
          <w:bCs/>
          <w:spacing w:val="-4"/>
          <w:u w:val="none" w:color="auto"/>
          <w:lang w:eastAsia="zh-CN"/>
        </w:rPr>
        <w:t>（</w:t>
      </w:r>
      <w:r>
        <w:rPr>
          <w:rFonts w:hint="default" w:ascii="Times New Roman" w:hAnsi="Times New Roman" w:cs="Times New Roman"/>
          <w:b/>
          <w:bCs/>
          <w:spacing w:val="-4"/>
          <w:u w:val="none" w:color="auto"/>
        </w:rPr>
        <w:t>根据本部门使用的其他专用名词补充解释</w:t>
      </w:r>
      <w:r>
        <w:rPr>
          <w:rFonts w:hint="default" w:ascii="Times New Roman" w:hAnsi="Times New Roman" w:cs="Times New Roman"/>
          <w:b/>
          <w:bCs/>
          <w:spacing w:val="-4"/>
          <w:u w:val="none" w:color="auto"/>
          <w:lang w:eastAsia="zh-CN"/>
        </w:rPr>
        <w:t>）</w:t>
      </w:r>
    </w:p>
    <w:p w14:paraId="1DCD38B8">
      <w:pPr>
        <w:rPr>
          <w:rFonts w:hint="default" w:ascii="Times New Roman" w:hAnsi="Times New Roman" w:cs="Times New Roman"/>
          <w:spacing w:val="-4"/>
          <w:u w:val="none" w:color="auto"/>
          <w:lang w:eastAsia="zh-CN"/>
        </w:rPr>
      </w:pPr>
      <w:r>
        <w:rPr>
          <w:rFonts w:hint="default" w:ascii="Times New Roman" w:hAnsi="Times New Roman" w:cs="Times New Roman"/>
          <w:spacing w:val="-4"/>
          <w:u w:val="none" w:color="auto"/>
          <w:lang w:eastAsia="zh-CN"/>
        </w:rPr>
        <w:br w:type="page"/>
      </w:r>
    </w:p>
    <w:p w14:paraId="6299B6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第六部分  附件</w:t>
      </w:r>
    </w:p>
    <w:p w14:paraId="3EA94E3D">
      <w:pPr>
        <w:spacing w:line="334" w:lineRule="auto"/>
        <w:rPr>
          <w:rFonts w:hint="default" w:ascii="Times New Roman" w:hAnsi="Times New Roman" w:cs="Times New Roman"/>
          <w:sz w:val="21"/>
          <w:u w:val="none" w:color="auto"/>
        </w:rPr>
      </w:pPr>
    </w:p>
    <w:p w14:paraId="2638FB58">
      <w:pPr>
        <w:spacing w:line="335" w:lineRule="auto"/>
        <w:rPr>
          <w:rFonts w:hint="default" w:ascii="Times New Roman" w:hAnsi="Times New Roman" w:cs="Times New Roman"/>
          <w:sz w:val="21"/>
          <w:u w:val="none" w:color="auto"/>
        </w:rPr>
      </w:pPr>
    </w:p>
    <w:p w14:paraId="63B99A04">
      <w:pPr>
        <w:rPr>
          <w:rFonts w:hint="default" w:ascii="Times New Roman" w:hAnsi="Times New Roman" w:cs="Times New Roman"/>
          <w:sz w:val="32"/>
          <w:szCs w:val="32"/>
          <w:u w:val="none" w:color="auto"/>
          <w:lang w:val="en-US" w:eastAsia="zh-CN"/>
        </w:rPr>
      </w:pPr>
      <w:r>
        <w:rPr>
          <w:rFonts w:hint="eastAsia" w:ascii="Times New Roman" w:hAnsi="Times New Roman" w:cs="Times New Roman"/>
          <w:sz w:val="32"/>
          <w:szCs w:val="32"/>
          <w:u w:val="none" w:color="auto"/>
          <w:lang w:val="en-US" w:eastAsia="zh-CN"/>
        </w:rPr>
        <w:t>无</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1A0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77A8">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977A8">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9839BA"/>
    <w:rsid w:val="0B492353"/>
    <w:rsid w:val="117A5E54"/>
    <w:rsid w:val="12FE3B58"/>
    <w:rsid w:val="13747DAA"/>
    <w:rsid w:val="172355D3"/>
    <w:rsid w:val="1B2466E5"/>
    <w:rsid w:val="1C0E2A35"/>
    <w:rsid w:val="1C817790"/>
    <w:rsid w:val="1DCD7D00"/>
    <w:rsid w:val="1EE21DA7"/>
    <w:rsid w:val="1F3C5B49"/>
    <w:rsid w:val="20017382"/>
    <w:rsid w:val="21676B90"/>
    <w:rsid w:val="21961EB7"/>
    <w:rsid w:val="21A05F7E"/>
    <w:rsid w:val="28A65FBE"/>
    <w:rsid w:val="2A857986"/>
    <w:rsid w:val="2BE83F94"/>
    <w:rsid w:val="2BF42D02"/>
    <w:rsid w:val="2BF7779C"/>
    <w:rsid w:val="2F8119D0"/>
    <w:rsid w:val="34EA2EB6"/>
    <w:rsid w:val="34F62908"/>
    <w:rsid w:val="353B695E"/>
    <w:rsid w:val="390037A2"/>
    <w:rsid w:val="39F72424"/>
    <w:rsid w:val="3C411FBF"/>
    <w:rsid w:val="3C4F2C50"/>
    <w:rsid w:val="3DA60130"/>
    <w:rsid w:val="40586425"/>
    <w:rsid w:val="4268313C"/>
    <w:rsid w:val="43DA5B87"/>
    <w:rsid w:val="44C60C63"/>
    <w:rsid w:val="467E1CDE"/>
    <w:rsid w:val="4787624B"/>
    <w:rsid w:val="4B982F73"/>
    <w:rsid w:val="4C746661"/>
    <w:rsid w:val="4C8C3F07"/>
    <w:rsid w:val="4D555CB1"/>
    <w:rsid w:val="542F756E"/>
    <w:rsid w:val="54777E46"/>
    <w:rsid w:val="57327F9E"/>
    <w:rsid w:val="57B31914"/>
    <w:rsid w:val="5DE402B6"/>
    <w:rsid w:val="604A5C2C"/>
    <w:rsid w:val="62C17492"/>
    <w:rsid w:val="62F51C0D"/>
    <w:rsid w:val="639835A3"/>
    <w:rsid w:val="687B3694"/>
    <w:rsid w:val="6B6066A7"/>
    <w:rsid w:val="6B8342AA"/>
    <w:rsid w:val="6BB34631"/>
    <w:rsid w:val="6D745521"/>
    <w:rsid w:val="6DA422E5"/>
    <w:rsid w:val="6FA755CF"/>
    <w:rsid w:val="70846AFD"/>
    <w:rsid w:val="70E57BE1"/>
    <w:rsid w:val="72614EAD"/>
    <w:rsid w:val="73F15019"/>
    <w:rsid w:val="749073E1"/>
    <w:rsid w:val="767D6EE6"/>
    <w:rsid w:val="77CA6886"/>
    <w:rsid w:val="7C300BB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next w:val="1"/>
    <w:qFormat/>
    <w:uiPriority w:val="0"/>
    <w:pPr>
      <w:ind w:firstLine="63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widowControl/>
      <w:adjustRightInd/>
      <w:snapToGrid/>
      <w:spacing w:line="540" w:lineRule="exact"/>
      <w:ind w:firstLine="420" w:firstLineChars="0"/>
      <w:jc w:val="left"/>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3168</Words>
  <Characters>3596</Characters>
  <Lines>0</Lines>
  <Paragraphs>0</Paragraphs>
  <TotalTime>2</TotalTime>
  <ScaleCrop>false</ScaleCrop>
  <LinksUpToDate>false</LinksUpToDate>
  <CharactersWithSpaces>4131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爱在冬季</cp:lastModifiedBy>
  <cp:lastPrinted>2025-08-20T07:46:00Z</cp:lastPrinted>
  <dcterms:modified xsi:type="dcterms:W3CDTF">2025-09-12T03:31:09Z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eyJoZGlkIjoiOGM5Y2E3YzFkZDU2NWQ1ZjI4ZDJiYWFlNWFhNTBlYTAiLCJ1c2VySWQiOiI0MTM4NzE3NTgifQ==</vt:lpwstr>
  </property>
</Properties>
</file>