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4ED06">
      <w:pPr>
        <w:spacing w:line="250" w:lineRule="auto"/>
        <w:rPr>
          <w:rFonts w:hint="default" w:ascii="Times New Roman" w:hAnsi="Times New Roman" w:cs="Times New Roman"/>
          <w:spacing w:val="0"/>
          <w:w w:val="100"/>
          <w:position w:val="0"/>
          <w:sz w:val="21"/>
        </w:rPr>
      </w:pPr>
    </w:p>
    <w:p w14:paraId="13328A09">
      <w:pPr>
        <w:spacing w:line="250" w:lineRule="auto"/>
        <w:rPr>
          <w:rFonts w:hint="default" w:ascii="Times New Roman" w:hAnsi="Times New Roman" w:cs="Times New Roman"/>
          <w:spacing w:val="0"/>
          <w:w w:val="100"/>
          <w:position w:val="0"/>
          <w:sz w:val="21"/>
        </w:rPr>
      </w:pPr>
    </w:p>
    <w:p w14:paraId="572583E7">
      <w:pPr>
        <w:spacing w:line="250" w:lineRule="auto"/>
        <w:rPr>
          <w:rFonts w:hint="default" w:ascii="Times New Roman" w:hAnsi="Times New Roman" w:cs="Times New Roman"/>
          <w:spacing w:val="0"/>
          <w:w w:val="100"/>
          <w:position w:val="0"/>
          <w:sz w:val="21"/>
        </w:rPr>
      </w:pPr>
    </w:p>
    <w:p w14:paraId="3407320C">
      <w:pPr>
        <w:spacing w:line="250" w:lineRule="auto"/>
        <w:rPr>
          <w:rFonts w:hint="default" w:ascii="Times New Roman" w:hAnsi="Times New Roman" w:cs="Times New Roman"/>
          <w:spacing w:val="0"/>
          <w:w w:val="100"/>
          <w:position w:val="0"/>
          <w:sz w:val="21"/>
        </w:rPr>
      </w:pPr>
    </w:p>
    <w:p w14:paraId="16669E19">
      <w:pPr>
        <w:spacing w:line="251" w:lineRule="auto"/>
        <w:rPr>
          <w:rFonts w:hint="default" w:ascii="Times New Roman" w:hAnsi="Times New Roman" w:cs="Times New Roman"/>
          <w:spacing w:val="0"/>
          <w:w w:val="100"/>
          <w:position w:val="0"/>
          <w:sz w:val="21"/>
        </w:rPr>
      </w:pPr>
    </w:p>
    <w:p w14:paraId="4CB96067">
      <w:pPr>
        <w:spacing w:line="251" w:lineRule="auto"/>
        <w:rPr>
          <w:rFonts w:hint="default" w:ascii="Times New Roman" w:hAnsi="Times New Roman" w:cs="Times New Roman"/>
          <w:spacing w:val="0"/>
          <w:w w:val="100"/>
          <w:position w:val="0"/>
          <w:sz w:val="21"/>
        </w:rPr>
      </w:pPr>
    </w:p>
    <w:p w14:paraId="68D2EEB8">
      <w:pPr>
        <w:spacing w:line="251" w:lineRule="auto"/>
        <w:rPr>
          <w:rFonts w:hint="default" w:ascii="Times New Roman" w:hAnsi="Times New Roman" w:cs="Times New Roman"/>
          <w:spacing w:val="0"/>
          <w:w w:val="100"/>
          <w:position w:val="0"/>
          <w:sz w:val="21"/>
        </w:rPr>
      </w:pPr>
    </w:p>
    <w:p w14:paraId="48E96327">
      <w:pPr>
        <w:spacing w:before="156" w:line="221" w:lineRule="auto"/>
        <w:ind w:right="20"/>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年度武汉市光谷第二十七小学</w:t>
      </w:r>
    </w:p>
    <w:p w14:paraId="17ECF32E">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u w:val="none" w:color="auto"/>
        </w:rPr>
        <w:t>部门决算公开</w:t>
      </w:r>
    </w:p>
    <w:p w14:paraId="16BF0348">
      <w:pPr>
        <w:spacing w:line="241" w:lineRule="auto"/>
        <w:rPr>
          <w:rFonts w:hint="default" w:ascii="Times New Roman" w:hAnsi="Times New Roman" w:cs="Times New Roman"/>
          <w:spacing w:val="0"/>
          <w:w w:val="100"/>
          <w:position w:val="0"/>
          <w:sz w:val="21"/>
        </w:rPr>
      </w:pPr>
    </w:p>
    <w:p w14:paraId="6B513FAB">
      <w:pPr>
        <w:spacing w:line="241" w:lineRule="auto"/>
        <w:rPr>
          <w:rFonts w:hint="default" w:ascii="Times New Roman" w:hAnsi="Times New Roman" w:cs="Times New Roman"/>
          <w:spacing w:val="0"/>
          <w:w w:val="100"/>
          <w:position w:val="0"/>
          <w:sz w:val="21"/>
        </w:rPr>
      </w:pPr>
    </w:p>
    <w:p w14:paraId="2EA95AB4">
      <w:pPr>
        <w:spacing w:line="241" w:lineRule="auto"/>
        <w:rPr>
          <w:rFonts w:hint="default" w:ascii="Times New Roman" w:hAnsi="Times New Roman" w:cs="Times New Roman"/>
          <w:spacing w:val="0"/>
          <w:w w:val="100"/>
          <w:position w:val="0"/>
          <w:sz w:val="21"/>
        </w:rPr>
      </w:pPr>
    </w:p>
    <w:p w14:paraId="440C0C89">
      <w:pPr>
        <w:spacing w:line="241" w:lineRule="auto"/>
        <w:rPr>
          <w:rFonts w:hint="default" w:ascii="Times New Roman" w:hAnsi="Times New Roman" w:cs="Times New Roman"/>
          <w:spacing w:val="0"/>
          <w:w w:val="100"/>
          <w:position w:val="0"/>
          <w:sz w:val="21"/>
        </w:rPr>
      </w:pPr>
    </w:p>
    <w:p w14:paraId="6CC139CD">
      <w:pPr>
        <w:spacing w:line="241" w:lineRule="auto"/>
        <w:rPr>
          <w:rFonts w:hint="default" w:ascii="Times New Roman" w:hAnsi="Times New Roman" w:cs="Times New Roman"/>
          <w:spacing w:val="0"/>
          <w:w w:val="100"/>
          <w:position w:val="0"/>
          <w:sz w:val="21"/>
        </w:rPr>
      </w:pPr>
    </w:p>
    <w:p w14:paraId="5356C594">
      <w:pPr>
        <w:spacing w:line="241" w:lineRule="auto"/>
        <w:rPr>
          <w:rFonts w:hint="default" w:ascii="Times New Roman" w:hAnsi="Times New Roman" w:cs="Times New Roman"/>
          <w:spacing w:val="0"/>
          <w:w w:val="100"/>
          <w:position w:val="0"/>
          <w:sz w:val="21"/>
        </w:rPr>
      </w:pPr>
    </w:p>
    <w:p w14:paraId="1F8025C0">
      <w:pPr>
        <w:spacing w:line="241" w:lineRule="auto"/>
        <w:rPr>
          <w:rFonts w:hint="default" w:ascii="Times New Roman" w:hAnsi="Times New Roman" w:cs="Times New Roman"/>
          <w:spacing w:val="0"/>
          <w:w w:val="100"/>
          <w:position w:val="0"/>
          <w:sz w:val="21"/>
        </w:rPr>
      </w:pPr>
    </w:p>
    <w:p w14:paraId="22C78EBA">
      <w:pPr>
        <w:spacing w:line="241" w:lineRule="auto"/>
        <w:rPr>
          <w:rFonts w:hint="default" w:ascii="Times New Roman" w:hAnsi="Times New Roman" w:cs="Times New Roman"/>
          <w:spacing w:val="0"/>
          <w:w w:val="100"/>
          <w:position w:val="0"/>
          <w:sz w:val="21"/>
        </w:rPr>
      </w:pPr>
    </w:p>
    <w:p w14:paraId="4699737C">
      <w:pPr>
        <w:spacing w:line="241" w:lineRule="auto"/>
        <w:rPr>
          <w:rFonts w:hint="default" w:ascii="Times New Roman" w:hAnsi="Times New Roman" w:cs="Times New Roman"/>
          <w:spacing w:val="0"/>
          <w:w w:val="100"/>
          <w:position w:val="0"/>
          <w:sz w:val="21"/>
        </w:rPr>
      </w:pPr>
    </w:p>
    <w:p w14:paraId="19F9D089">
      <w:pPr>
        <w:spacing w:line="241" w:lineRule="auto"/>
        <w:rPr>
          <w:rFonts w:hint="default" w:ascii="Times New Roman" w:hAnsi="Times New Roman" w:cs="Times New Roman"/>
          <w:spacing w:val="0"/>
          <w:w w:val="100"/>
          <w:position w:val="0"/>
          <w:sz w:val="21"/>
        </w:rPr>
      </w:pPr>
    </w:p>
    <w:p w14:paraId="69E3E477">
      <w:pPr>
        <w:spacing w:line="241" w:lineRule="auto"/>
        <w:rPr>
          <w:rFonts w:hint="default" w:ascii="Times New Roman" w:hAnsi="Times New Roman" w:cs="Times New Roman"/>
          <w:spacing w:val="0"/>
          <w:w w:val="100"/>
          <w:position w:val="0"/>
          <w:sz w:val="21"/>
        </w:rPr>
      </w:pPr>
    </w:p>
    <w:p w14:paraId="757A543C">
      <w:pPr>
        <w:spacing w:line="241" w:lineRule="auto"/>
        <w:rPr>
          <w:rFonts w:hint="default" w:ascii="Times New Roman" w:hAnsi="Times New Roman" w:cs="Times New Roman"/>
          <w:spacing w:val="0"/>
          <w:w w:val="100"/>
          <w:position w:val="0"/>
          <w:sz w:val="21"/>
        </w:rPr>
      </w:pPr>
    </w:p>
    <w:p w14:paraId="5003AA8B">
      <w:pPr>
        <w:spacing w:line="241" w:lineRule="auto"/>
        <w:rPr>
          <w:rFonts w:hint="default" w:ascii="Times New Roman" w:hAnsi="Times New Roman" w:cs="Times New Roman"/>
          <w:spacing w:val="0"/>
          <w:w w:val="100"/>
          <w:position w:val="0"/>
          <w:sz w:val="21"/>
        </w:rPr>
      </w:pPr>
    </w:p>
    <w:p w14:paraId="3A634DEA">
      <w:pPr>
        <w:spacing w:line="241" w:lineRule="auto"/>
        <w:rPr>
          <w:rFonts w:hint="default" w:ascii="Times New Roman" w:hAnsi="Times New Roman" w:cs="Times New Roman"/>
          <w:spacing w:val="0"/>
          <w:w w:val="100"/>
          <w:position w:val="0"/>
          <w:sz w:val="21"/>
        </w:rPr>
      </w:pPr>
    </w:p>
    <w:p w14:paraId="43CD5D61">
      <w:pPr>
        <w:spacing w:line="241" w:lineRule="auto"/>
        <w:rPr>
          <w:rFonts w:hint="default" w:ascii="Times New Roman" w:hAnsi="Times New Roman" w:cs="Times New Roman"/>
          <w:spacing w:val="0"/>
          <w:w w:val="100"/>
          <w:position w:val="0"/>
          <w:sz w:val="21"/>
        </w:rPr>
      </w:pPr>
    </w:p>
    <w:p w14:paraId="75C4CF00">
      <w:pPr>
        <w:spacing w:line="241" w:lineRule="auto"/>
        <w:rPr>
          <w:rFonts w:hint="default" w:ascii="Times New Roman" w:hAnsi="Times New Roman" w:cs="Times New Roman"/>
          <w:spacing w:val="0"/>
          <w:w w:val="100"/>
          <w:position w:val="0"/>
          <w:sz w:val="21"/>
        </w:rPr>
      </w:pPr>
    </w:p>
    <w:p w14:paraId="5688EECB">
      <w:pPr>
        <w:spacing w:line="241" w:lineRule="auto"/>
        <w:rPr>
          <w:rFonts w:hint="default" w:ascii="Times New Roman" w:hAnsi="Times New Roman" w:cs="Times New Roman"/>
          <w:spacing w:val="0"/>
          <w:w w:val="100"/>
          <w:position w:val="0"/>
          <w:sz w:val="21"/>
        </w:rPr>
      </w:pPr>
    </w:p>
    <w:p w14:paraId="58A48762">
      <w:pPr>
        <w:spacing w:line="241" w:lineRule="auto"/>
        <w:rPr>
          <w:rFonts w:hint="default" w:ascii="Times New Roman" w:hAnsi="Times New Roman" w:cs="Times New Roman"/>
          <w:spacing w:val="0"/>
          <w:w w:val="100"/>
          <w:position w:val="0"/>
          <w:sz w:val="21"/>
        </w:rPr>
      </w:pPr>
    </w:p>
    <w:p w14:paraId="3E3DD9A8">
      <w:pPr>
        <w:spacing w:line="241" w:lineRule="auto"/>
        <w:rPr>
          <w:rFonts w:hint="default" w:ascii="Times New Roman" w:hAnsi="Times New Roman" w:cs="Times New Roman"/>
          <w:spacing w:val="0"/>
          <w:w w:val="100"/>
          <w:position w:val="0"/>
          <w:sz w:val="21"/>
        </w:rPr>
      </w:pPr>
    </w:p>
    <w:p w14:paraId="74AB25DD">
      <w:pPr>
        <w:spacing w:line="241" w:lineRule="auto"/>
        <w:rPr>
          <w:rFonts w:hint="default" w:ascii="Times New Roman" w:hAnsi="Times New Roman" w:cs="Times New Roman"/>
          <w:spacing w:val="0"/>
          <w:w w:val="100"/>
          <w:position w:val="0"/>
          <w:sz w:val="21"/>
        </w:rPr>
      </w:pPr>
    </w:p>
    <w:p w14:paraId="332223F4">
      <w:pPr>
        <w:spacing w:line="241" w:lineRule="auto"/>
        <w:rPr>
          <w:rFonts w:hint="default" w:ascii="Times New Roman" w:hAnsi="Times New Roman" w:cs="Times New Roman"/>
          <w:spacing w:val="0"/>
          <w:w w:val="100"/>
          <w:position w:val="0"/>
          <w:sz w:val="21"/>
        </w:rPr>
      </w:pPr>
    </w:p>
    <w:p w14:paraId="655F08FC">
      <w:pPr>
        <w:spacing w:line="241" w:lineRule="auto"/>
        <w:rPr>
          <w:rFonts w:hint="default" w:ascii="Times New Roman" w:hAnsi="Times New Roman" w:cs="Times New Roman"/>
          <w:spacing w:val="0"/>
          <w:w w:val="100"/>
          <w:position w:val="0"/>
          <w:sz w:val="21"/>
        </w:rPr>
      </w:pPr>
    </w:p>
    <w:p w14:paraId="252FBA6F">
      <w:pPr>
        <w:spacing w:line="241" w:lineRule="auto"/>
        <w:rPr>
          <w:rFonts w:hint="default" w:ascii="Times New Roman" w:hAnsi="Times New Roman" w:cs="Times New Roman"/>
          <w:spacing w:val="0"/>
          <w:w w:val="100"/>
          <w:position w:val="0"/>
          <w:sz w:val="21"/>
        </w:rPr>
      </w:pPr>
    </w:p>
    <w:p w14:paraId="5CA33694">
      <w:pPr>
        <w:spacing w:line="241" w:lineRule="auto"/>
        <w:rPr>
          <w:rFonts w:hint="default" w:ascii="Times New Roman" w:hAnsi="Times New Roman" w:cs="Times New Roman"/>
          <w:spacing w:val="0"/>
          <w:w w:val="100"/>
          <w:position w:val="0"/>
          <w:sz w:val="21"/>
        </w:rPr>
      </w:pPr>
    </w:p>
    <w:p w14:paraId="6B53329B">
      <w:pPr>
        <w:spacing w:line="241" w:lineRule="auto"/>
        <w:rPr>
          <w:rFonts w:hint="default" w:ascii="Times New Roman" w:hAnsi="Times New Roman" w:cs="Times New Roman"/>
          <w:spacing w:val="0"/>
          <w:w w:val="100"/>
          <w:position w:val="0"/>
          <w:sz w:val="21"/>
        </w:rPr>
      </w:pPr>
    </w:p>
    <w:p w14:paraId="592A9996">
      <w:pPr>
        <w:spacing w:line="241" w:lineRule="auto"/>
        <w:rPr>
          <w:rFonts w:hint="default" w:ascii="Times New Roman" w:hAnsi="Times New Roman" w:cs="Times New Roman"/>
          <w:spacing w:val="0"/>
          <w:w w:val="100"/>
          <w:position w:val="0"/>
          <w:sz w:val="21"/>
        </w:rPr>
      </w:pPr>
    </w:p>
    <w:p w14:paraId="23B56CC6">
      <w:pPr>
        <w:spacing w:line="241" w:lineRule="auto"/>
        <w:rPr>
          <w:rFonts w:hint="default" w:ascii="Times New Roman" w:hAnsi="Times New Roman" w:cs="Times New Roman"/>
          <w:spacing w:val="0"/>
          <w:w w:val="100"/>
          <w:position w:val="0"/>
          <w:sz w:val="21"/>
        </w:rPr>
      </w:pPr>
    </w:p>
    <w:p w14:paraId="53E5B852">
      <w:pPr>
        <w:spacing w:line="241" w:lineRule="auto"/>
        <w:rPr>
          <w:rFonts w:hint="default" w:ascii="Times New Roman" w:hAnsi="Times New Roman" w:cs="Times New Roman"/>
          <w:spacing w:val="0"/>
          <w:w w:val="100"/>
          <w:position w:val="0"/>
          <w:sz w:val="21"/>
        </w:rPr>
      </w:pPr>
    </w:p>
    <w:p w14:paraId="3AE23F38">
      <w:pPr>
        <w:spacing w:line="241" w:lineRule="auto"/>
        <w:rPr>
          <w:rFonts w:hint="default" w:ascii="Times New Roman" w:hAnsi="Times New Roman" w:cs="Times New Roman"/>
          <w:spacing w:val="0"/>
          <w:w w:val="100"/>
          <w:position w:val="0"/>
          <w:sz w:val="21"/>
        </w:rPr>
      </w:pPr>
    </w:p>
    <w:p w14:paraId="1F920D03">
      <w:pPr>
        <w:spacing w:line="241" w:lineRule="auto"/>
        <w:rPr>
          <w:rFonts w:hint="default" w:ascii="Times New Roman" w:hAnsi="Times New Roman" w:cs="Times New Roman"/>
          <w:spacing w:val="0"/>
          <w:w w:val="100"/>
          <w:position w:val="0"/>
          <w:sz w:val="21"/>
        </w:rPr>
      </w:pPr>
    </w:p>
    <w:p w14:paraId="50BFA132">
      <w:pPr>
        <w:spacing w:line="241" w:lineRule="auto"/>
        <w:rPr>
          <w:rFonts w:hint="default" w:ascii="Times New Roman" w:hAnsi="Times New Roman" w:cs="Times New Roman"/>
          <w:spacing w:val="0"/>
          <w:w w:val="100"/>
          <w:position w:val="0"/>
          <w:sz w:val="21"/>
        </w:rPr>
      </w:pPr>
    </w:p>
    <w:p w14:paraId="7499736F">
      <w:pPr>
        <w:spacing w:line="241" w:lineRule="auto"/>
        <w:rPr>
          <w:rFonts w:hint="default" w:ascii="Times New Roman" w:hAnsi="Times New Roman" w:cs="Times New Roman"/>
          <w:spacing w:val="0"/>
          <w:w w:val="100"/>
          <w:position w:val="0"/>
          <w:sz w:val="21"/>
        </w:rPr>
      </w:pPr>
    </w:p>
    <w:p w14:paraId="0B84CA56">
      <w:pPr>
        <w:spacing w:line="242" w:lineRule="auto"/>
        <w:rPr>
          <w:rFonts w:hint="default" w:ascii="Times New Roman" w:hAnsi="Times New Roman" w:cs="Times New Roman"/>
          <w:spacing w:val="0"/>
          <w:w w:val="100"/>
          <w:position w:val="0"/>
          <w:sz w:val="21"/>
        </w:rPr>
      </w:pPr>
    </w:p>
    <w:p w14:paraId="3059D5DF">
      <w:pPr>
        <w:spacing w:line="242" w:lineRule="auto"/>
        <w:rPr>
          <w:rFonts w:hint="default" w:ascii="Times New Roman" w:hAnsi="Times New Roman" w:cs="Times New Roman"/>
          <w:spacing w:val="0"/>
          <w:w w:val="100"/>
          <w:position w:val="0"/>
          <w:sz w:val="21"/>
        </w:rPr>
      </w:pPr>
    </w:p>
    <w:p w14:paraId="00428E3E">
      <w:pPr>
        <w:spacing w:line="242" w:lineRule="auto"/>
        <w:rPr>
          <w:rFonts w:hint="default" w:ascii="Times New Roman" w:hAnsi="Times New Roman" w:cs="Times New Roman"/>
          <w:spacing w:val="0"/>
          <w:w w:val="100"/>
          <w:position w:val="0"/>
          <w:sz w:val="21"/>
        </w:rPr>
      </w:pPr>
    </w:p>
    <w:p w14:paraId="1C391FEC">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7855565">
      <w:pPr>
        <w:spacing w:line="280" w:lineRule="auto"/>
        <w:rPr>
          <w:rFonts w:hint="default" w:ascii="Times New Roman" w:hAnsi="Times New Roman" w:cs="Times New Roman"/>
          <w:spacing w:val="0"/>
          <w:w w:val="100"/>
          <w:position w:val="0"/>
          <w:sz w:val="21"/>
        </w:rPr>
      </w:pPr>
    </w:p>
    <w:p w14:paraId="2AA09FA4">
      <w:pPr>
        <w:pStyle w:val="7"/>
        <w:rPr>
          <w:rFonts w:hint="default" w:ascii="Times New Roman" w:hAnsi="Times New Roman" w:cs="Times New Roman"/>
          <w:spacing w:val="0"/>
          <w:w w:val="100"/>
          <w:position w:val="0"/>
          <w:sz w:val="21"/>
        </w:rPr>
      </w:pPr>
    </w:p>
    <w:p w14:paraId="54C0AD54">
      <w:pPr>
        <w:rPr>
          <w:rFonts w:hint="default" w:ascii="Times New Roman" w:hAnsi="Times New Roman" w:cs="Times New Roman"/>
          <w:spacing w:val="0"/>
          <w:w w:val="100"/>
          <w:position w:val="0"/>
          <w:sz w:val="21"/>
        </w:rPr>
      </w:pPr>
    </w:p>
    <w:p w14:paraId="3DED0DC4">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A7B2F20">
      <w:pPr>
        <w:spacing w:line="251" w:lineRule="auto"/>
        <w:rPr>
          <w:rFonts w:hint="default" w:ascii="Times New Roman" w:hAnsi="Times New Roman" w:cs="Times New Roman"/>
          <w:spacing w:val="0"/>
          <w:w w:val="100"/>
          <w:position w:val="0"/>
          <w:sz w:val="21"/>
        </w:rPr>
      </w:pPr>
    </w:p>
    <w:p w14:paraId="54448280">
      <w:pPr>
        <w:spacing w:line="251" w:lineRule="auto"/>
        <w:rPr>
          <w:rFonts w:hint="default" w:ascii="Times New Roman" w:hAnsi="Times New Roman" w:cs="Times New Roman"/>
          <w:spacing w:val="0"/>
          <w:w w:val="100"/>
          <w:position w:val="0"/>
          <w:sz w:val="21"/>
        </w:rPr>
      </w:pPr>
    </w:p>
    <w:p w14:paraId="48D0CB6B">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武汉市光谷第二十七小学</w:t>
      </w:r>
      <w:r>
        <w:rPr>
          <w:rFonts w:hint="default" w:ascii="Times New Roman" w:hAnsi="Times New Roman" w:eastAsia="黑体" w:cs="Times New Roman"/>
          <w:spacing w:val="0"/>
          <w:w w:val="100"/>
          <w:position w:val="0"/>
          <w:sz w:val="32"/>
          <w:szCs w:val="32"/>
        </w:rPr>
        <w:t>概况</w:t>
      </w:r>
    </w:p>
    <w:p w14:paraId="4270550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6595FA44">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052BAC20">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none" w:color="auto"/>
        </w:rPr>
        <w:t>武汉市光谷第二十七小学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4A7D4BB7">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25FEA7C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757288B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6E33D92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61D2343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7F7911F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3985675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3ACD80E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22A8020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7155D0BC">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none" w:color="auto"/>
        </w:rPr>
        <w:t>武汉市光谷第二十七小学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B17679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572DBF0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71902CC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053DC4B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5F959D9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247A7E1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3ADCF5A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699B088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1DF4BAF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23626B0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2745FFF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4DBC6EA7">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7CED99D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74C5D885">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1B35CE8D">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20C177EA">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1453565B">
      <w:pPr>
        <w:rPr>
          <w:rFonts w:hint="default" w:ascii="Times New Roman" w:hAnsi="Times New Roman" w:cs="Times New Roman"/>
        </w:rPr>
      </w:pPr>
    </w:p>
    <w:p w14:paraId="424FAD65">
      <w:pPr>
        <w:pStyle w:val="7"/>
        <w:rPr>
          <w:rFonts w:hint="default" w:ascii="Times New Roman" w:hAnsi="Times New Roman" w:cs="Times New Roman"/>
        </w:rPr>
      </w:pPr>
    </w:p>
    <w:p w14:paraId="05ABD2CD">
      <w:pPr>
        <w:rPr>
          <w:rFonts w:hint="default" w:ascii="Times New Roman" w:hAnsi="Times New Roman" w:cs="Times New Roman"/>
        </w:rPr>
      </w:pPr>
    </w:p>
    <w:p w14:paraId="68570BA5">
      <w:pPr>
        <w:pStyle w:val="7"/>
        <w:rPr>
          <w:rFonts w:hint="default" w:ascii="Times New Roman" w:hAnsi="Times New Roman" w:cs="Times New Roman"/>
        </w:rPr>
      </w:pPr>
    </w:p>
    <w:p w14:paraId="16CC1982">
      <w:pPr>
        <w:rPr>
          <w:rFonts w:hint="default" w:ascii="Times New Roman" w:hAnsi="Times New Roman" w:cs="Times New Roman"/>
        </w:rPr>
      </w:pPr>
    </w:p>
    <w:p w14:paraId="35538F3F">
      <w:pPr>
        <w:pStyle w:val="7"/>
        <w:rPr>
          <w:rFonts w:hint="default" w:ascii="Times New Roman" w:hAnsi="Times New Roman" w:cs="Times New Roman"/>
        </w:rPr>
      </w:pPr>
    </w:p>
    <w:p w14:paraId="5DE04C51">
      <w:pPr>
        <w:rPr>
          <w:rFonts w:hint="default" w:ascii="Times New Roman" w:hAnsi="Times New Roman" w:cs="Times New Roman"/>
        </w:rPr>
      </w:pPr>
    </w:p>
    <w:p w14:paraId="68B10108">
      <w:pPr>
        <w:pStyle w:val="7"/>
        <w:rPr>
          <w:rFonts w:hint="default" w:ascii="Times New Roman" w:hAnsi="Times New Roman" w:cs="Times New Roman"/>
        </w:rPr>
      </w:pPr>
    </w:p>
    <w:p w14:paraId="332CEB56">
      <w:pPr>
        <w:rPr>
          <w:rFonts w:hint="default" w:ascii="Times New Roman" w:hAnsi="Times New Roman" w:cs="Times New Roman"/>
        </w:rPr>
      </w:pPr>
    </w:p>
    <w:p w14:paraId="25A5BAE9">
      <w:pPr>
        <w:pStyle w:val="7"/>
        <w:rPr>
          <w:rFonts w:hint="default" w:ascii="Times New Roman" w:hAnsi="Times New Roman" w:cs="Times New Roman"/>
        </w:rPr>
      </w:pPr>
    </w:p>
    <w:p w14:paraId="60A0C725">
      <w:pPr>
        <w:rPr>
          <w:rFonts w:hint="default" w:ascii="Times New Roman" w:hAnsi="Times New Roman" w:cs="Times New Roman"/>
        </w:rPr>
      </w:pPr>
    </w:p>
    <w:p w14:paraId="612F5F41">
      <w:pPr>
        <w:pStyle w:val="7"/>
        <w:rPr>
          <w:rFonts w:hint="default" w:ascii="Times New Roman" w:hAnsi="Times New Roman" w:cs="Times New Roman"/>
        </w:rPr>
      </w:pPr>
    </w:p>
    <w:p w14:paraId="7154C1F5">
      <w:pPr>
        <w:rPr>
          <w:rFonts w:hint="default" w:ascii="Times New Roman" w:hAnsi="Times New Roman" w:cs="Times New Roman"/>
        </w:rPr>
      </w:pPr>
    </w:p>
    <w:p w14:paraId="2F461608">
      <w:pPr>
        <w:pStyle w:val="7"/>
        <w:rPr>
          <w:rFonts w:hint="default" w:ascii="Times New Roman" w:hAnsi="Times New Roman" w:cs="Times New Roman"/>
        </w:rPr>
      </w:pPr>
    </w:p>
    <w:p w14:paraId="7A0A6EEA">
      <w:pPr>
        <w:pStyle w:val="7"/>
        <w:ind w:left="0" w:leftChars="0" w:firstLine="0" w:firstLineChars="0"/>
        <w:rPr>
          <w:rFonts w:hint="default" w:ascii="Times New Roman" w:hAnsi="Times New Roman" w:cs="Times New Roman"/>
        </w:rPr>
      </w:pPr>
    </w:p>
    <w:p w14:paraId="0AF41228">
      <w:pPr>
        <w:spacing w:before="143" w:line="222" w:lineRule="auto"/>
        <w:jc w:val="center"/>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第一部分</w:t>
      </w:r>
      <w:r>
        <w:rPr>
          <w:rFonts w:hint="eastAsia" w:ascii="方正小标宋_GBK" w:hAnsi="方正小标宋_GBK" w:eastAsia="方正小标宋_GBK" w:cs="方正小标宋_GBK"/>
          <w:spacing w:val="-2"/>
          <w:sz w:val="44"/>
          <w:szCs w:val="44"/>
        </w:rPr>
        <w:t xml:space="preserve">  </w:t>
      </w:r>
      <w:r>
        <w:rPr>
          <w:rFonts w:hint="default" w:ascii="Times New Roman" w:hAnsi="Times New Roman" w:eastAsia="方正小标宋简体" w:cs="Times New Roman"/>
          <w:spacing w:val="0"/>
          <w:w w:val="100"/>
          <w:position w:val="0"/>
          <w:sz w:val="44"/>
          <w:szCs w:val="44"/>
          <w:u w:val="none" w:color="auto"/>
        </w:rPr>
        <w:t>武汉市光谷第二十七小学</w:t>
      </w:r>
      <w:r>
        <w:rPr>
          <w:rFonts w:hint="default" w:ascii="Times New Roman" w:hAnsi="Times New Roman" w:eastAsia="方正小标宋简体" w:cs="Times New Roman"/>
          <w:spacing w:val="0"/>
          <w:w w:val="100"/>
          <w:position w:val="0"/>
          <w:sz w:val="44"/>
          <w:szCs w:val="44"/>
        </w:rPr>
        <w:t>概况</w:t>
      </w:r>
    </w:p>
    <w:p w14:paraId="0C4B03ED">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4D472B4D">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7D1DC0B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我校全称为武汉市光谷第二十七小学,加挂华中师范大学附属严西湖小学（北校区）。学校主要职能为实施小学义务教育，促进基础教育发展，完成小学教育任务，其经费来源主要是财政补助收入。</w:t>
      </w:r>
    </w:p>
    <w:p w14:paraId="4E69AC7A">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75C1093">
      <w:pPr>
        <w:pStyle w:val="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从单位构成看，武汉市光谷第二十七小学部门决算由纳入独立核算的单位本级决算组成。</w:t>
      </w:r>
    </w:p>
    <w:p w14:paraId="760393C1">
      <w:pPr>
        <w:pStyle w:val="6"/>
        <w:rPr>
          <w:rFonts w:hint="default" w:ascii="Times New Roman" w:hAnsi="Times New Roman" w:eastAsia="仿宋_GB2312" w:cs="Times New Roman"/>
          <w:spacing w:val="0"/>
          <w:w w:val="100"/>
          <w:position w:val="0"/>
          <w:sz w:val="32"/>
          <w:szCs w:val="32"/>
        </w:rPr>
      </w:pPr>
    </w:p>
    <w:p w14:paraId="31A7A793">
      <w:pPr>
        <w:rPr>
          <w:rFonts w:hint="default" w:ascii="Times New Roman" w:hAnsi="Times New Roman" w:eastAsia="仿宋_GB2312" w:cs="Times New Roman"/>
          <w:spacing w:val="0"/>
          <w:w w:val="100"/>
          <w:position w:val="0"/>
          <w:sz w:val="32"/>
          <w:szCs w:val="32"/>
        </w:rPr>
      </w:pPr>
    </w:p>
    <w:p w14:paraId="20F9CEF7">
      <w:pPr>
        <w:pStyle w:val="6"/>
        <w:rPr>
          <w:rFonts w:hint="default" w:ascii="Times New Roman" w:hAnsi="Times New Roman" w:eastAsia="仿宋_GB2312" w:cs="Times New Roman"/>
          <w:spacing w:val="0"/>
          <w:w w:val="100"/>
          <w:position w:val="0"/>
          <w:sz w:val="32"/>
          <w:szCs w:val="32"/>
        </w:rPr>
      </w:pPr>
    </w:p>
    <w:p w14:paraId="15ADE570">
      <w:pPr>
        <w:rPr>
          <w:rFonts w:hint="default" w:ascii="Times New Roman" w:hAnsi="Times New Roman" w:eastAsia="仿宋_GB2312" w:cs="Times New Roman"/>
          <w:spacing w:val="0"/>
          <w:w w:val="100"/>
          <w:position w:val="0"/>
          <w:sz w:val="32"/>
          <w:szCs w:val="32"/>
        </w:rPr>
      </w:pPr>
    </w:p>
    <w:p w14:paraId="7CD5D14F">
      <w:pPr>
        <w:pStyle w:val="6"/>
        <w:rPr>
          <w:rFonts w:hint="default"/>
          <w:lang w:eastAsia="zh-CN"/>
        </w:rPr>
      </w:pPr>
    </w:p>
    <w:p w14:paraId="26D0E737">
      <w:pPr>
        <w:pStyle w:val="7"/>
        <w:rPr>
          <w:rFonts w:hint="default" w:ascii="Times New Roman" w:hAnsi="Times New Roman" w:eastAsia="仿宋_GB2312" w:cs="Times New Roman"/>
          <w:b/>
          <w:bCs/>
          <w:spacing w:val="0"/>
          <w:w w:val="100"/>
          <w:position w:val="0"/>
          <w:sz w:val="32"/>
          <w:szCs w:val="32"/>
          <w:lang w:eastAsia="zh-CN"/>
        </w:rPr>
      </w:pPr>
    </w:p>
    <w:p w14:paraId="54A527B9">
      <w:pPr>
        <w:rPr>
          <w:rFonts w:hint="default" w:ascii="Times New Roman" w:hAnsi="Times New Roman" w:eastAsia="仿宋_GB2312" w:cs="Times New Roman"/>
          <w:b/>
          <w:bCs/>
          <w:spacing w:val="0"/>
          <w:w w:val="100"/>
          <w:position w:val="0"/>
          <w:sz w:val="32"/>
          <w:szCs w:val="32"/>
          <w:lang w:eastAsia="zh-CN"/>
        </w:rPr>
      </w:pPr>
    </w:p>
    <w:p w14:paraId="23A2786B">
      <w:pPr>
        <w:pStyle w:val="7"/>
        <w:rPr>
          <w:rFonts w:hint="default" w:ascii="Times New Roman" w:hAnsi="Times New Roman" w:eastAsia="仿宋_GB2312" w:cs="Times New Roman"/>
          <w:b/>
          <w:bCs/>
          <w:spacing w:val="0"/>
          <w:w w:val="100"/>
          <w:position w:val="0"/>
          <w:sz w:val="32"/>
          <w:szCs w:val="32"/>
          <w:lang w:eastAsia="zh-CN"/>
        </w:rPr>
      </w:pPr>
    </w:p>
    <w:p w14:paraId="73D02A6C">
      <w:pPr>
        <w:rPr>
          <w:rFonts w:hint="default" w:ascii="Times New Roman" w:hAnsi="Times New Roman" w:eastAsia="仿宋_GB2312" w:cs="Times New Roman"/>
          <w:b/>
          <w:bCs/>
          <w:spacing w:val="0"/>
          <w:w w:val="100"/>
          <w:position w:val="0"/>
          <w:sz w:val="32"/>
          <w:szCs w:val="32"/>
          <w:lang w:eastAsia="zh-CN"/>
        </w:rPr>
      </w:pPr>
    </w:p>
    <w:p w14:paraId="547D4EFF">
      <w:pPr>
        <w:pStyle w:val="7"/>
        <w:rPr>
          <w:rFonts w:hint="default"/>
          <w:lang w:eastAsia="zh-CN"/>
        </w:rPr>
      </w:pPr>
    </w:p>
    <w:p w14:paraId="41F0BA48">
      <w:pPr>
        <w:rPr>
          <w:rFonts w:hint="default" w:ascii="Times New Roman" w:hAnsi="Times New Roman" w:eastAsia="仿宋_GB2312" w:cs="Times New Roman"/>
          <w:b/>
          <w:bCs/>
          <w:spacing w:val="0"/>
          <w:w w:val="100"/>
          <w:position w:val="0"/>
          <w:sz w:val="32"/>
          <w:szCs w:val="32"/>
          <w:lang w:eastAsia="zh-CN"/>
        </w:rPr>
      </w:pPr>
    </w:p>
    <w:p w14:paraId="16F00657">
      <w:pPr>
        <w:pStyle w:val="7"/>
        <w:rPr>
          <w:rFonts w:hint="default" w:ascii="Times New Roman" w:hAnsi="Times New Roman" w:eastAsia="仿宋_GB2312" w:cs="Times New Roman"/>
          <w:b/>
          <w:bCs/>
          <w:spacing w:val="0"/>
          <w:w w:val="100"/>
          <w:position w:val="0"/>
          <w:sz w:val="32"/>
          <w:szCs w:val="32"/>
          <w:lang w:eastAsia="zh-CN"/>
        </w:rPr>
      </w:pPr>
    </w:p>
    <w:p w14:paraId="765E8E23">
      <w:pPr>
        <w:rPr>
          <w:rFonts w:hint="default" w:ascii="Times New Roman" w:hAnsi="Times New Roman" w:eastAsia="仿宋_GB2312" w:cs="Times New Roman"/>
          <w:b/>
          <w:bCs/>
          <w:spacing w:val="0"/>
          <w:w w:val="100"/>
          <w:position w:val="0"/>
          <w:sz w:val="32"/>
          <w:szCs w:val="32"/>
          <w:lang w:eastAsia="zh-CN"/>
        </w:rPr>
      </w:pPr>
    </w:p>
    <w:p w14:paraId="10FFF5FE">
      <w:pPr>
        <w:pStyle w:val="6"/>
        <w:rPr>
          <w:rFonts w:hint="default" w:ascii="Times New Roman" w:hAnsi="Times New Roman" w:eastAsia="仿宋_GB2312" w:cs="Times New Roman"/>
          <w:b/>
          <w:bCs/>
          <w:spacing w:val="0"/>
          <w:w w:val="100"/>
          <w:position w:val="0"/>
          <w:sz w:val="32"/>
          <w:szCs w:val="32"/>
          <w:lang w:eastAsia="zh-CN"/>
        </w:rPr>
      </w:pPr>
    </w:p>
    <w:p w14:paraId="74B8BCEC">
      <w:pPr>
        <w:rPr>
          <w:rFonts w:hint="default" w:ascii="Times New Roman" w:hAnsi="Times New Roman" w:eastAsia="仿宋_GB2312" w:cs="Times New Roman"/>
          <w:b/>
          <w:bCs/>
          <w:spacing w:val="0"/>
          <w:w w:val="100"/>
          <w:position w:val="0"/>
          <w:sz w:val="32"/>
          <w:szCs w:val="32"/>
          <w:lang w:eastAsia="zh-CN"/>
        </w:rPr>
      </w:pPr>
    </w:p>
    <w:p w14:paraId="7AA488F5">
      <w:pPr>
        <w:pStyle w:val="6"/>
        <w:rPr>
          <w:rFonts w:hint="default"/>
          <w:lang w:eastAsia="zh-CN"/>
        </w:rPr>
      </w:pPr>
    </w:p>
    <w:p w14:paraId="6A7691A7">
      <w:pPr>
        <w:pStyle w:val="7"/>
        <w:ind w:left="0" w:leftChars="0" w:firstLine="0" w:firstLineChars="0"/>
        <w:jc w:val="center"/>
        <w:outlineLvl w:val="0"/>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第二部分</w:t>
      </w:r>
      <w:r>
        <w:rPr>
          <w:rFonts w:hint="eastAsia" w:ascii="方正小标宋_GBK" w:hAnsi="方正小标宋_GBK" w:eastAsia="方正小标宋_GBK" w:cs="方正小标宋_GBK"/>
          <w:spacing w:val="-2"/>
          <w:sz w:val="44"/>
          <w:szCs w:val="44"/>
        </w:rPr>
        <w:t xml:space="preserve">  </w:t>
      </w:r>
      <w:r>
        <w:rPr>
          <w:rFonts w:hint="default" w:ascii="Times New Roman" w:hAnsi="Times New Roman" w:eastAsia="方正小标宋_GBK" w:cs="Times New Roman"/>
          <w:spacing w:val="-3"/>
          <w:sz w:val="44"/>
          <w:szCs w:val="44"/>
        </w:rPr>
        <w:t>武汉市光谷第二十七小学202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6F1C18D8">
      <w:pPr>
        <w:rPr>
          <w:rFonts w:hint="default" w:ascii="Times New Roman" w:hAnsi="Times New Roman" w:cs="Times New Roman"/>
        </w:rPr>
      </w:pPr>
    </w:p>
    <w:p w14:paraId="05C5E9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221ECBC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28640" cy="5473700"/>
            <wp:effectExtent l="0" t="0" r="1016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628640" cy="5473700"/>
                    </a:xfrm>
                    <a:prstGeom prst="rect">
                      <a:avLst/>
                    </a:prstGeom>
                    <a:noFill/>
                    <a:ln>
                      <a:noFill/>
                    </a:ln>
                  </pic:spPr>
                </pic:pic>
              </a:graphicData>
            </a:graphic>
          </wp:inline>
        </w:drawing>
      </w:r>
    </w:p>
    <w:p w14:paraId="1056CD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D1A61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B8B7E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7D425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D74C7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1E2E4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40CAD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6B1C478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5305" cy="2005965"/>
            <wp:effectExtent l="0" t="0" r="10795"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615305" cy="2005965"/>
                    </a:xfrm>
                    <a:prstGeom prst="rect">
                      <a:avLst/>
                    </a:prstGeom>
                    <a:noFill/>
                    <a:ln>
                      <a:noFill/>
                    </a:ln>
                  </pic:spPr>
                </pic:pic>
              </a:graphicData>
            </a:graphic>
          </wp:inline>
        </w:drawing>
      </w:r>
    </w:p>
    <w:p w14:paraId="019E741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001C98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9D9DEF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A8DB22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353C27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7F9794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FAA022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C8EB59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4CFC83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0F291D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69FD66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11AB84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7B8C29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469140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5425BD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051254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8EBED3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095B84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679E02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1CD702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EF032C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D9DEDF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DCF7F2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8C3855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E851A8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E29852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8994CD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4B5403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EED713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92628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4855B5AF">
      <w:r>
        <w:drawing>
          <wp:inline distT="0" distB="0" distL="114300" distR="114300">
            <wp:extent cx="5611495" cy="1799590"/>
            <wp:effectExtent l="0" t="0" r="1905" b="38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5611495" cy="1799590"/>
                    </a:xfrm>
                    <a:prstGeom prst="rect">
                      <a:avLst/>
                    </a:prstGeom>
                    <a:noFill/>
                    <a:ln>
                      <a:noFill/>
                    </a:ln>
                  </pic:spPr>
                </pic:pic>
              </a:graphicData>
            </a:graphic>
          </wp:inline>
        </w:drawing>
      </w:r>
    </w:p>
    <w:p w14:paraId="7CCAB5AC"/>
    <w:p w14:paraId="14482E17"/>
    <w:p w14:paraId="0C8FCA4B"/>
    <w:p w14:paraId="1A581922"/>
    <w:p w14:paraId="2C1272C3"/>
    <w:p w14:paraId="544C9D10"/>
    <w:p w14:paraId="3EDCF99B"/>
    <w:p w14:paraId="1C2C47C3"/>
    <w:p w14:paraId="7FE68919"/>
    <w:p w14:paraId="424FCAFF"/>
    <w:p w14:paraId="5B36FD6F"/>
    <w:p w14:paraId="0C04E165"/>
    <w:p w14:paraId="5F1826E1"/>
    <w:p w14:paraId="7CED50C7"/>
    <w:p w14:paraId="2FDEABEA"/>
    <w:p w14:paraId="2BD281F7"/>
    <w:p w14:paraId="54E74518"/>
    <w:p w14:paraId="67751D75"/>
    <w:p w14:paraId="6E295895"/>
    <w:p w14:paraId="47CE6E33"/>
    <w:p w14:paraId="71DF7323"/>
    <w:p w14:paraId="54B42710"/>
    <w:p w14:paraId="3EA87E55"/>
    <w:p w14:paraId="0D75512D"/>
    <w:p w14:paraId="6D06EB72"/>
    <w:p w14:paraId="5B5CED6E"/>
    <w:p w14:paraId="2629A285"/>
    <w:p w14:paraId="20608A2F"/>
    <w:p w14:paraId="6D57B055"/>
    <w:p w14:paraId="771A0CBD"/>
    <w:p w14:paraId="5881223A"/>
    <w:p w14:paraId="5AA1A01A"/>
    <w:p w14:paraId="4EE999D0"/>
    <w:p w14:paraId="6228E939"/>
    <w:p w14:paraId="3099DD3A"/>
    <w:p w14:paraId="50B5ADC2"/>
    <w:p w14:paraId="64CF7218"/>
    <w:p w14:paraId="120BCB93"/>
    <w:p w14:paraId="1182A809"/>
    <w:p w14:paraId="05003AE8">
      <w:pPr>
        <w:rPr>
          <w:rFonts w:hint="default"/>
          <w:lang w:val="en-US" w:eastAsia="zh-CN"/>
        </w:rPr>
      </w:pPr>
    </w:p>
    <w:p w14:paraId="4ECE84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1358BFD3">
      <w:pPr>
        <w:pStyle w:val="6"/>
      </w:pPr>
    </w:p>
    <w:p w14:paraId="77293672">
      <w:r>
        <w:drawing>
          <wp:inline distT="0" distB="0" distL="114300" distR="114300">
            <wp:extent cx="5615305" cy="4893945"/>
            <wp:effectExtent l="0" t="0" r="10795" b="825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5615305" cy="4893945"/>
                    </a:xfrm>
                    <a:prstGeom prst="rect">
                      <a:avLst/>
                    </a:prstGeom>
                    <a:noFill/>
                    <a:ln>
                      <a:noFill/>
                    </a:ln>
                  </pic:spPr>
                </pic:pic>
              </a:graphicData>
            </a:graphic>
          </wp:inline>
        </w:drawing>
      </w:r>
    </w:p>
    <w:p w14:paraId="325539A6"/>
    <w:p w14:paraId="0E036DB6"/>
    <w:p w14:paraId="2AFB1834"/>
    <w:p w14:paraId="3D03A78C"/>
    <w:p w14:paraId="3C3757A6"/>
    <w:p w14:paraId="0E117ECD"/>
    <w:p w14:paraId="25B497DE"/>
    <w:p w14:paraId="0699C1CF"/>
    <w:p w14:paraId="440E9807"/>
    <w:p w14:paraId="7BB8780D"/>
    <w:p w14:paraId="55CDC8EB"/>
    <w:p w14:paraId="26BDEC86"/>
    <w:p w14:paraId="45351202"/>
    <w:p w14:paraId="2BCBB079"/>
    <w:p w14:paraId="3757C515"/>
    <w:p w14:paraId="070EB378"/>
    <w:p w14:paraId="5CBDF26B"/>
    <w:p w14:paraId="5FFA0983"/>
    <w:p w14:paraId="11CDFD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690A20A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5305" cy="2098675"/>
            <wp:effectExtent l="0" t="0" r="10795" b="9525"/>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1"/>
                    <a:stretch>
                      <a:fillRect/>
                    </a:stretch>
                  </pic:blipFill>
                  <pic:spPr>
                    <a:xfrm>
                      <a:off x="0" y="0"/>
                      <a:ext cx="5615305" cy="2098675"/>
                    </a:xfrm>
                    <a:prstGeom prst="rect">
                      <a:avLst/>
                    </a:prstGeom>
                    <a:noFill/>
                    <a:ln>
                      <a:noFill/>
                    </a:ln>
                  </pic:spPr>
                </pic:pic>
              </a:graphicData>
            </a:graphic>
          </wp:inline>
        </w:drawing>
      </w:r>
    </w:p>
    <w:p w14:paraId="703142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A969D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D4D4F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A6361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B62B8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E8ACF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F2A80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FA111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42083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373E7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A6913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AFB29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27927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E6C60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12D83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23721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0CD7B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E9AE7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1E2CE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4E937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55B58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E7BAF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4C795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F7F5F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078EBAF1">
      <w:pPr>
        <w:rPr>
          <w:rFonts w:hint="default"/>
          <w:lang w:val="en-US" w:eastAsia="zh-CN"/>
        </w:rPr>
      </w:pPr>
      <w:r>
        <w:drawing>
          <wp:inline distT="0" distB="0" distL="114300" distR="114300">
            <wp:extent cx="5611495" cy="5659755"/>
            <wp:effectExtent l="0" t="0" r="1905" b="444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2"/>
                    <a:stretch>
                      <a:fillRect/>
                    </a:stretch>
                  </pic:blipFill>
                  <pic:spPr>
                    <a:xfrm>
                      <a:off x="0" y="0"/>
                      <a:ext cx="5611495" cy="5659755"/>
                    </a:xfrm>
                    <a:prstGeom prst="rect">
                      <a:avLst/>
                    </a:prstGeom>
                    <a:noFill/>
                    <a:ln>
                      <a:noFill/>
                    </a:ln>
                  </pic:spPr>
                </pic:pic>
              </a:graphicData>
            </a:graphic>
          </wp:inline>
        </w:drawing>
      </w:r>
    </w:p>
    <w:p w14:paraId="20EF738F">
      <w:pPr>
        <w:pStyle w:val="6"/>
        <w:rPr>
          <w:rFonts w:hint="default"/>
          <w:lang w:val="en-US" w:eastAsia="zh-CN"/>
        </w:rPr>
      </w:pPr>
    </w:p>
    <w:p w14:paraId="10B48FAA">
      <w:pPr>
        <w:rPr>
          <w:rFonts w:hint="default"/>
          <w:lang w:val="en-US" w:eastAsia="zh-CN"/>
        </w:rPr>
      </w:pPr>
    </w:p>
    <w:p w14:paraId="2D2A971E">
      <w:pPr>
        <w:pStyle w:val="6"/>
        <w:rPr>
          <w:rFonts w:hint="default"/>
          <w:lang w:val="en-US" w:eastAsia="zh-CN"/>
        </w:rPr>
      </w:pPr>
    </w:p>
    <w:p w14:paraId="7450068B">
      <w:pPr>
        <w:rPr>
          <w:rFonts w:hint="default"/>
          <w:lang w:val="en-US" w:eastAsia="zh-CN"/>
        </w:rPr>
      </w:pPr>
    </w:p>
    <w:p w14:paraId="1FC0BB1C">
      <w:pPr>
        <w:pStyle w:val="6"/>
        <w:rPr>
          <w:rFonts w:hint="default"/>
          <w:lang w:val="en-US" w:eastAsia="zh-CN"/>
        </w:rPr>
      </w:pPr>
    </w:p>
    <w:p w14:paraId="2F33A0BA">
      <w:pPr>
        <w:rPr>
          <w:rFonts w:hint="default"/>
          <w:lang w:val="en-US" w:eastAsia="zh-CN"/>
        </w:rPr>
      </w:pPr>
    </w:p>
    <w:p w14:paraId="2751FF4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0475955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7472142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2524A32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376D53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19EF0549"/>
    <w:p w14:paraId="23C15C53">
      <w:pPr>
        <w:rPr>
          <w:rFonts w:hint="default" w:ascii="Times New Roman" w:hAnsi="Times New Roman" w:eastAsia="仿宋_GB2312" w:cs="Times New Roman"/>
          <w:snapToGrid w:val="0"/>
          <w:color w:val="000000"/>
          <w:spacing w:val="-14"/>
          <w:kern w:val="0"/>
          <w:sz w:val="32"/>
          <w:szCs w:val="32"/>
          <w:lang w:val="en-US" w:eastAsia="zh-CN" w:bidi="ar-SA"/>
        </w:rPr>
      </w:pPr>
      <w:r>
        <w:drawing>
          <wp:inline distT="0" distB="0" distL="114300" distR="114300">
            <wp:extent cx="5610860" cy="1714500"/>
            <wp:effectExtent l="0" t="0" r="2540" b="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3"/>
                    <a:stretch>
                      <a:fillRect/>
                    </a:stretch>
                  </pic:blipFill>
                  <pic:spPr>
                    <a:xfrm>
                      <a:off x="0" y="0"/>
                      <a:ext cx="5610860" cy="1714500"/>
                    </a:xfrm>
                    <a:prstGeom prst="rect">
                      <a:avLst/>
                    </a:prstGeom>
                    <a:noFill/>
                    <a:ln>
                      <a:noFill/>
                    </a:ln>
                  </pic:spPr>
                </pic:pic>
              </a:graphicData>
            </a:graphic>
          </wp:inline>
        </w:drawing>
      </w:r>
    </w:p>
    <w:p w14:paraId="715309A4">
      <w:pPr>
        <w:rPr>
          <w:rFonts w:hint="default" w:ascii="Times New Roman" w:hAnsi="Times New Roman" w:eastAsia="仿宋_GB2312" w:cs="Times New Roman"/>
          <w:snapToGrid w:val="0"/>
          <w:color w:val="000000"/>
          <w:spacing w:val="-14"/>
          <w:kern w:val="0"/>
          <w:sz w:val="32"/>
          <w:szCs w:val="32"/>
          <w:lang w:val="en-US" w:eastAsia="zh-CN" w:bidi="ar-SA"/>
        </w:rPr>
      </w:pPr>
      <w:r>
        <w:rPr>
          <w:rFonts w:hint="default" w:ascii="Times New Roman" w:hAnsi="Times New Roman" w:eastAsia="仿宋_GB2312" w:cs="Times New Roman"/>
          <w:snapToGrid w:val="0"/>
          <w:color w:val="000000"/>
          <w:spacing w:val="-14"/>
          <w:kern w:val="0"/>
          <w:sz w:val="32"/>
          <w:szCs w:val="32"/>
          <w:lang w:val="en-US" w:eastAsia="zh-CN" w:bidi="ar-SA"/>
        </w:rPr>
        <w:t>本部门2024年度无政府性基金预算财政拨款收入支出。</w:t>
      </w:r>
    </w:p>
    <w:p w14:paraId="328EF403">
      <w:pPr>
        <w:rPr>
          <w:rFonts w:hint="default"/>
          <w:lang w:val="en-US" w:eastAsia="zh-CN"/>
        </w:rPr>
      </w:pPr>
    </w:p>
    <w:p w14:paraId="2DEDC4BF">
      <w:pPr>
        <w:rPr>
          <w:rFonts w:hint="default"/>
          <w:lang w:val="en-US" w:eastAsia="zh-CN"/>
        </w:rPr>
      </w:pPr>
    </w:p>
    <w:p w14:paraId="450C8AAE">
      <w:pPr>
        <w:rPr>
          <w:rFonts w:hint="default"/>
          <w:lang w:val="en-US" w:eastAsia="zh-CN"/>
        </w:rPr>
      </w:pPr>
    </w:p>
    <w:p w14:paraId="7748B166">
      <w:pPr>
        <w:rPr>
          <w:rFonts w:hint="default"/>
          <w:lang w:val="en-US" w:eastAsia="zh-CN"/>
        </w:rPr>
      </w:pPr>
    </w:p>
    <w:p w14:paraId="53D77EDE">
      <w:pPr>
        <w:rPr>
          <w:rFonts w:hint="default"/>
          <w:lang w:val="en-US" w:eastAsia="zh-CN"/>
        </w:rPr>
      </w:pPr>
    </w:p>
    <w:p w14:paraId="36ADCE68">
      <w:pPr>
        <w:rPr>
          <w:rFonts w:hint="default"/>
          <w:lang w:val="en-US" w:eastAsia="zh-CN"/>
        </w:rPr>
      </w:pPr>
    </w:p>
    <w:p w14:paraId="18297C79">
      <w:pPr>
        <w:rPr>
          <w:rFonts w:hint="default"/>
          <w:lang w:val="en-US" w:eastAsia="zh-CN"/>
        </w:rPr>
      </w:pPr>
    </w:p>
    <w:p w14:paraId="6DA35899">
      <w:pPr>
        <w:rPr>
          <w:rFonts w:hint="default"/>
          <w:lang w:val="en-US" w:eastAsia="zh-CN"/>
        </w:rPr>
      </w:pPr>
    </w:p>
    <w:p w14:paraId="64A4962C">
      <w:pPr>
        <w:rPr>
          <w:rFonts w:hint="default"/>
          <w:lang w:val="en-US" w:eastAsia="zh-CN"/>
        </w:rPr>
      </w:pPr>
    </w:p>
    <w:p w14:paraId="03ECC438">
      <w:pPr>
        <w:rPr>
          <w:rFonts w:hint="default"/>
          <w:lang w:val="en-US" w:eastAsia="zh-CN"/>
        </w:rPr>
      </w:pPr>
    </w:p>
    <w:p w14:paraId="05F9918D">
      <w:pPr>
        <w:rPr>
          <w:rFonts w:hint="default"/>
          <w:lang w:val="en-US" w:eastAsia="zh-CN"/>
        </w:rPr>
      </w:pPr>
    </w:p>
    <w:p w14:paraId="57C57999">
      <w:pPr>
        <w:rPr>
          <w:rFonts w:hint="default"/>
          <w:lang w:val="en-US" w:eastAsia="zh-CN"/>
        </w:rPr>
      </w:pPr>
    </w:p>
    <w:p w14:paraId="52AD3078">
      <w:pPr>
        <w:rPr>
          <w:rFonts w:hint="default"/>
          <w:lang w:val="en-US" w:eastAsia="zh-CN"/>
        </w:rPr>
      </w:pPr>
    </w:p>
    <w:p w14:paraId="5733D7CA">
      <w:pPr>
        <w:rPr>
          <w:rFonts w:hint="default"/>
          <w:lang w:val="en-US" w:eastAsia="zh-CN"/>
        </w:rPr>
      </w:pPr>
    </w:p>
    <w:p w14:paraId="3BC3489A">
      <w:pPr>
        <w:rPr>
          <w:rFonts w:hint="default"/>
          <w:lang w:val="en-US" w:eastAsia="zh-CN"/>
        </w:rPr>
      </w:pPr>
    </w:p>
    <w:p w14:paraId="037B252A">
      <w:pPr>
        <w:rPr>
          <w:rFonts w:hint="default"/>
          <w:lang w:val="en-US" w:eastAsia="zh-CN"/>
        </w:rPr>
      </w:pPr>
    </w:p>
    <w:p w14:paraId="42DF4357">
      <w:pPr>
        <w:rPr>
          <w:rFonts w:hint="default"/>
          <w:lang w:val="en-US" w:eastAsia="zh-CN"/>
        </w:rPr>
      </w:pPr>
    </w:p>
    <w:p w14:paraId="3726315A">
      <w:pPr>
        <w:rPr>
          <w:rFonts w:hint="default"/>
          <w:lang w:val="en-US" w:eastAsia="zh-CN"/>
        </w:rPr>
      </w:pPr>
    </w:p>
    <w:p w14:paraId="03A76EBE">
      <w:pPr>
        <w:rPr>
          <w:rFonts w:hint="default"/>
          <w:lang w:val="en-US" w:eastAsia="zh-CN"/>
        </w:rPr>
      </w:pPr>
    </w:p>
    <w:p w14:paraId="4580CCFF">
      <w:pPr>
        <w:rPr>
          <w:rFonts w:hint="default"/>
          <w:lang w:val="en-US" w:eastAsia="zh-CN"/>
        </w:rPr>
      </w:pPr>
    </w:p>
    <w:p w14:paraId="06131571">
      <w:pPr>
        <w:rPr>
          <w:rFonts w:hint="default"/>
          <w:lang w:val="en-US" w:eastAsia="zh-CN"/>
        </w:rPr>
      </w:pPr>
    </w:p>
    <w:p w14:paraId="46A4C0EA">
      <w:pPr>
        <w:rPr>
          <w:rFonts w:hint="default"/>
          <w:lang w:val="en-US" w:eastAsia="zh-CN"/>
        </w:rPr>
      </w:pPr>
    </w:p>
    <w:p w14:paraId="5708B760">
      <w:pPr>
        <w:rPr>
          <w:rFonts w:hint="default"/>
          <w:lang w:val="en-US" w:eastAsia="zh-CN"/>
        </w:rPr>
      </w:pPr>
    </w:p>
    <w:p w14:paraId="5E7A0DD4">
      <w:pPr>
        <w:rPr>
          <w:rFonts w:hint="default"/>
          <w:lang w:val="en-US" w:eastAsia="zh-CN"/>
        </w:rPr>
      </w:pPr>
    </w:p>
    <w:p w14:paraId="12943D0F">
      <w:pPr>
        <w:rPr>
          <w:rFonts w:hint="default"/>
          <w:lang w:val="en-US" w:eastAsia="zh-CN"/>
        </w:rPr>
      </w:pPr>
    </w:p>
    <w:p w14:paraId="26FBDDC3">
      <w:pPr>
        <w:rPr>
          <w:rFonts w:hint="default"/>
          <w:lang w:val="en-US" w:eastAsia="zh-CN"/>
        </w:rPr>
      </w:pPr>
    </w:p>
    <w:p w14:paraId="09DC8C34">
      <w:pPr>
        <w:rPr>
          <w:rFonts w:hint="default"/>
          <w:lang w:val="en-US" w:eastAsia="zh-CN"/>
        </w:rPr>
      </w:pPr>
    </w:p>
    <w:p w14:paraId="375CB3A7">
      <w:pPr>
        <w:rPr>
          <w:rFonts w:hint="default"/>
          <w:lang w:val="en-US" w:eastAsia="zh-CN"/>
        </w:rPr>
      </w:pPr>
    </w:p>
    <w:p w14:paraId="42DB03EC">
      <w:pPr>
        <w:rPr>
          <w:rFonts w:hint="default"/>
          <w:lang w:val="en-US" w:eastAsia="zh-CN"/>
        </w:rPr>
      </w:pPr>
    </w:p>
    <w:p w14:paraId="209D5EA8">
      <w:pPr>
        <w:rPr>
          <w:rFonts w:hint="default"/>
          <w:lang w:val="en-US" w:eastAsia="zh-CN"/>
        </w:rPr>
      </w:pPr>
    </w:p>
    <w:p w14:paraId="20A86339">
      <w:pPr>
        <w:rPr>
          <w:rFonts w:hint="default"/>
          <w:lang w:val="en-US" w:eastAsia="zh-CN"/>
        </w:rPr>
      </w:pPr>
    </w:p>
    <w:p w14:paraId="2DBB6199">
      <w:pPr>
        <w:rPr>
          <w:rFonts w:hint="default"/>
          <w:lang w:val="en-US" w:eastAsia="zh-CN"/>
        </w:rPr>
      </w:pPr>
    </w:p>
    <w:p w14:paraId="348CA9F0">
      <w:pPr>
        <w:rPr>
          <w:rFonts w:hint="default"/>
          <w:lang w:val="en-US" w:eastAsia="zh-CN"/>
        </w:rPr>
      </w:pPr>
    </w:p>
    <w:p w14:paraId="1C467F97">
      <w:pPr>
        <w:rPr>
          <w:rFonts w:hint="default"/>
          <w:lang w:val="en-US" w:eastAsia="zh-CN"/>
        </w:rPr>
      </w:pPr>
    </w:p>
    <w:p w14:paraId="53B03D53">
      <w:pPr>
        <w:rPr>
          <w:rFonts w:hint="default"/>
          <w:lang w:val="en-US" w:eastAsia="zh-CN"/>
        </w:rPr>
      </w:pPr>
    </w:p>
    <w:p w14:paraId="0F2FC7C2">
      <w:pPr>
        <w:rPr>
          <w:rFonts w:hint="default"/>
          <w:lang w:val="en-US" w:eastAsia="zh-CN"/>
        </w:rPr>
      </w:pPr>
    </w:p>
    <w:p w14:paraId="139FDDA9">
      <w:pPr>
        <w:rPr>
          <w:rFonts w:hint="default"/>
          <w:lang w:val="en-US" w:eastAsia="zh-CN"/>
        </w:rPr>
      </w:pPr>
    </w:p>
    <w:p w14:paraId="7EFDAE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微软雅黑" w:cs="Times New Roman"/>
          <w:b/>
          <w:bCs/>
          <w:spacing w:val="-13"/>
          <w:w w:val="96"/>
          <w:sz w:val="33"/>
          <w:szCs w:val="33"/>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469F0E1">
      <w:r>
        <w:drawing>
          <wp:inline distT="0" distB="0" distL="114300" distR="114300">
            <wp:extent cx="5614035" cy="2018030"/>
            <wp:effectExtent l="0" t="0" r="12065" b="127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4"/>
                    <a:stretch>
                      <a:fillRect/>
                    </a:stretch>
                  </pic:blipFill>
                  <pic:spPr>
                    <a:xfrm>
                      <a:off x="0" y="0"/>
                      <a:ext cx="5614035" cy="2018030"/>
                    </a:xfrm>
                    <a:prstGeom prst="rect">
                      <a:avLst/>
                    </a:prstGeom>
                    <a:noFill/>
                    <a:ln>
                      <a:noFill/>
                    </a:ln>
                  </pic:spPr>
                </pic:pic>
              </a:graphicData>
            </a:graphic>
          </wp:inline>
        </w:drawing>
      </w:r>
    </w:p>
    <w:p w14:paraId="7BE4E3E3">
      <w:pPr>
        <w:rPr>
          <w:rFonts w:hint="default" w:ascii="Times New Roman" w:hAnsi="Times New Roman" w:eastAsia="微软雅黑" w:cs="Times New Roman"/>
          <w:b/>
          <w:bCs/>
          <w:spacing w:val="-13"/>
          <w:w w:val="96"/>
          <w:sz w:val="33"/>
          <w:szCs w:val="33"/>
        </w:rPr>
      </w:pPr>
      <w:r>
        <w:rPr>
          <w:rFonts w:hint="default" w:ascii="Times New Roman" w:hAnsi="Times New Roman" w:eastAsia="仿宋_GB2312" w:cs="Times New Roman"/>
          <w:snapToGrid w:val="0"/>
          <w:color w:val="000000"/>
          <w:spacing w:val="-14"/>
          <w:kern w:val="0"/>
          <w:sz w:val="32"/>
          <w:szCs w:val="32"/>
          <w:lang w:val="en-US" w:eastAsia="zh-CN" w:bidi="ar-SA"/>
        </w:rPr>
        <w:t>本部门2024年度无国有资本经营预算财政拨款支出。</w:t>
      </w:r>
      <w:r>
        <w:rPr>
          <w:rFonts w:hint="default" w:ascii="Times New Roman" w:hAnsi="Times New Roman" w:eastAsia="微软雅黑" w:cs="Times New Roman"/>
          <w:b/>
          <w:bCs/>
          <w:spacing w:val="-13"/>
          <w:w w:val="96"/>
          <w:sz w:val="33"/>
          <w:szCs w:val="33"/>
        </w:rPr>
        <w:br w:type="page"/>
      </w:r>
    </w:p>
    <w:p w14:paraId="1B1E58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0D22F315">
      <w:r>
        <w:drawing>
          <wp:inline distT="0" distB="0" distL="114300" distR="114300">
            <wp:extent cx="5610225" cy="2124710"/>
            <wp:effectExtent l="0" t="0" r="3175" b="889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5"/>
                    <a:stretch>
                      <a:fillRect/>
                    </a:stretch>
                  </pic:blipFill>
                  <pic:spPr>
                    <a:xfrm>
                      <a:off x="0" y="0"/>
                      <a:ext cx="5610225" cy="2124710"/>
                    </a:xfrm>
                    <a:prstGeom prst="rect">
                      <a:avLst/>
                    </a:prstGeom>
                    <a:noFill/>
                    <a:ln>
                      <a:noFill/>
                    </a:ln>
                  </pic:spPr>
                </pic:pic>
              </a:graphicData>
            </a:graphic>
          </wp:inline>
        </w:drawing>
      </w:r>
    </w:p>
    <w:p w14:paraId="1D24353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snapToGrid w:val="0"/>
          <w:color w:val="000000"/>
          <w:spacing w:val="-14"/>
          <w:kern w:val="0"/>
          <w:sz w:val="32"/>
          <w:szCs w:val="32"/>
          <w:lang w:val="en-US" w:eastAsia="zh-CN" w:bidi="ar-SA"/>
        </w:rPr>
        <w:t>本部门2024年度无财政拨款三公经费支出。</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097BB9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411123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both"/>
        <w:textAlignment w:val="baseline"/>
        <w:outlineLvl w:val="0"/>
        <w:rPr>
          <w:rFonts w:hint="default" w:ascii="Times New Roman" w:hAnsi="Times New Roman" w:eastAsia="方正小标宋_GBK" w:cs="Times New Roman"/>
          <w:spacing w:val="-23"/>
          <w:sz w:val="44"/>
          <w:szCs w:val="44"/>
        </w:rPr>
      </w:pPr>
      <w:r>
        <w:rPr>
          <w:rFonts w:hint="eastAsia" w:ascii="方正小标宋_GBK" w:hAnsi="方正小标宋_GBK" w:eastAsia="方正小标宋_GBK" w:cs="方正小标宋_GBK"/>
          <w:spacing w:val="-2"/>
          <w:sz w:val="44"/>
          <w:szCs w:val="44"/>
        </w:rPr>
        <w:t xml:space="preserve">  </w:t>
      </w:r>
      <w:r>
        <w:rPr>
          <w:rFonts w:hint="default" w:ascii="Times New Roman" w:hAnsi="Times New Roman" w:eastAsia="方正小标宋_GBK" w:cs="Times New Roman"/>
          <w:spacing w:val="-23"/>
          <w:sz w:val="44"/>
          <w:szCs w:val="44"/>
          <w:u w:val="none" w:color="auto"/>
        </w:rPr>
        <w:t>武汉市光谷第二十七小学</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w:t>
      </w:r>
    </w:p>
    <w:p w14:paraId="474A5B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firstLine="3152" w:firstLineChars="800"/>
        <w:jc w:val="both"/>
        <w:textAlignment w:val="baseline"/>
        <w:outlineLvl w:val="9"/>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rPr>
        <w:t>部门决算情况说明</w:t>
      </w:r>
    </w:p>
    <w:p w14:paraId="2FFE42C2">
      <w:pPr>
        <w:rPr>
          <w:rFonts w:hint="default" w:ascii="Times New Roman" w:hAnsi="Times New Roman" w:cs="Times New Roman"/>
        </w:rPr>
      </w:pPr>
    </w:p>
    <w:p w14:paraId="298FAF95">
      <w:pPr>
        <w:rPr>
          <w:rFonts w:hint="default" w:ascii="Times New Roman" w:hAnsi="Times New Roman" w:cs="Times New Roman"/>
          <w:lang w:val="en-US" w:eastAsia="zh-CN"/>
        </w:rPr>
      </w:pPr>
    </w:p>
    <w:p w14:paraId="1BF1D291">
      <w:pPr>
        <w:spacing w:before="104" w:line="222" w:lineRule="auto"/>
        <w:ind w:left="643"/>
        <w:outlineLvl w:val="1"/>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65531C9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84"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14"/>
        </w:rPr>
        <w:t>2024年度收、支总计均为1467.17万元。与2023年度相比，收、支总计增加433.99万元，增长42.0%,主要原因是学校于2019年建成，自学校建成起所开设年级逐年增加，学生人数和教师人数逐步增长，与学生和教师人数密切相关的人员经费和公用经费项目收支总计随之增长。</w:t>
      </w:r>
    </w:p>
    <w:p w14:paraId="230A96D5">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56165896">
      <w:pPr>
        <w:pStyle w:val="2"/>
        <w:spacing w:before="74" w:line="224" w:lineRule="auto"/>
        <w:jc w:val="center"/>
        <w:rPr>
          <w:rFonts w:hint="default" w:ascii="Times New Roman" w:hAnsi="Times New Roman" w:eastAsia="楷体_GB2312" w:cs="Times New Roman"/>
          <w:spacing w:val="3"/>
          <w:sz w:val="32"/>
          <w:szCs w:val="32"/>
        </w:rPr>
      </w:pPr>
      <w:r>
        <w:rPr>
          <w:rFonts w:hint="eastAsia" w:ascii="Times New Roman" w:hAnsi="Times New Roman" w:eastAsia="楷体_GB2312" w:cs="Times New Roman"/>
          <w:spacing w:val="3"/>
          <w:sz w:val="32"/>
          <w:szCs w:val="32"/>
          <w:lang w:eastAsia="zh-CN"/>
        </w:rPr>
        <w:drawing>
          <wp:inline distT="0" distB="0" distL="114300" distR="114300">
            <wp:extent cx="4653915" cy="2463800"/>
            <wp:effectExtent l="4445" t="4445" r="15240" b="825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21526B">
      <w:pPr>
        <w:spacing w:before="294" w:line="222" w:lineRule="auto"/>
        <w:ind w:left="643"/>
        <w:outlineLvl w:val="1"/>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4E2786DA">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 xml:space="preserve"> 2024年度收入合计1466.45万元，与2023年度相比，收入合计增加467.28万元，增长46.</w:t>
      </w:r>
      <w:r>
        <w:rPr>
          <w:rFonts w:hint="eastAsia" w:ascii="仿宋_GB2312" w:hAnsi="仿宋_GB2312" w:eastAsia="仿宋_GB2312" w:cs="仿宋_GB2312"/>
          <w:bCs/>
          <w:kern w:val="44"/>
          <w:sz w:val="32"/>
          <w:szCs w:val="32"/>
          <w:highlight w:val="none"/>
          <w:lang w:val="en-US" w:eastAsia="zh-CN"/>
        </w:rPr>
        <w:t>8</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，主要原因是与上年度相比，班级总数、学生人数和教师人数有所增长，故收入也随之增长</w:t>
      </w:r>
      <w:r>
        <w:rPr>
          <w:rFonts w:hint="eastAsia" w:ascii="仿宋_GB2312" w:hAnsi="仿宋_GB2312" w:eastAsia="仿宋_GB2312" w:cs="仿宋_GB2312"/>
          <w:bCs/>
          <w:kern w:val="44"/>
          <w:sz w:val="32"/>
          <w:szCs w:val="32"/>
          <w:highlight w:val="none"/>
        </w:rPr>
        <w:t>。其中：财政拨款收入1371.36万元，占本年收入93.</w:t>
      </w:r>
      <w:r>
        <w:rPr>
          <w:rFonts w:hint="eastAsia" w:ascii="仿宋_GB2312" w:hAnsi="仿宋_GB2312" w:eastAsia="仿宋_GB2312" w:cs="仿宋_GB2312"/>
          <w:bCs/>
          <w:kern w:val="44"/>
          <w:sz w:val="32"/>
          <w:szCs w:val="32"/>
          <w:highlight w:val="none"/>
          <w:lang w:val="en-US" w:eastAsia="zh-CN"/>
        </w:rPr>
        <w:t>5</w:t>
      </w:r>
      <w:r>
        <w:rPr>
          <w:rFonts w:hint="eastAsia" w:ascii="仿宋_GB2312" w:hAnsi="仿宋_GB2312" w:eastAsia="仿宋_GB2312" w:cs="仿宋_GB2312"/>
          <w:bCs/>
          <w:kern w:val="44"/>
          <w:sz w:val="32"/>
          <w:szCs w:val="32"/>
          <w:highlight w:val="none"/>
        </w:rPr>
        <w:t>%；其他收入95.09万元，占本年收入6.</w:t>
      </w:r>
      <w:r>
        <w:rPr>
          <w:rFonts w:hint="eastAsia" w:ascii="仿宋_GB2312" w:hAnsi="仿宋_GB2312" w:eastAsia="仿宋_GB2312" w:cs="仿宋_GB2312"/>
          <w:bCs/>
          <w:kern w:val="44"/>
          <w:sz w:val="32"/>
          <w:szCs w:val="32"/>
          <w:highlight w:val="none"/>
          <w:lang w:val="en-US" w:eastAsia="zh-CN"/>
        </w:rPr>
        <w:t>5</w:t>
      </w:r>
      <w:r>
        <w:rPr>
          <w:rFonts w:hint="eastAsia" w:ascii="仿宋_GB2312" w:hAnsi="仿宋_GB2312" w:eastAsia="仿宋_GB2312" w:cs="仿宋_GB2312"/>
          <w:bCs/>
          <w:kern w:val="44"/>
          <w:sz w:val="32"/>
          <w:szCs w:val="32"/>
          <w:highlight w:val="none"/>
        </w:rPr>
        <w:t>%。</w:t>
      </w:r>
    </w:p>
    <w:p w14:paraId="74237A8F">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eastAsia" w:ascii="Times New Roman" w:hAnsi="Times New Roman" w:eastAsia="楷体_GB2312" w:cs="Times New Roman"/>
          <w:spacing w:val="3"/>
          <w:sz w:val="32"/>
          <w:szCs w:val="32"/>
          <w:lang w:eastAsia="zh-CN"/>
        </w:rPr>
        <w:drawing>
          <wp:anchor distT="0" distB="0" distL="114300" distR="114300" simplePos="0" relativeHeight="251660288" behindDoc="0" locked="0" layoutInCell="1" allowOverlap="1">
            <wp:simplePos x="0" y="0"/>
            <wp:positionH relativeFrom="column">
              <wp:posOffset>850265</wp:posOffset>
            </wp:positionH>
            <wp:positionV relativeFrom="paragraph">
              <wp:posOffset>327660</wp:posOffset>
            </wp:positionV>
            <wp:extent cx="4185285" cy="2242820"/>
            <wp:effectExtent l="0" t="0" r="0" b="0"/>
            <wp:wrapNone/>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default" w:ascii="Times New Roman" w:hAnsi="Times New Roman" w:eastAsia="楷体_GB2312" w:cs="Times New Roman"/>
          <w:spacing w:val="3"/>
          <w:sz w:val="32"/>
          <w:szCs w:val="32"/>
        </w:rPr>
        <w:t>图 2：收入决算结构</w:t>
      </w:r>
    </w:p>
    <w:p w14:paraId="4093D66F">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26358370">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1C76A41A">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eastAsia="zh-CN"/>
        </w:rPr>
      </w:pPr>
    </w:p>
    <w:p w14:paraId="4CB7DC4C">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1F78D1C8">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2226A2CC">
      <w:pPr>
        <w:rPr>
          <w:rFonts w:hint="default" w:ascii="Times New Roman" w:hAnsi="Times New Roman" w:cs="Times New Roman"/>
          <w:sz w:val="21"/>
        </w:rPr>
      </w:pPr>
    </w:p>
    <w:p w14:paraId="4C8FF990">
      <w:pPr>
        <w:spacing w:line="241" w:lineRule="auto"/>
        <w:rPr>
          <w:rFonts w:hint="default" w:ascii="Times New Roman" w:hAnsi="Times New Roman" w:cs="Times New Roman"/>
          <w:sz w:val="21"/>
        </w:rPr>
      </w:pPr>
    </w:p>
    <w:p w14:paraId="6EBF076B">
      <w:pPr>
        <w:spacing w:line="241" w:lineRule="auto"/>
        <w:rPr>
          <w:rFonts w:hint="default" w:ascii="Times New Roman" w:hAnsi="Times New Roman" w:cs="Times New Roman"/>
          <w:sz w:val="21"/>
        </w:rPr>
      </w:pPr>
    </w:p>
    <w:p w14:paraId="470E0278">
      <w:pPr>
        <w:spacing w:before="104" w:line="222" w:lineRule="auto"/>
        <w:ind w:left="642"/>
        <w:outlineLvl w:val="1"/>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335B5EEA">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pacing w:val="-6"/>
          <w:lang w:eastAsia="zh-CN"/>
        </w:rPr>
      </w:pPr>
      <w:r>
        <w:rPr>
          <w:rFonts w:hint="eastAsia" w:ascii="仿宋_GB2312" w:hAnsi="仿宋_GB2312" w:eastAsia="仿宋_GB2312" w:cs="仿宋_GB2312"/>
          <w:bCs/>
          <w:kern w:val="44"/>
          <w:sz w:val="32"/>
          <w:szCs w:val="32"/>
          <w:highlight w:val="none"/>
        </w:rPr>
        <w:t>2024年度支出合计1467.17万元，与2023年度相比，支出合计增加434.71万元，增长42.1%</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主要原因是班级总数、学生人数和教师人数有所增长，故各项支出也随之增长。其中：基本支出1361.2</w:t>
      </w:r>
      <w:r>
        <w:rPr>
          <w:rFonts w:hint="eastAsia" w:ascii="仿宋_GB2312" w:hAnsi="仿宋_GB2312" w:eastAsia="仿宋_GB2312" w:cs="仿宋_GB2312"/>
          <w:bCs/>
          <w:kern w:val="44"/>
          <w:sz w:val="32"/>
          <w:szCs w:val="32"/>
          <w:highlight w:val="none"/>
          <w:lang w:val="en-US" w:eastAsia="zh-CN"/>
        </w:rPr>
        <w:t>7</w:t>
      </w:r>
      <w:r>
        <w:rPr>
          <w:rFonts w:hint="eastAsia" w:ascii="仿宋_GB2312" w:hAnsi="仿宋_GB2312" w:eastAsia="仿宋_GB2312" w:cs="仿宋_GB2312"/>
          <w:bCs/>
          <w:kern w:val="44"/>
          <w:sz w:val="32"/>
          <w:szCs w:val="32"/>
          <w:highlight w:val="none"/>
        </w:rPr>
        <w:t>万元，占本年支出92.</w:t>
      </w:r>
      <w:r>
        <w:rPr>
          <w:rFonts w:hint="eastAsia" w:ascii="仿宋_GB2312" w:hAnsi="仿宋_GB2312" w:eastAsia="仿宋_GB2312" w:cs="仿宋_GB2312"/>
          <w:bCs/>
          <w:kern w:val="44"/>
          <w:sz w:val="32"/>
          <w:szCs w:val="32"/>
          <w:highlight w:val="none"/>
          <w:lang w:val="en-US" w:eastAsia="zh-CN"/>
        </w:rPr>
        <w:t>8</w:t>
      </w:r>
      <w:r>
        <w:rPr>
          <w:rFonts w:hint="eastAsia" w:ascii="仿宋_GB2312" w:hAnsi="仿宋_GB2312" w:eastAsia="仿宋_GB2312" w:cs="仿宋_GB2312"/>
          <w:bCs/>
          <w:kern w:val="44"/>
          <w:sz w:val="32"/>
          <w:szCs w:val="32"/>
          <w:highlight w:val="none"/>
        </w:rPr>
        <w:t>%；项目支出105.9万元，占本年支出7.</w:t>
      </w:r>
      <w:r>
        <w:rPr>
          <w:rFonts w:hint="eastAsia" w:ascii="仿宋_GB2312" w:hAnsi="仿宋_GB2312" w:eastAsia="仿宋_GB2312" w:cs="仿宋_GB2312"/>
          <w:bCs/>
          <w:kern w:val="44"/>
          <w:sz w:val="32"/>
          <w:szCs w:val="32"/>
          <w:highlight w:val="none"/>
          <w:lang w:val="en-US" w:eastAsia="zh-CN"/>
        </w:rPr>
        <w:t>2</w:t>
      </w:r>
      <w:r>
        <w:rPr>
          <w:rFonts w:hint="eastAsia" w:ascii="仿宋_GB2312" w:hAnsi="仿宋_GB2312" w:eastAsia="仿宋_GB2312" w:cs="仿宋_GB2312"/>
          <w:bCs/>
          <w:kern w:val="44"/>
          <w:sz w:val="32"/>
          <w:szCs w:val="32"/>
          <w:highlight w:val="none"/>
        </w:rPr>
        <w:t>%。</w:t>
      </w:r>
    </w:p>
    <w:p w14:paraId="085FB41C">
      <w:pPr>
        <w:pStyle w:val="2"/>
        <w:keepNext w:val="0"/>
        <w:keepLines w:val="0"/>
        <w:pageBreakBefore w:val="0"/>
        <w:widowControl/>
        <w:tabs>
          <w:tab w:val="center" w:pos="4482"/>
          <w:tab w:val="left" w:pos="7041"/>
        </w:tabs>
        <w:kinsoku w:val="0"/>
        <w:wordWrap/>
        <w:overflowPunct/>
        <w:topLinePunct w:val="0"/>
        <w:autoSpaceDE w:val="0"/>
        <w:autoSpaceDN w:val="0"/>
        <w:bidi w:val="0"/>
        <w:adjustRightInd w:val="0"/>
        <w:snapToGrid w:val="0"/>
        <w:spacing w:line="580" w:lineRule="exact"/>
        <w:jc w:val="left"/>
        <w:textAlignment w:val="baseline"/>
        <w:rPr>
          <w:rFonts w:hint="eastAsia" w:ascii="Times New Roman" w:hAnsi="Times New Roman" w:eastAsia="楷体_GB2312" w:cs="Times New Roman"/>
          <w:spacing w:val="3"/>
          <w:sz w:val="32"/>
          <w:szCs w:val="32"/>
          <w:lang w:val="en-US" w:eastAsia="zh-CN"/>
        </w:rPr>
      </w:pPr>
      <w:r>
        <w:rPr>
          <w:rFonts w:hint="eastAsia" w:ascii="Times New Roman" w:hAnsi="Times New Roman" w:eastAsia="楷体_GB2312" w:cs="Times New Roman"/>
          <w:spacing w:val="3"/>
          <w:sz w:val="32"/>
          <w:szCs w:val="32"/>
          <w:lang w:eastAsia="zh-CN"/>
        </w:rPr>
        <w:tab/>
      </w:r>
      <w:r>
        <w:rPr>
          <w:rFonts w:hint="default" w:ascii="Times New Roman" w:hAnsi="Times New Roman" w:eastAsia="楷体_GB2312" w:cs="Times New Roman"/>
          <w:spacing w:val="3"/>
          <w:sz w:val="32"/>
          <w:szCs w:val="32"/>
        </w:rPr>
        <w:t>图 3：支出决算</w:t>
      </w:r>
      <w:r>
        <w:rPr>
          <w:rFonts w:hint="eastAsia" w:ascii="Times New Roman" w:hAnsi="Times New Roman" w:eastAsia="楷体_GB2312" w:cs="Times New Roman"/>
          <w:spacing w:val="3"/>
          <w:sz w:val="32"/>
          <w:szCs w:val="32"/>
          <w:lang w:val="en-US" w:eastAsia="zh-CN"/>
        </w:rPr>
        <w:t>结构</w:t>
      </w:r>
      <w:r>
        <w:rPr>
          <w:rFonts w:hint="eastAsia" w:ascii="Times New Roman" w:hAnsi="Times New Roman" w:eastAsia="楷体_GB2312" w:cs="Times New Roman"/>
          <w:spacing w:val="3"/>
          <w:sz w:val="32"/>
          <w:szCs w:val="32"/>
          <w:lang w:val="en-US" w:eastAsia="zh-CN"/>
        </w:rPr>
        <w:tab/>
      </w:r>
    </w:p>
    <w:p w14:paraId="75D4B7FE">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val="en-US" w:eastAsia="zh-CN"/>
        </w:rPr>
      </w:pPr>
      <w:r>
        <w:rPr>
          <w:rFonts w:hint="eastAsia" w:ascii="Times New Roman" w:hAnsi="Times New Roman" w:eastAsia="楷体_GB2312" w:cs="Times New Roman"/>
          <w:spacing w:val="3"/>
          <w:sz w:val="32"/>
          <w:szCs w:val="32"/>
          <w:lang w:eastAsia="zh-CN"/>
        </w:rPr>
        <w:drawing>
          <wp:anchor distT="0" distB="0" distL="114300" distR="114300" simplePos="0" relativeHeight="251661312" behindDoc="0" locked="0" layoutInCell="1" allowOverlap="1">
            <wp:simplePos x="0" y="0"/>
            <wp:positionH relativeFrom="column">
              <wp:posOffset>624205</wp:posOffset>
            </wp:positionH>
            <wp:positionV relativeFrom="paragraph">
              <wp:posOffset>140335</wp:posOffset>
            </wp:positionV>
            <wp:extent cx="4364990" cy="2054225"/>
            <wp:effectExtent l="0" t="0" r="3810" b="3175"/>
            <wp:wrapNone/>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3D0662F">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val="en-US" w:eastAsia="zh-CN"/>
        </w:rPr>
      </w:pPr>
    </w:p>
    <w:p w14:paraId="0AFCEEC4">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val="en-US" w:eastAsia="zh-CN"/>
        </w:rPr>
      </w:pPr>
    </w:p>
    <w:p w14:paraId="55529615">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val="en-US" w:eastAsia="zh-CN"/>
        </w:rPr>
      </w:pPr>
    </w:p>
    <w:p w14:paraId="2B6171D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val="en-US" w:eastAsia="zh-CN"/>
        </w:rPr>
      </w:pPr>
    </w:p>
    <w:p w14:paraId="7C6881ED">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Times New Roman" w:hAnsi="Times New Roman" w:eastAsia="楷体_GB2312" w:cs="Times New Roman"/>
          <w:spacing w:val="3"/>
          <w:sz w:val="32"/>
          <w:szCs w:val="32"/>
          <w:lang w:val="en-US" w:eastAsia="zh-CN"/>
        </w:rPr>
      </w:pPr>
    </w:p>
    <w:p w14:paraId="22070748">
      <w:pPr>
        <w:rPr>
          <w:rFonts w:hint="default" w:ascii="Times New Roman" w:hAnsi="Times New Roman" w:cs="Times New Roman"/>
        </w:rPr>
      </w:pPr>
    </w:p>
    <w:p w14:paraId="70D72306">
      <w:pPr>
        <w:rPr>
          <w:rFonts w:hint="default" w:ascii="Times New Roman" w:hAnsi="Times New Roman" w:cs="Times New Roman"/>
        </w:rPr>
      </w:pPr>
    </w:p>
    <w:p w14:paraId="6697EA50">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outlineLvl w:val="1"/>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2EEC6752">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2024年度财政拨款收、支总计均为1371.36万元。与2023年度相比，财政拨款收、支总计各增加416.28万元，增长43.</w:t>
      </w:r>
      <w:r>
        <w:rPr>
          <w:rFonts w:hint="eastAsia" w:ascii="仿宋_GB2312" w:hAnsi="仿宋_GB2312" w:eastAsia="仿宋_GB2312" w:cs="仿宋_GB2312"/>
          <w:bCs/>
          <w:kern w:val="44"/>
          <w:sz w:val="32"/>
          <w:szCs w:val="32"/>
          <w:highlight w:val="none"/>
          <w:lang w:val="en-US" w:eastAsia="zh-CN"/>
        </w:rPr>
        <w:t>6</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2024年</w:t>
      </w:r>
      <w:r>
        <w:rPr>
          <w:rFonts w:hint="eastAsia" w:ascii="仿宋_GB2312" w:hAnsi="仿宋_GB2312" w:eastAsia="仿宋_GB2312" w:cs="仿宋_GB2312"/>
          <w:bCs/>
          <w:kern w:val="44"/>
          <w:sz w:val="32"/>
          <w:szCs w:val="32"/>
          <w:highlight w:val="none"/>
        </w:rPr>
        <w:t>教师及学生人数的增加导致收支增加。</w:t>
      </w:r>
    </w:p>
    <w:p w14:paraId="7511A393">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2024年度财政拨款收入中，一般公共预算财政拨款收入    1371.36万元，比2023年度决算数增加416.28万元,增加主要原因是学生人数和教师人数逐步增长，与学生和教师人数密切相关的人员经费和公用经费项目收支总计随之增长。</w:t>
      </w:r>
    </w:p>
    <w:p w14:paraId="3CC20FE9">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4：财政拨款收、支决算总计变动情况</w:t>
      </w:r>
    </w:p>
    <w:p w14:paraId="5E95BD13">
      <w:pPr>
        <w:pStyle w:val="6"/>
        <w:rPr>
          <w:rFonts w:hint="default"/>
          <w:lang w:eastAsia="zh-CN"/>
        </w:rPr>
      </w:pPr>
      <w:r>
        <w:rPr>
          <w:rFonts w:hint="eastAsia"/>
          <w:lang w:val="en-US" w:eastAsia="zh-CN"/>
        </w:rPr>
        <w:t xml:space="preserve">      </w:t>
      </w:r>
      <w:r>
        <w:rPr>
          <w:rFonts w:hint="default"/>
          <w:lang w:eastAsia="zh-CN"/>
        </w:rPr>
        <w:drawing>
          <wp:inline distT="0" distB="0" distL="114300" distR="114300">
            <wp:extent cx="4785360" cy="2455545"/>
            <wp:effectExtent l="4445" t="4445" r="10795"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9DF123">
      <w:pPr>
        <w:rPr>
          <w:rFonts w:hint="eastAsia"/>
          <w:lang w:val="en-US" w:eastAsia="zh-CN"/>
        </w:rPr>
      </w:pPr>
    </w:p>
    <w:p w14:paraId="23F2EF10">
      <w:pPr>
        <w:ind w:firstLine="640" w:firstLineChars="200"/>
        <w:outlineLvl w:val="1"/>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079567B0">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2"/>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41155B45">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2024年度一般公共预算财政拨款支出1371.36万元，占本年支出合计的93.</w:t>
      </w:r>
      <w:r>
        <w:rPr>
          <w:rFonts w:hint="eastAsia" w:ascii="仿宋_GB2312" w:hAnsi="仿宋_GB2312" w:eastAsia="仿宋_GB2312" w:cs="仿宋_GB2312"/>
          <w:bCs/>
          <w:kern w:val="44"/>
          <w:sz w:val="32"/>
          <w:szCs w:val="32"/>
          <w:highlight w:val="none"/>
          <w:lang w:val="en-US" w:eastAsia="zh-CN"/>
        </w:rPr>
        <w:t>5</w:t>
      </w:r>
      <w:r>
        <w:rPr>
          <w:rFonts w:hint="eastAsia" w:ascii="仿宋_GB2312" w:hAnsi="仿宋_GB2312" w:eastAsia="仿宋_GB2312" w:cs="仿宋_GB2312"/>
          <w:bCs/>
          <w:kern w:val="44"/>
          <w:sz w:val="32"/>
          <w:szCs w:val="32"/>
          <w:highlight w:val="none"/>
        </w:rPr>
        <w:t>%。与2023年度相比，一般公共预算财政拨款支出增加416.28万元，增长43.</w:t>
      </w:r>
      <w:r>
        <w:rPr>
          <w:rFonts w:hint="eastAsia" w:ascii="仿宋_GB2312" w:hAnsi="仿宋_GB2312" w:eastAsia="仿宋_GB2312" w:cs="仿宋_GB2312"/>
          <w:bCs/>
          <w:kern w:val="44"/>
          <w:sz w:val="32"/>
          <w:szCs w:val="32"/>
          <w:highlight w:val="none"/>
          <w:lang w:val="en-US" w:eastAsia="zh-CN"/>
        </w:rPr>
        <w:t>6</w:t>
      </w:r>
      <w:r>
        <w:rPr>
          <w:rFonts w:hint="eastAsia" w:ascii="仿宋_GB2312" w:hAnsi="仿宋_GB2312" w:eastAsia="仿宋_GB2312" w:cs="仿宋_GB2312"/>
          <w:bCs/>
          <w:kern w:val="44"/>
          <w:sz w:val="32"/>
          <w:szCs w:val="32"/>
          <w:highlight w:val="none"/>
        </w:rPr>
        <w:t>%,主要原因是学生人数和教师人数逐步增长，与学生和教师人数密切相关的人员经费和公用经费项目收支总计随之增长。</w:t>
      </w:r>
    </w:p>
    <w:p w14:paraId="1B461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sz w:val="32"/>
          <w:szCs w:val="32"/>
          <w:highlight w:val="none"/>
          <w:lang w:val="en-US" w:eastAsia="zh-CN"/>
        </w:rPr>
      </w:pPr>
      <w:r>
        <w:rPr>
          <w:rFonts w:hint="default" w:ascii="Times New Roman" w:hAnsi="Times New Roman" w:eastAsia="楷体_GB2312" w:cs="Times New Roman"/>
          <w:spacing w:val="0"/>
          <w:sz w:val="32"/>
          <w:szCs w:val="32"/>
          <w:lang w:eastAsia="zh-CN"/>
        </w:rPr>
        <w:t>（</w:t>
      </w:r>
      <w:r>
        <w:rPr>
          <w:rFonts w:hint="eastAsia" w:ascii="Times New Roman" w:hAnsi="Times New Roman" w:eastAsia="楷体_GB2312" w:cs="Times New Roman"/>
          <w:spacing w:val="0"/>
          <w:sz w:val="32"/>
          <w:szCs w:val="32"/>
          <w:lang w:val="en-US" w:eastAsia="zh-CN"/>
        </w:rPr>
        <w:t>二</w:t>
      </w:r>
      <w:r>
        <w:rPr>
          <w:rFonts w:hint="default" w:ascii="Times New Roman" w:hAnsi="Times New Roman" w:eastAsia="楷体_GB2312" w:cs="Times New Roman"/>
          <w:spacing w:val="0"/>
          <w:sz w:val="32"/>
          <w:szCs w:val="32"/>
          <w:lang w:eastAsia="zh-CN"/>
        </w:rPr>
        <w:t>）</w:t>
      </w:r>
      <w:r>
        <w:rPr>
          <w:rFonts w:hint="eastAsia" w:ascii="楷体_GB2312" w:hAnsi="楷体_GB2312" w:eastAsia="楷体_GB2312" w:cs="楷体_GB2312"/>
          <w:sz w:val="32"/>
          <w:szCs w:val="32"/>
          <w:highlight w:val="none"/>
          <w:lang w:val="en-US" w:eastAsia="zh-CN"/>
        </w:rPr>
        <w:t>一般公共预算财政拨款支出决算结构情况</w:t>
      </w:r>
    </w:p>
    <w:p w14:paraId="1D6282A6">
      <w:pPr>
        <w:pStyle w:val="2"/>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eastAsia" w:ascii="Times New Roman" w:hAnsi="Times New Roman" w:eastAsia="仿宋_GB2312" w:cs="Times New Roman"/>
          <w:spacing w:val="0"/>
          <w:sz w:val="32"/>
        </w:rPr>
      </w:pPr>
      <w:r>
        <w:rPr>
          <w:rFonts w:hint="eastAsia" w:ascii="Times New Roman" w:hAnsi="Times New Roman" w:eastAsia="仿宋_GB2312" w:cs="Times New Roman"/>
          <w:spacing w:val="0"/>
          <w:sz w:val="32"/>
        </w:rPr>
        <w:t>2024年度一般公共预算财政拨款支出1371.36万元，主要用于以下方面：</w:t>
      </w:r>
    </w:p>
    <w:p w14:paraId="149C0D0C">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教育支出类支出1289.33万元，占94.0%</w:t>
      </w:r>
      <w:r>
        <w:rPr>
          <w:rFonts w:hint="eastAsia" w:ascii="Times New Roman" w:hAnsi="Times New Roman" w:eastAsia="仿宋_GB2312" w:cs="Times New Roman"/>
          <w:spacing w:val="0"/>
          <w:sz w:val="32"/>
          <w:lang w:eastAsia="zh-CN"/>
        </w:rPr>
        <w:t>。</w:t>
      </w:r>
      <w:r>
        <w:rPr>
          <w:rFonts w:hint="default" w:ascii="Times New Roman" w:hAnsi="Times New Roman" w:eastAsia="仿宋_GB2312" w:cs="Times New Roman"/>
          <w:spacing w:val="0"/>
          <w:sz w:val="32"/>
        </w:rPr>
        <w:t>主要是用于为保证学校日常教学运转发生的各项支出，如基本工资、津补贴等根据规定安排的人员经费支出，办公费、物业管理费等日常公用经费支出。</w:t>
      </w:r>
    </w:p>
    <w:p w14:paraId="443D0299">
      <w:pPr>
        <w:pStyle w:val="7"/>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spacing w:val="0"/>
          <w:sz w:val="32"/>
          <w:lang w:val="en-US" w:eastAsia="zh-CN"/>
        </w:rPr>
      </w:pPr>
      <w:r>
        <w:rPr>
          <w:rFonts w:hint="default" w:ascii="Times New Roman" w:hAnsi="Times New Roman" w:eastAsia="仿宋_GB2312" w:cs="Times New Roman"/>
          <w:spacing w:val="0"/>
          <w:sz w:val="32"/>
        </w:rPr>
        <w:t>2.</w:t>
      </w:r>
      <w:r>
        <w:rPr>
          <w:rFonts w:hint="default" w:ascii="Times New Roman" w:hAnsi="Times New Roman" w:eastAsia="仿宋_GB2312" w:cs="Times New Roman"/>
          <w:spacing w:val="0"/>
          <w:sz w:val="32"/>
          <w:lang w:val="en-US" w:eastAsia="zh-CN"/>
        </w:rPr>
        <w:t>社会保障和就业支出类支出82.03万元，占</w:t>
      </w:r>
      <w:r>
        <w:rPr>
          <w:rFonts w:hint="eastAsia" w:ascii="Times New Roman" w:hAnsi="Times New Roman" w:cs="Times New Roman"/>
          <w:spacing w:val="0"/>
          <w:sz w:val="32"/>
          <w:lang w:val="en-US" w:eastAsia="zh-CN"/>
        </w:rPr>
        <w:t>6.0</w:t>
      </w:r>
      <w:r>
        <w:rPr>
          <w:rFonts w:hint="default" w:ascii="Times New Roman" w:hAnsi="Times New Roman" w:eastAsia="仿宋_GB2312" w:cs="Times New Roman"/>
          <w:spacing w:val="0"/>
          <w:sz w:val="32"/>
          <w:lang w:val="en-US" w:eastAsia="zh-CN"/>
        </w:rPr>
        <w:t>%。主要是用于支付单位职工养老保险缴费。</w:t>
      </w:r>
    </w:p>
    <w:p w14:paraId="7B2FDB36">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outlineLvl w:val="2"/>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51CA042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16"/>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w:t>
      </w:r>
      <w:r>
        <w:rPr>
          <w:rFonts w:hint="default" w:ascii="Times New Roman" w:hAnsi="Times New Roman" w:eastAsia="仿宋_GB2312" w:cs="Times New Roman"/>
          <w:spacing w:val="-1"/>
          <w:u w:val="none" w:color="auto"/>
        </w:rPr>
        <w:t>为</w:t>
      </w:r>
      <w:r>
        <w:rPr>
          <w:rFonts w:hint="eastAsia" w:ascii="Times New Roman" w:hAnsi="Times New Roman" w:eastAsia="仿宋_GB2312" w:cs="Times New Roman"/>
          <w:spacing w:val="-1"/>
          <w:u w:val="none" w:color="auto"/>
          <w:lang w:val="en-US" w:eastAsia="zh-CN"/>
        </w:rPr>
        <w:t>1178.91</w:t>
      </w:r>
      <w:r>
        <w:rPr>
          <w:rFonts w:hint="eastAsia" w:ascii="Times New Roman" w:hAnsi="Times New Roman" w:eastAsia="仿宋_GB2312" w:cs="Times New Roman"/>
          <w:spacing w:val="-3"/>
          <w:lang w:val="en-US" w:eastAsia="zh-CN"/>
        </w:rPr>
        <w:t>万元</w:t>
      </w:r>
      <w:r>
        <w:rPr>
          <w:rFonts w:hint="default" w:ascii="Times New Roman" w:hAnsi="Times New Roman" w:eastAsia="仿宋_GB2312" w:cs="Times New Roman"/>
          <w:spacing w:val="-3"/>
        </w:rPr>
        <w:t>，</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u w:val="none" w:color="auto"/>
        </w:rPr>
        <w:t>1371.36</w:t>
      </w:r>
      <w:r>
        <w:rPr>
          <w:rFonts w:hint="default" w:ascii="Times New Roman" w:hAnsi="Times New Roman" w:eastAsia="仿宋_GB2312" w:cs="Times New Roman"/>
          <w:spacing w:val="-1"/>
        </w:rPr>
        <w:t>万元，完成年初预算的116.3%。其中：基本支出</w:t>
      </w:r>
      <w:r>
        <w:rPr>
          <w:rFonts w:hint="default" w:ascii="Times New Roman" w:hAnsi="Times New Roman" w:eastAsia="仿宋_GB2312" w:cs="Times New Roman"/>
        </w:rPr>
        <w:t>1296</w:t>
      </w:r>
      <w:r>
        <w:rPr>
          <w:rFonts w:hint="default" w:ascii="Times New Roman" w:hAnsi="Times New Roman" w:eastAsia="仿宋_GB2312" w:cs="Times New Roman"/>
          <w:spacing w:val="-6"/>
        </w:rPr>
        <w:t>万元，项目支出</w:t>
      </w:r>
      <w:r>
        <w:rPr>
          <w:rFonts w:hint="eastAsia" w:ascii="Times New Roman" w:hAnsi="Times New Roman" w:eastAsia="仿宋_GB2312" w:cs="Times New Roman"/>
          <w:spacing w:val="-6"/>
          <w:u w:val="none" w:color="auto"/>
          <w:lang w:val="en-US" w:eastAsia="zh-CN"/>
        </w:rPr>
        <w:t>75.36</w:t>
      </w:r>
      <w:r>
        <w:rPr>
          <w:rFonts w:hint="default" w:ascii="Times New Roman" w:hAnsi="Times New Roman" w:eastAsia="仿宋_GB2312" w:cs="Times New Roman"/>
          <w:spacing w:val="-6"/>
        </w:rPr>
        <w:t>万元。</w:t>
      </w:r>
    </w:p>
    <w:p w14:paraId="6368177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lang w:eastAsia="zh-CN"/>
        </w:rPr>
      </w:pPr>
      <w:r>
        <w:rPr>
          <w:rFonts w:hint="default" w:ascii="Times New Roman" w:hAnsi="Times New Roman" w:eastAsia="仿宋_GB2312" w:cs="Times New Roman"/>
          <w:bCs/>
          <w:kern w:val="44"/>
          <w:sz w:val="32"/>
          <w:szCs w:val="32"/>
        </w:rPr>
        <w:t>项目支出主要用于</w:t>
      </w:r>
      <w:r>
        <w:rPr>
          <w:rFonts w:hint="eastAsia" w:ascii="Times New Roman" w:hAnsi="Times New Roman" w:eastAsia="仿宋_GB2312" w:cs="Times New Roman"/>
          <w:bCs/>
          <w:kern w:val="44"/>
          <w:sz w:val="32"/>
          <w:szCs w:val="32"/>
          <w:u w:val="none"/>
          <w:lang w:eastAsia="zh-CN"/>
        </w:rPr>
        <w:t>：</w:t>
      </w:r>
    </w:p>
    <w:p w14:paraId="01A449D5">
      <w:pPr>
        <w:pStyle w:val="7"/>
        <w:ind w:left="0" w:leftChars="0"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Cs/>
          <w:kern w:val="44"/>
          <w:sz w:val="32"/>
          <w:szCs w:val="32"/>
          <w:highlight w:val="none"/>
          <w:lang w:val="en-US" w:eastAsia="zh-CN"/>
        </w:rPr>
        <w:t>1</w:t>
      </w:r>
      <w:r>
        <w:rPr>
          <w:rFonts w:hint="default" w:ascii="Times New Roman" w:hAnsi="Times New Roman" w:eastAsia="仿宋_GB2312" w:cs="Times New Roman"/>
          <w:bCs/>
          <w:kern w:val="44"/>
          <w:sz w:val="32"/>
          <w:szCs w:val="32"/>
          <w:highlight w:val="none"/>
        </w:rPr>
        <w:t>.</w:t>
      </w:r>
      <w:r>
        <w:rPr>
          <w:rFonts w:hint="default" w:ascii="Times New Roman" w:hAnsi="Times New Roman" w:cs="Times New Roman"/>
          <w:highlight w:val="none"/>
        </w:rPr>
        <w:t>上级专款</w:t>
      </w:r>
      <w:r>
        <w:rPr>
          <w:rFonts w:hint="default" w:ascii="Times New Roman" w:hAnsi="Times New Roman" w:eastAsia="仿宋" w:cs="Times New Roman"/>
          <w:snapToGrid w:val="0"/>
          <w:color w:val="000000"/>
          <w:kern w:val="0"/>
          <w:sz w:val="32"/>
          <w:szCs w:val="32"/>
          <w:highlight w:val="none"/>
          <w:lang w:val="en-US" w:eastAsia="en-US" w:bidi="ar-SA"/>
        </w:rPr>
        <w:t>——</w:t>
      </w:r>
      <w:r>
        <w:rPr>
          <w:rFonts w:hint="default" w:ascii="Times New Roman" w:hAnsi="Times New Roman" w:cs="Times New Roman"/>
          <w:highlight w:val="none"/>
        </w:rPr>
        <w:t>武财教〔2023〕</w:t>
      </w:r>
      <w:r>
        <w:rPr>
          <w:rFonts w:hint="default" w:ascii="Times New Roman" w:hAnsi="Times New Roman" w:cs="Times New Roman"/>
          <w:highlight w:val="none"/>
          <w:lang w:val="en-US" w:eastAsia="zh-CN"/>
        </w:rPr>
        <w:t>1137</w:t>
      </w:r>
      <w:r>
        <w:rPr>
          <w:rFonts w:hint="default" w:ascii="Times New Roman" w:hAnsi="Times New Roman" w:cs="Times New Roman"/>
          <w:highlight w:val="none"/>
        </w:rPr>
        <w:t>号--城乡义务教育经费保障机制省级资金</w:t>
      </w:r>
      <w:r>
        <w:rPr>
          <w:rFonts w:hint="default" w:ascii="Times New Roman" w:hAnsi="Times New Roman" w:cs="Times New Roman"/>
          <w:bCs/>
          <w:kern w:val="44"/>
          <w:sz w:val="32"/>
          <w:szCs w:val="32"/>
          <w:highlight w:val="none"/>
          <w:lang w:val="en-US" w:eastAsia="zh-CN" w:bidi="ar-SA"/>
        </w:rPr>
        <w:t>9.2</w:t>
      </w:r>
      <w:r>
        <w:rPr>
          <w:rFonts w:hint="default" w:ascii="Times New Roman" w:hAnsi="Times New Roman" w:eastAsia="仿宋_GB2312" w:cs="Times New Roman"/>
          <w:bCs/>
          <w:kern w:val="44"/>
          <w:sz w:val="32"/>
          <w:szCs w:val="32"/>
          <w:highlight w:val="none"/>
          <w:lang w:val="en-US" w:eastAsia="zh-CN" w:bidi="ar-SA"/>
        </w:rPr>
        <w:t>万</w:t>
      </w:r>
      <w:r>
        <w:rPr>
          <w:rFonts w:hint="default" w:ascii="Times New Roman" w:hAnsi="Times New Roman" w:cs="Times New Roman"/>
          <w:highlight w:val="none"/>
        </w:rPr>
        <w:t>元</w:t>
      </w:r>
      <w:r>
        <w:rPr>
          <w:rFonts w:hint="default" w:ascii="Times New Roman" w:hAnsi="Times New Roman" w:cs="Times New Roman"/>
          <w:highlight w:val="none"/>
          <w:lang w:val="en-US" w:eastAsia="zh-CN"/>
        </w:rPr>
        <w:t>，主要用于学校食堂改造购买相关厨具设备。</w:t>
      </w:r>
    </w:p>
    <w:p w14:paraId="794E86B7">
      <w:pPr>
        <w:pStyle w:val="7"/>
        <w:ind w:left="0" w:leftChars="0" w:firstLine="640" w:firstLineChars="200"/>
        <w:rPr>
          <w:rFonts w:hint="default"/>
          <w:highlight w:val="none"/>
        </w:rPr>
      </w:pPr>
      <w:r>
        <w:rPr>
          <w:rFonts w:hint="default" w:ascii="Times New Roman" w:hAnsi="Times New Roman" w:eastAsia="仿宋_GB2312" w:cs="Times New Roman"/>
          <w:bCs/>
          <w:kern w:val="44"/>
          <w:sz w:val="32"/>
          <w:szCs w:val="32"/>
          <w:highlight w:val="none"/>
          <w:lang w:val="en-US" w:eastAsia="zh-CN"/>
        </w:rPr>
        <w:t>2</w:t>
      </w:r>
      <w:r>
        <w:rPr>
          <w:rFonts w:hint="default" w:ascii="Times New Roman" w:hAnsi="Times New Roman" w:eastAsia="仿宋_GB2312" w:cs="Times New Roman"/>
          <w:bCs/>
          <w:kern w:val="44"/>
          <w:sz w:val="32"/>
          <w:szCs w:val="32"/>
          <w:highlight w:val="none"/>
        </w:rPr>
        <w:t>.</w:t>
      </w:r>
      <w:r>
        <w:rPr>
          <w:rFonts w:hint="default" w:ascii="Times New Roman" w:hAnsi="Times New Roman" w:cs="Times New Roman"/>
          <w:highlight w:val="none"/>
        </w:rPr>
        <w:t>上级专款</w:t>
      </w:r>
      <w:r>
        <w:rPr>
          <w:rFonts w:hint="default" w:ascii="Times New Roman" w:hAnsi="Times New Roman" w:eastAsia="仿宋" w:cs="Times New Roman"/>
          <w:snapToGrid w:val="0"/>
          <w:color w:val="000000"/>
          <w:kern w:val="0"/>
          <w:sz w:val="32"/>
          <w:szCs w:val="32"/>
          <w:highlight w:val="none"/>
          <w:lang w:val="en-US" w:eastAsia="en-US" w:bidi="ar-SA"/>
        </w:rPr>
        <w:t>——</w:t>
      </w:r>
      <w:r>
        <w:rPr>
          <w:rFonts w:hint="default" w:ascii="Times New Roman" w:hAnsi="Times New Roman" w:cs="Times New Roman"/>
          <w:highlight w:val="none"/>
        </w:rPr>
        <w:t>武财教〔202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566</w:t>
      </w:r>
      <w:r>
        <w:rPr>
          <w:rFonts w:hint="default" w:ascii="Times New Roman" w:hAnsi="Times New Roman" w:cs="Times New Roman"/>
          <w:highlight w:val="none"/>
        </w:rPr>
        <w:t>号</w:t>
      </w:r>
      <w:r>
        <w:rPr>
          <w:rFonts w:hint="default" w:ascii="Times New Roman" w:hAnsi="Times New Roman" w:cs="Times New Roman"/>
          <w:highlight w:val="none"/>
          <w:lang w:eastAsia="zh-CN"/>
        </w:rPr>
        <w:t>、</w:t>
      </w:r>
      <w:r>
        <w:rPr>
          <w:rFonts w:hint="default" w:ascii="Times New Roman" w:hAnsi="Times New Roman" w:cs="Times New Roman"/>
          <w:highlight w:val="none"/>
        </w:rPr>
        <w:t>〔2023〕</w:t>
      </w:r>
      <w:r>
        <w:rPr>
          <w:rFonts w:hint="default" w:ascii="Times New Roman" w:hAnsi="Times New Roman" w:cs="Times New Roman"/>
          <w:highlight w:val="none"/>
          <w:lang w:val="en-US" w:eastAsia="zh-CN"/>
        </w:rPr>
        <w:t>1137</w:t>
      </w:r>
      <w:r>
        <w:rPr>
          <w:rFonts w:hint="default" w:ascii="Times New Roman" w:hAnsi="Times New Roman" w:cs="Times New Roman"/>
          <w:highlight w:val="none"/>
        </w:rPr>
        <w:t>号</w:t>
      </w:r>
      <w:r>
        <w:rPr>
          <w:rFonts w:hint="default" w:ascii="Times New Roman" w:hAnsi="Times New Roman" w:eastAsia="仿宋_GB2312" w:cs="Times New Roman"/>
          <w:snapToGrid w:val="0"/>
          <w:color w:val="000000"/>
          <w:kern w:val="0"/>
          <w:sz w:val="32"/>
          <w:szCs w:val="21"/>
          <w:highlight w:val="none"/>
          <w:lang w:val="en-US" w:eastAsia="en-US" w:bidi="ar-SA"/>
        </w:rPr>
        <w:t>--</w:t>
      </w:r>
      <w:r>
        <w:rPr>
          <w:rFonts w:hint="default" w:ascii="Times New Roman" w:hAnsi="Times New Roman" w:cs="Times New Roman"/>
          <w:highlight w:val="none"/>
        </w:rPr>
        <w:t>城乡义务教育补助经费</w:t>
      </w:r>
      <w:r>
        <w:rPr>
          <w:rFonts w:hint="default" w:ascii="Times New Roman" w:hAnsi="Times New Roman" w:cs="Times New Roman"/>
          <w:bCs/>
          <w:kern w:val="44"/>
          <w:sz w:val="32"/>
          <w:szCs w:val="32"/>
          <w:highlight w:val="none"/>
          <w:lang w:val="en-US" w:eastAsia="zh-CN" w:bidi="ar-SA"/>
        </w:rPr>
        <w:t>66.16</w:t>
      </w:r>
      <w:r>
        <w:rPr>
          <w:rFonts w:hint="default" w:ascii="Times New Roman" w:hAnsi="Times New Roman" w:eastAsia="仿宋_GB2312" w:cs="Times New Roman"/>
          <w:bCs/>
          <w:kern w:val="44"/>
          <w:sz w:val="32"/>
          <w:szCs w:val="32"/>
          <w:highlight w:val="none"/>
          <w:lang w:val="en-US" w:eastAsia="zh-CN" w:bidi="ar-SA"/>
        </w:rPr>
        <w:t>万</w:t>
      </w:r>
      <w:r>
        <w:rPr>
          <w:rFonts w:hint="default" w:ascii="Times New Roman" w:hAnsi="Times New Roman" w:cs="Times New Roman"/>
          <w:highlight w:val="none"/>
        </w:rPr>
        <w:t>元，</w:t>
      </w:r>
      <w:r>
        <w:rPr>
          <w:rFonts w:hint="default" w:ascii="Times New Roman" w:hAnsi="Times New Roman" w:cs="Times New Roman"/>
          <w:highlight w:val="none"/>
          <w:lang w:val="en-US" w:eastAsia="zh-CN"/>
        </w:rPr>
        <w:t>主要用于</w:t>
      </w:r>
      <w:r>
        <w:rPr>
          <w:rFonts w:hint="default" w:ascii="Times New Roman" w:hAnsi="Times New Roman" w:cs="Times New Roman"/>
          <w:highlight w:val="none"/>
        </w:rPr>
        <w:t>补充</w:t>
      </w:r>
      <w:r>
        <w:rPr>
          <w:rFonts w:hint="default" w:ascii="Times New Roman" w:hAnsi="Times New Roman" w:cs="Times New Roman"/>
          <w:highlight w:val="none"/>
          <w:lang w:val="en-US" w:eastAsia="zh-CN"/>
        </w:rPr>
        <w:t>公用经费的水电费、办公费、培训费、</w:t>
      </w:r>
      <w:r>
        <w:rPr>
          <w:rFonts w:hint="default" w:ascii="Times New Roman" w:hAnsi="Times New Roman" w:cs="Times New Roman"/>
          <w:highlight w:val="none"/>
        </w:rPr>
        <w:t>维修（护）费</w:t>
      </w:r>
      <w:r>
        <w:rPr>
          <w:rFonts w:hint="default" w:ascii="Times New Roman" w:hAnsi="Times New Roman" w:cs="Times New Roman"/>
          <w:highlight w:val="none"/>
          <w:lang w:eastAsia="zh-CN"/>
        </w:rPr>
        <w:t>、专用材料费、</w:t>
      </w:r>
      <w:r>
        <w:rPr>
          <w:rFonts w:hint="default" w:ascii="Times New Roman" w:hAnsi="Times New Roman" w:cs="Times New Roman"/>
          <w:highlight w:val="none"/>
          <w:lang w:val="en-US" w:eastAsia="zh-CN"/>
        </w:rPr>
        <w:t>物业管理费等公用经费。</w:t>
      </w:r>
    </w:p>
    <w:p w14:paraId="60924C7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一般公共预算财政拨款支出决算具体情况，按支出功能分类类级科目逐类分析：</w:t>
      </w:r>
    </w:p>
    <w:p w14:paraId="231573C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1.教育支出（类）</w:t>
      </w:r>
      <w:r>
        <w:rPr>
          <w:rFonts w:hint="eastAsia"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rPr>
        <w:t>年初预算为</w:t>
      </w:r>
      <w:r>
        <w:rPr>
          <w:rFonts w:hint="eastAsia" w:ascii="Times New Roman" w:hAnsi="Times New Roman" w:eastAsia="仿宋_GB2312" w:cs="Times New Roman"/>
          <w:bCs/>
          <w:kern w:val="44"/>
          <w:sz w:val="32"/>
          <w:szCs w:val="32"/>
          <w:highlight w:val="none"/>
          <w:lang w:val="en-US" w:eastAsia="zh-CN"/>
        </w:rPr>
        <w:t>1096.88</w:t>
      </w:r>
      <w:r>
        <w:rPr>
          <w:rFonts w:hint="default" w:ascii="Times New Roman" w:hAnsi="Times New Roman" w:eastAsia="仿宋_GB2312" w:cs="Times New Roman"/>
          <w:bCs/>
          <w:kern w:val="44"/>
          <w:sz w:val="32"/>
          <w:szCs w:val="32"/>
          <w:highlight w:val="none"/>
        </w:rPr>
        <w:t>万元，支出决算为     1289.33万元，完成年初预算的11</w:t>
      </w:r>
      <w:r>
        <w:rPr>
          <w:rFonts w:hint="eastAsia" w:ascii="Times New Roman" w:hAnsi="Times New Roman" w:eastAsia="仿宋_GB2312" w:cs="Times New Roman"/>
          <w:bCs/>
          <w:kern w:val="44"/>
          <w:sz w:val="32"/>
          <w:szCs w:val="32"/>
          <w:highlight w:val="none"/>
          <w:lang w:val="en-US" w:eastAsia="zh-CN"/>
        </w:rPr>
        <w:t>7</w:t>
      </w:r>
      <w:r>
        <w:rPr>
          <w:rFonts w:hint="default" w:ascii="Times New Roman" w:hAnsi="Times New Roman" w:eastAsia="仿宋_GB2312" w:cs="Times New Roman"/>
          <w:bCs/>
          <w:kern w:val="44"/>
          <w:sz w:val="32"/>
          <w:szCs w:val="32"/>
          <w:highlight w:val="none"/>
        </w:rPr>
        <w:t>.</w:t>
      </w:r>
      <w:r>
        <w:rPr>
          <w:rFonts w:hint="eastAsia" w:ascii="Times New Roman" w:hAnsi="Times New Roman" w:eastAsia="仿宋_GB2312" w:cs="Times New Roman"/>
          <w:bCs/>
          <w:kern w:val="44"/>
          <w:sz w:val="32"/>
          <w:szCs w:val="32"/>
          <w:highlight w:val="none"/>
          <w:lang w:val="en-US" w:eastAsia="zh-CN"/>
        </w:rPr>
        <w:t>5</w:t>
      </w:r>
      <w:r>
        <w:rPr>
          <w:rFonts w:hint="default" w:ascii="Times New Roman" w:hAnsi="Times New Roman" w:eastAsia="仿宋_GB2312" w:cs="Times New Roman"/>
          <w:bCs/>
          <w:kern w:val="44"/>
          <w:sz w:val="32"/>
          <w:szCs w:val="32"/>
          <w:highlight w:val="none"/>
        </w:rPr>
        <w:t>%，支出决算数</w:t>
      </w:r>
      <w:r>
        <w:rPr>
          <w:rFonts w:hint="eastAsia" w:ascii="Times New Roman" w:hAnsi="Times New Roman" w:eastAsia="仿宋_GB2312" w:cs="Times New Roman"/>
          <w:bCs/>
          <w:kern w:val="44"/>
          <w:sz w:val="32"/>
          <w:szCs w:val="32"/>
          <w:highlight w:val="none"/>
          <w:lang w:val="en-US" w:eastAsia="zh-CN"/>
        </w:rPr>
        <w:t>大于</w:t>
      </w:r>
      <w:r>
        <w:rPr>
          <w:rFonts w:hint="default" w:ascii="Times New Roman" w:hAnsi="Times New Roman" w:eastAsia="仿宋_GB2312" w:cs="Times New Roman"/>
          <w:bCs/>
          <w:kern w:val="44"/>
          <w:sz w:val="32"/>
          <w:szCs w:val="32"/>
          <w:highlight w:val="none"/>
        </w:rPr>
        <w:t>年初预算数的主要原因是</w:t>
      </w:r>
      <w:r>
        <w:rPr>
          <w:rFonts w:hint="eastAsia" w:ascii="Times New Roman" w:hAnsi="Times New Roman" w:eastAsia="仿宋_GB2312" w:cs="Times New Roman"/>
          <w:bCs/>
          <w:kern w:val="44"/>
          <w:sz w:val="32"/>
          <w:szCs w:val="32"/>
          <w:highlight w:val="none"/>
          <w:lang w:val="en-US" w:eastAsia="zh-CN"/>
        </w:rPr>
        <w:t>秋季学期学生人数增长数超出预计</w:t>
      </w:r>
      <w:r>
        <w:rPr>
          <w:rFonts w:hint="default" w:ascii="Times New Roman" w:hAnsi="Times New Roman" w:eastAsia="仿宋_GB2312" w:cs="Times New Roman"/>
          <w:bCs/>
          <w:kern w:val="44"/>
          <w:sz w:val="32"/>
          <w:szCs w:val="32"/>
          <w:highlight w:val="none"/>
        </w:rPr>
        <w:t>。</w:t>
      </w:r>
    </w:p>
    <w:p w14:paraId="316204E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highlight w:val="none"/>
        </w:rPr>
      </w:pPr>
      <w:r>
        <w:rPr>
          <w:rFonts w:hint="default" w:ascii="Times New Roman" w:hAnsi="Times New Roman" w:eastAsia="仿宋_GB2312" w:cs="Times New Roman"/>
          <w:bCs/>
          <w:kern w:val="44"/>
          <w:sz w:val="32"/>
          <w:szCs w:val="32"/>
          <w:highlight w:val="none"/>
        </w:rPr>
        <w:t>2.社会保障和就业支出（类）</w:t>
      </w:r>
      <w:r>
        <w:rPr>
          <w:rFonts w:hint="eastAsia"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rPr>
        <w:t>年初预算为82.03万元，支出决算为82.03万元，完成年初预算的100.0%。</w:t>
      </w:r>
    </w:p>
    <w:p w14:paraId="315E6D8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2597D2F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年度一般公共预算财政拨款基本支出1296万元，其中：</w:t>
      </w:r>
    </w:p>
    <w:p w14:paraId="00A351F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人员经费1157.38万元，主要包括：基本工资、津贴补贴、绩效工资、机关事业单位基本养老保险缴费、职工基本医疗保险缴费、公务员医疗补助缴费、其他社会保障缴费、住房公积金。</w:t>
      </w:r>
    </w:p>
    <w:p w14:paraId="65B6540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eastAsia" w:ascii="Times New Roman" w:hAnsi="Times New Roman" w:eastAsia="仿宋_GB2312" w:cs="Times New Roman"/>
          <w:lang w:eastAsia="zh-CN"/>
        </w:rPr>
      </w:pPr>
      <w:r>
        <w:rPr>
          <w:rFonts w:hint="default" w:ascii="Times New Roman" w:hAnsi="Times New Roman" w:eastAsia="仿宋_GB2312" w:cs="Times New Roman"/>
          <w:spacing w:val="-7"/>
        </w:rPr>
        <w:t>公用经费138.62万元，主要包括：办公费、印刷费、水费、电费、物业管理费、差旅费、维修(护)费、租赁费、培训费、专用材料费、劳务费、委托业务费、工会经费、福利费、其他交通费用、其他商品和服务支出。</w:t>
      </w:r>
    </w:p>
    <w:p w14:paraId="61BAB843">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40" w:firstLineChars="200"/>
        <w:outlineLvl w:val="1"/>
        <w:rPr>
          <w:rFonts w:hint="default" w:ascii="Times New Roman" w:hAnsi="Times New Roman" w:eastAsia="黑体" w:cs="Times New Roman"/>
          <w:spacing w:val="-1"/>
          <w:sz w:val="32"/>
          <w:szCs w:val="32"/>
        </w:rPr>
      </w:pPr>
      <w:r>
        <w:rPr>
          <w:rFonts w:hint="default" w:ascii="Times New Roman" w:hAnsi="Times New Roman" w:eastAsia="黑体" w:cs="Times New Roman"/>
          <w:sz w:val="32"/>
          <w:szCs w:val="32"/>
        </w:rPr>
        <w:t>政府性基金预算财政拨款收入支出决算情</w:t>
      </w:r>
      <w:r>
        <w:rPr>
          <w:rFonts w:hint="default" w:ascii="Times New Roman" w:hAnsi="Times New Roman" w:eastAsia="黑体" w:cs="Times New Roman"/>
          <w:spacing w:val="-1"/>
          <w:sz w:val="32"/>
          <w:szCs w:val="32"/>
        </w:rPr>
        <w:t>况说明</w:t>
      </w:r>
    </w:p>
    <w:p w14:paraId="6C6DED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right="0" w:rightChars="0" w:firstLine="306" w:firstLineChars="100"/>
        <w:rPr>
          <w:rFonts w:hint="eastAsia" w:ascii="Times New Roman" w:hAnsi="Times New Roman" w:eastAsia="仿宋_GB2312" w:cs="Times New Roman"/>
          <w:snapToGrid w:val="0"/>
          <w:color w:val="000000"/>
          <w:spacing w:val="-7"/>
          <w:kern w:val="0"/>
          <w:sz w:val="32"/>
          <w:szCs w:val="32"/>
          <w:lang w:val="en-US" w:eastAsia="zh-CN" w:bidi="ar-SA"/>
        </w:rPr>
      </w:pPr>
      <w:r>
        <w:rPr>
          <w:rFonts w:hint="default" w:ascii="Times New Roman" w:hAnsi="Times New Roman" w:eastAsia="仿宋_GB2312" w:cs="Times New Roman"/>
          <w:snapToGrid w:val="0"/>
          <w:color w:val="000000"/>
          <w:spacing w:val="-7"/>
          <w:kern w:val="0"/>
          <w:sz w:val="32"/>
          <w:szCs w:val="32"/>
          <w:lang w:val="en-US" w:eastAsia="en-US" w:bidi="ar-SA"/>
        </w:rPr>
        <w:t>本部门当年无政府性基金预算财政拨款收入支出</w:t>
      </w:r>
      <w:r>
        <w:rPr>
          <w:rFonts w:hint="eastAsia" w:ascii="Times New Roman" w:hAnsi="Times New Roman" w:eastAsia="仿宋_GB2312" w:cs="Times New Roman"/>
          <w:snapToGrid w:val="0"/>
          <w:color w:val="000000"/>
          <w:spacing w:val="-7"/>
          <w:kern w:val="0"/>
          <w:sz w:val="32"/>
          <w:szCs w:val="32"/>
          <w:lang w:val="en-US" w:eastAsia="zh-CN" w:bidi="ar-SA"/>
        </w:rPr>
        <w:t>。</w:t>
      </w:r>
    </w:p>
    <w:p w14:paraId="2D6A053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7C6260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本部门当年无国有资本经营预算财政拨款支出。</w:t>
      </w:r>
    </w:p>
    <w:p w14:paraId="66860D1B">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outlineLvl w:val="1"/>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111624A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202</w:t>
      </w:r>
      <w:r>
        <w:rPr>
          <w:rFonts w:hint="eastAsia" w:ascii="Times New Roman" w:hAnsi="Times New Roman" w:eastAsia="仿宋_GB2312" w:cs="Times New Roman"/>
          <w:spacing w:val="-12"/>
          <w:lang w:val="en-US" w:eastAsia="zh-CN"/>
        </w:rPr>
        <w:t>4</w:t>
      </w:r>
      <w:r>
        <w:rPr>
          <w:rFonts w:hint="default" w:ascii="Times New Roman" w:hAnsi="Times New Roman" w:eastAsia="仿宋_GB2312" w:cs="Times New Roman"/>
          <w:spacing w:val="-12"/>
        </w:rPr>
        <w:t xml:space="preserve"> 年度“ 三公”经费财政拨款支出全年预算为0万元，支出决算为0万元，完成全年预算的0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%。202</w:t>
      </w:r>
      <w:r>
        <w:rPr>
          <w:rFonts w:hint="eastAsia" w:ascii="Times New Roman" w:hAnsi="Times New Roman" w:eastAsia="仿宋_GB2312" w:cs="Times New Roman"/>
          <w:spacing w:val="-12"/>
          <w:lang w:val="en-US" w:eastAsia="zh-CN"/>
        </w:rPr>
        <w:t>4</w:t>
      </w:r>
      <w:r>
        <w:rPr>
          <w:rFonts w:hint="default" w:ascii="Times New Roman" w:hAnsi="Times New Roman" w:eastAsia="仿宋_GB2312" w:cs="Times New Roman"/>
          <w:spacing w:val="-12"/>
        </w:rPr>
        <w:t>年度武汉市光谷第二十七小学因公出国(境)费0万元，公务接待费0万元，公务用车购置费0万元,公务用车运行费0万元，无增减情况。</w:t>
      </w:r>
    </w:p>
    <w:p w14:paraId="3925E4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（二）“三公”经费财政拨款支出决算具体情况说明。</w:t>
      </w:r>
    </w:p>
    <w:p w14:paraId="181335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1.因公出国 （境）费预算为0万元，支出决算为0万元，完成全年预算的0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w:t>
      </w:r>
    </w:p>
    <w:p w14:paraId="3EF720D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202</w:t>
      </w:r>
      <w:r>
        <w:rPr>
          <w:rFonts w:hint="eastAsia" w:ascii="Times New Roman" w:hAnsi="Times New Roman" w:eastAsia="仿宋_GB2312" w:cs="Times New Roman"/>
          <w:spacing w:val="-12"/>
          <w:lang w:val="en-US" w:eastAsia="zh-CN"/>
        </w:rPr>
        <w:t>4</w:t>
      </w:r>
      <w:r>
        <w:rPr>
          <w:rFonts w:hint="default" w:ascii="Times New Roman" w:hAnsi="Times New Roman" w:eastAsia="仿宋_GB2312" w:cs="Times New Roman"/>
          <w:spacing w:val="-12"/>
        </w:rPr>
        <w:t>年度武汉市光谷第二十七小学因公出国(境)团组0个，0人次，实际发生支出0万元。其中：住宿费0万元、旅费0万元、伙食补助费0万元、培训费0万元、杂费0万元。</w:t>
      </w:r>
    </w:p>
    <w:p w14:paraId="514164B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2.公务用车购置及运行费支出决算为0万元，完成全年预算的0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%；其中：</w:t>
      </w:r>
    </w:p>
    <w:p w14:paraId="1087BE7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（1）公务用车购置费0万元，完成全年预算的0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%，比全年预算增加（减少）0 万元。本年度购置（更新）公务用车0辆。</w:t>
      </w:r>
    </w:p>
    <w:p w14:paraId="6FBE79F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（2）公务用车运行费0万元，完成全年预算的0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%，比全年预算增加（减少）0 万元。截至 202</w:t>
      </w:r>
      <w:r>
        <w:rPr>
          <w:rFonts w:hint="eastAsia" w:ascii="Times New Roman" w:hAnsi="Times New Roman" w:eastAsia="仿宋_GB2312" w:cs="Times New Roman"/>
          <w:spacing w:val="-12"/>
          <w:lang w:val="en-US" w:eastAsia="zh-CN"/>
        </w:rPr>
        <w:t>4</w:t>
      </w:r>
      <w:r>
        <w:rPr>
          <w:rFonts w:hint="default" w:ascii="Times New Roman" w:hAnsi="Times New Roman" w:eastAsia="仿宋_GB2312" w:cs="Times New Roman"/>
          <w:spacing w:val="-12"/>
        </w:rPr>
        <w:t>年 12 月 31 日，开支财政拨款的公务用车保有量0辆。</w:t>
      </w:r>
    </w:p>
    <w:p w14:paraId="014C344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spacing w:val="-12"/>
        </w:rPr>
      </w:pPr>
      <w:r>
        <w:rPr>
          <w:rFonts w:hint="default" w:ascii="Times New Roman" w:hAnsi="Times New Roman" w:eastAsia="仿宋_GB2312" w:cs="Times New Roman"/>
          <w:spacing w:val="-12"/>
        </w:rPr>
        <w:t>3.公务接待费预算为0万元，支出决算为0万元，完成全年预算的0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w:t>
      </w:r>
    </w:p>
    <w:p w14:paraId="137455A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9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2"/>
        </w:rPr>
        <w:t>202</w:t>
      </w:r>
      <w:r>
        <w:rPr>
          <w:rFonts w:hint="eastAsia" w:ascii="Times New Roman" w:hAnsi="Times New Roman" w:eastAsia="仿宋_GB2312" w:cs="Times New Roman"/>
          <w:spacing w:val="-12"/>
          <w:lang w:val="en-US" w:eastAsia="zh-CN"/>
        </w:rPr>
        <w:t>4</w:t>
      </w:r>
      <w:r>
        <w:rPr>
          <w:rFonts w:hint="default" w:ascii="Times New Roman" w:hAnsi="Times New Roman" w:eastAsia="仿宋_GB2312" w:cs="Times New Roman"/>
          <w:spacing w:val="-12"/>
        </w:rPr>
        <w:t>年度武汉市光谷第二十七小学执行公务和开展业务活动开支公务接待费0万元。</w:t>
      </w:r>
    </w:p>
    <w:p w14:paraId="496FF87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3F2F9A3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年度武汉市光谷第二十七小学机关运行经费支出0万元，比202</w:t>
      </w:r>
      <w:r>
        <w:rPr>
          <w:rFonts w:hint="eastAsia" w:ascii="Times New Roman" w:hAnsi="Times New Roman" w:eastAsia="仿宋_GB2312" w:cs="Times New Roman"/>
          <w:spacing w:val="-3"/>
          <w:lang w:val="en-US" w:eastAsia="zh-CN"/>
        </w:rPr>
        <w:t>3</w:t>
      </w:r>
      <w:r>
        <w:rPr>
          <w:rFonts w:hint="default" w:ascii="Times New Roman" w:hAnsi="Times New Roman" w:eastAsia="仿宋_GB2312" w:cs="Times New Roman"/>
          <w:spacing w:val="-3"/>
        </w:rPr>
        <w:t>年度增加0万元，增长</w:t>
      </w:r>
      <w:r>
        <w:rPr>
          <w:rFonts w:hint="default" w:ascii="Times New Roman" w:hAnsi="Times New Roman" w:eastAsia="仿宋_GB2312" w:cs="Times New Roman"/>
          <w:spacing w:val="-12"/>
        </w:rPr>
        <w:t>0</w:t>
      </w:r>
      <w:r>
        <w:rPr>
          <w:rFonts w:hint="eastAsia" w:ascii="Times New Roman" w:hAnsi="Times New Roman" w:eastAsia="仿宋_GB2312" w:cs="Times New Roman"/>
          <w:spacing w:val="-12"/>
          <w:lang w:val="en-US" w:eastAsia="zh-CN"/>
        </w:rPr>
        <w:t>.0</w:t>
      </w:r>
      <w:r>
        <w:rPr>
          <w:rFonts w:hint="default" w:ascii="Times New Roman" w:hAnsi="Times New Roman" w:eastAsia="仿宋_GB2312" w:cs="Times New Roman"/>
          <w:spacing w:val="-12"/>
        </w:rPr>
        <w:t>%</w:t>
      </w:r>
      <w:r>
        <w:rPr>
          <w:rFonts w:hint="default" w:ascii="Times New Roman" w:hAnsi="Times New Roman" w:eastAsia="仿宋_GB2312" w:cs="Times New Roman"/>
          <w:spacing w:val="-3"/>
        </w:rPr>
        <w:t xml:space="preserve">。 </w:t>
      </w:r>
    </w:p>
    <w:p w14:paraId="2BEC3A5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52475B5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w:t>
      </w:r>
      <w:r>
        <w:rPr>
          <w:rFonts w:hint="default" w:ascii="Times New Roman" w:hAnsi="Times New Roman" w:eastAsia="仿宋_GB2312" w:cs="Times New Roman"/>
          <w:spacing w:val="-2"/>
        </w:rPr>
        <w:t>年度武汉市光谷第二十七小学政府采购支出总额33.99万元，其中：政府采购货物支出15.04万元、政府采购工程支出0万元、政府采购服务支出18.95万元。授予中小企业合同金额33.99万元，占政府采购支出总额的100</w:t>
      </w:r>
      <w:r>
        <w:rPr>
          <w:rFonts w:hint="eastAsia" w:ascii="Times New Roman" w:hAnsi="Times New Roman" w:eastAsia="仿宋_GB2312" w:cs="Times New Roman"/>
          <w:spacing w:val="-2"/>
          <w:lang w:val="en-US" w:eastAsia="zh-CN"/>
        </w:rPr>
        <w:t>.0</w:t>
      </w:r>
      <w:r>
        <w:rPr>
          <w:rFonts w:hint="default" w:ascii="Times New Roman" w:hAnsi="Times New Roman" w:eastAsia="仿宋_GB2312" w:cs="Times New Roman"/>
          <w:spacing w:val="-2"/>
        </w:rPr>
        <w:t>%。</w:t>
      </w:r>
    </w:p>
    <w:p w14:paraId="7F6A630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38D01A25">
      <w:pPr>
        <w:widowControl w:val="0"/>
        <w:kinsoku/>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截至 2024 年 12 月 31 日，武汉市光谷第二十七小学共有车辆0辆，其中，副部(省)级及以上领导用车0辆，主要领导干部用车0辆，机要通信用车0辆，应急保障用车0辆、执法执勤用车0辆、特种专业技术用车0辆、离退休干部用车0辆、其他用车0辆。单价100万元(含)以上设备0台(套)。</w:t>
      </w:r>
    </w:p>
    <w:p w14:paraId="047C455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22AD722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5A29E9B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highlight w:val="none"/>
        </w:rPr>
      </w:pPr>
      <w:r>
        <w:rPr>
          <w:rFonts w:hint="default" w:ascii="Times New Roman" w:hAnsi="Times New Roman" w:eastAsia="仿宋_GB2312" w:cs="Times New Roman"/>
          <w:spacing w:val="-6"/>
          <w:highlight w:val="none"/>
        </w:rPr>
        <w:t>根据预算绩效管理要求，我单位组织对 202</w:t>
      </w:r>
      <w:r>
        <w:rPr>
          <w:rFonts w:hint="eastAsia" w:ascii="Times New Roman" w:hAnsi="Times New Roman" w:eastAsia="仿宋_GB2312" w:cs="Times New Roman"/>
          <w:spacing w:val="-6"/>
          <w:highlight w:val="none"/>
          <w:lang w:val="en-US" w:eastAsia="zh-CN"/>
        </w:rPr>
        <w:t>4</w:t>
      </w:r>
      <w:r>
        <w:rPr>
          <w:rFonts w:hint="default" w:ascii="Times New Roman" w:hAnsi="Times New Roman" w:eastAsia="仿宋_GB2312" w:cs="Times New Roman"/>
          <w:spacing w:val="-6"/>
          <w:highlight w:val="none"/>
        </w:rPr>
        <w:t>年度一 般公共预算项目支出全面开展绩效自评，共涉及项目</w:t>
      </w:r>
      <w:r>
        <w:rPr>
          <w:rFonts w:hint="eastAsia" w:ascii="Times New Roman" w:hAnsi="Times New Roman" w:eastAsia="仿宋_GB2312" w:cs="Times New Roman"/>
          <w:spacing w:val="-6"/>
          <w:highlight w:val="none"/>
          <w:lang w:val="en-US" w:eastAsia="zh-CN"/>
        </w:rPr>
        <w:t>2</w:t>
      </w:r>
      <w:r>
        <w:rPr>
          <w:rFonts w:hint="default" w:ascii="Times New Roman" w:hAnsi="Times New Roman" w:eastAsia="仿宋_GB2312" w:cs="Times New Roman"/>
          <w:spacing w:val="-6"/>
          <w:highlight w:val="none"/>
        </w:rPr>
        <w:t xml:space="preserve">个，资金 </w:t>
      </w:r>
      <w:bookmarkStart w:id="0" w:name="_GoBack"/>
      <w:bookmarkEnd w:id="0"/>
      <w:r>
        <w:rPr>
          <w:rFonts w:hint="eastAsia" w:ascii="Times New Roman" w:hAnsi="Times New Roman" w:eastAsia="仿宋_GB2312" w:cs="Times New Roman"/>
          <w:spacing w:val="-6"/>
          <w:highlight w:val="none"/>
          <w:lang w:val="en-US" w:eastAsia="zh-CN"/>
        </w:rPr>
        <w:t>75.36</w:t>
      </w:r>
      <w:r>
        <w:rPr>
          <w:rFonts w:hint="default" w:ascii="Times New Roman" w:hAnsi="Times New Roman" w:eastAsia="仿宋_GB2312" w:cs="Times New Roman"/>
          <w:spacing w:val="-6"/>
          <w:highlight w:val="none"/>
        </w:rPr>
        <w:t>万元，占一般公共预算项目支出总额的100</w:t>
      </w:r>
      <w:r>
        <w:rPr>
          <w:rFonts w:hint="eastAsia" w:ascii="Times New Roman" w:hAnsi="Times New Roman" w:eastAsia="仿宋_GB2312" w:cs="Times New Roman"/>
          <w:spacing w:val="-6"/>
          <w:highlight w:val="none"/>
          <w:lang w:val="en-US" w:eastAsia="zh-CN"/>
        </w:rPr>
        <w:t>.0</w:t>
      </w:r>
      <w:r>
        <w:rPr>
          <w:rFonts w:hint="default" w:ascii="Times New Roman" w:hAnsi="Times New Roman" w:eastAsia="仿宋_GB2312" w:cs="Times New Roman"/>
          <w:spacing w:val="-6"/>
          <w:highlight w:val="none"/>
        </w:rPr>
        <w:t>%。主要成效：较好地满足了日常教育教学工作需要，完善了学校办学条件，提高了学校办学水平及社会满意度。</w:t>
      </w:r>
    </w:p>
    <w:p w14:paraId="250C374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pacing w:val="-5"/>
          <w:sz w:val="32"/>
          <w:szCs w:val="32"/>
          <w:highlight w:val="none"/>
          <w:lang w:eastAsia="zh-CN"/>
        </w:rPr>
        <w:t>（</w:t>
      </w:r>
      <w:r>
        <w:rPr>
          <w:rFonts w:hint="default" w:ascii="Times New Roman" w:hAnsi="Times New Roman" w:eastAsia="楷体_GB2312" w:cs="Times New Roman"/>
          <w:spacing w:val="-5"/>
          <w:sz w:val="32"/>
          <w:szCs w:val="32"/>
          <w:highlight w:val="none"/>
        </w:rPr>
        <w:t>二</w:t>
      </w:r>
      <w:r>
        <w:rPr>
          <w:rFonts w:hint="eastAsia" w:ascii="Times New Roman" w:hAnsi="Times New Roman" w:eastAsia="楷体_GB2312" w:cs="Times New Roman"/>
          <w:spacing w:val="-5"/>
          <w:sz w:val="32"/>
          <w:szCs w:val="32"/>
          <w:highlight w:val="none"/>
          <w:lang w:eastAsia="zh-CN"/>
        </w:rPr>
        <w:t>）</w:t>
      </w:r>
      <w:r>
        <w:rPr>
          <w:rFonts w:hint="default" w:ascii="Times New Roman" w:hAnsi="Times New Roman" w:eastAsia="楷体_GB2312" w:cs="Times New Roman"/>
          <w:spacing w:val="-5"/>
          <w:sz w:val="32"/>
          <w:szCs w:val="32"/>
          <w:highlight w:val="none"/>
        </w:rPr>
        <w:t>部门</w:t>
      </w:r>
      <w:r>
        <w:rPr>
          <w:rFonts w:hint="eastAsia" w:ascii="Times New Roman" w:hAnsi="Times New Roman" w:eastAsia="楷体_GB2312" w:cs="Times New Roman"/>
          <w:spacing w:val="-5"/>
          <w:sz w:val="32"/>
          <w:szCs w:val="32"/>
          <w:highlight w:val="none"/>
          <w:lang w:eastAsia="zh-CN"/>
        </w:rPr>
        <w:t>（</w:t>
      </w:r>
      <w:r>
        <w:rPr>
          <w:rFonts w:hint="default" w:ascii="Times New Roman" w:hAnsi="Times New Roman" w:eastAsia="楷体_GB2312" w:cs="Times New Roman"/>
          <w:spacing w:val="-5"/>
          <w:sz w:val="32"/>
          <w:szCs w:val="32"/>
          <w:highlight w:val="none"/>
        </w:rPr>
        <w:t>单位</w:t>
      </w:r>
      <w:r>
        <w:rPr>
          <w:rFonts w:hint="eastAsia" w:ascii="Times New Roman" w:hAnsi="Times New Roman" w:eastAsia="楷体_GB2312" w:cs="Times New Roman"/>
          <w:spacing w:val="-5"/>
          <w:sz w:val="32"/>
          <w:szCs w:val="32"/>
          <w:highlight w:val="none"/>
          <w:lang w:eastAsia="zh-CN"/>
        </w:rPr>
        <w:t>）</w:t>
      </w:r>
      <w:r>
        <w:rPr>
          <w:rFonts w:hint="default" w:ascii="Times New Roman" w:hAnsi="Times New Roman" w:eastAsia="楷体_GB2312" w:cs="Times New Roman"/>
          <w:spacing w:val="-5"/>
          <w:sz w:val="32"/>
          <w:szCs w:val="32"/>
          <w:highlight w:val="none"/>
        </w:rPr>
        <w:t>整体支出自评结果</w:t>
      </w:r>
    </w:p>
    <w:p w14:paraId="0208493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highlight w:val="none"/>
          <w:lang w:val="en-US" w:eastAsia="zh-CN"/>
        </w:rPr>
      </w:pPr>
      <w:r>
        <w:rPr>
          <w:rFonts w:hint="eastAsia" w:ascii="Times New Roman" w:hAnsi="Times New Roman" w:eastAsia="仿宋_GB2312" w:cs="Times New Roman"/>
          <w:spacing w:val="-7"/>
          <w:highlight w:val="none"/>
          <w:lang w:val="en-US" w:eastAsia="zh-CN"/>
        </w:rPr>
        <w:t>我单位组织对1个部门(单位)开展整体支出绩效自评，资金1467.17万元，从评价情况来看，武汉市光谷第二十七小学2024年度部门支出管理及绩效较好。预算资金全部到位，预算执行率较高，资金使用合规。在产出方面，绩效目标完成率较高。在效益方面，整体工作具有较好的社会效益，服务对象满意度高。</w:t>
      </w:r>
    </w:p>
    <w:p w14:paraId="094473F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51A58E1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outlineLvl w:val="9"/>
        <w:rPr>
          <w:rFonts w:hint="default" w:ascii="Times New Roman" w:hAnsi="Times New Roman" w:eastAsia="仿宋_GB2312" w:cs="Times New Roman"/>
          <w:spacing w:val="-4"/>
          <w:highlight w:val="none"/>
        </w:rPr>
      </w:pPr>
      <w:r>
        <w:rPr>
          <w:rFonts w:hint="default" w:ascii="Times New Roman" w:hAnsi="Times New Roman" w:eastAsia="仿宋_GB2312" w:cs="Times New Roman"/>
          <w:spacing w:val="-4"/>
          <w:highlight w:val="none"/>
        </w:rPr>
        <w:t>我单位在202</w:t>
      </w:r>
      <w:r>
        <w:rPr>
          <w:rFonts w:hint="default" w:ascii="Times New Roman" w:hAnsi="Times New Roman" w:eastAsia="仿宋_GB2312" w:cs="Times New Roman"/>
          <w:spacing w:val="-4"/>
          <w:highlight w:val="none"/>
          <w:lang w:val="en-US" w:eastAsia="zh-CN"/>
        </w:rPr>
        <w:t>4</w:t>
      </w:r>
      <w:r>
        <w:rPr>
          <w:rFonts w:hint="default" w:ascii="Times New Roman" w:hAnsi="Times New Roman" w:eastAsia="仿宋_GB2312" w:cs="Times New Roman"/>
          <w:spacing w:val="-4"/>
          <w:highlight w:val="none"/>
        </w:rPr>
        <w:t>年度部门决算中反映所有项目绩效自评结果(不包括涉密项目)，共涉及</w:t>
      </w:r>
      <w:r>
        <w:rPr>
          <w:rFonts w:hint="default" w:ascii="Times New Roman" w:hAnsi="Times New Roman" w:eastAsia="仿宋_GB2312" w:cs="Times New Roman"/>
          <w:spacing w:val="-4"/>
          <w:highlight w:val="none"/>
          <w:lang w:val="en-US" w:eastAsia="zh-CN"/>
        </w:rPr>
        <w:t>2</w:t>
      </w:r>
      <w:r>
        <w:rPr>
          <w:rFonts w:hint="default" w:ascii="Times New Roman" w:hAnsi="Times New Roman" w:eastAsia="仿宋_GB2312" w:cs="Times New Roman"/>
          <w:spacing w:val="-4"/>
          <w:highlight w:val="none"/>
        </w:rPr>
        <w:t>个一级项目。</w:t>
      </w:r>
    </w:p>
    <w:p w14:paraId="2766030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outlineLvl w:val="9"/>
        <w:rPr>
          <w:rFonts w:hint="default" w:ascii="Times New Roman" w:hAnsi="Times New Roman" w:eastAsia="仿宋_GB2312" w:cs="Times New Roman"/>
          <w:spacing w:val="-4"/>
          <w:highlight w:val="none"/>
        </w:rPr>
      </w:pPr>
      <w:r>
        <w:rPr>
          <w:rFonts w:hint="default" w:ascii="Times New Roman" w:hAnsi="Times New Roman" w:eastAsia="仿宋_GB2312" w:cs="Times New Roman"/>
          <w:spacing w:val="-4"/>
          <w:highlight w:val="none"/>
        </w:rPr>
        <w:t>1.上级专款</w:t>
      </w:r>
      <w:r>
        <w:rPr>
          <w:rFonts w:hint="default" w:ascii="Times New Roman" w:hAnsi="Times New Roman" w:eastAsia="仿宋" w:cs="Times New Roman"/>
          <w:snapToGrid w:val="0"/>
          <w:color w:val="000000"/>
          <w:kern w:val="0"/>
          <w:sz w:val="32"/>
          <w:szCs w:val="32"/>
          <w:highlight w:val="none"/>
          <w:lang w:val="en-US" w:eastAsia="en-US" w:bidi="ar-SA"/>
        </w:rPr>
        <w:t>——</w:t>
      </w:r>
      <w:r>
        <w:rPr>
          <w:rFonts w:hint="default" w:ascii="Times New Roman" w:hAnsi="Times New Roman" w:eastAsia="仿宋_GB2312" w:cs="Times New Roman"/>
          <w:spacing w:val="-4"/>
          <w:highlight w:val="none"/>
        </w:rPr>
        <w:t>武财教〔2023〕1137号--城乡义务教育经费保障机制省级资金9.2万元，主要用于学校食堂改造购买相关厨具设备</w:t>
      </w:r>
      <w:r>
        <w:rPr>
          <w:rFonts w:hint="default" w:ascii="Times New Roman" w:hAnsi="Times New Roman" w:eastAsia="仿宋_GB2312" w:cs="Times New Roman"/>
          <w:spacing w:val="-4"/>
          <w:highlight w:val="none"/>
          <w:lang w:eastAsia="zh-CN"/>
        </w:rPr>
        <w:t>。</w:t>
      </w:r>
      <w:r>
        <w:rPr>
          <w:rFonts w:hint="default" w:ascii="Times New Roman" w:hAnsi="Times New Roman" w:eastAsia="仿宋_GB2312" w:cs="Times New Roman"/>
          <w:spacing w:val="-4"/>
          <w:highlight w:val="none"/>
        </w:rPr>
        <w:t>主要产出和效益是：</w:t>
      </w:r>
      <w:r>
        <w:rPr>
          <w:rFonts w:hint="default" w:ascii="Times New Roman" w:hAnsi="Times New Roman" w:eastAsia="仿宋_GB2312" w:cs="Times New Roman"/>
          <w:spacing w:val="-4"/>
          <w:highlight w:val="none"/>
          <w:lang w:val="en-US" w:eastAsia="zh-CN"/>
        </w:rPr>
        <w:t>优化学校食堂设备配置</w:t>
      </w:r>
      <w:r>
        <w:rPr>
          <w:rFonts w:hint="default" w:ascii="Times New Roman" w:hAnsi="Times New Roman" w:eastAsia="仿宋_GB2312" w:cs="Times New Roman"/>
          <w:spacing w:val="-4"/>
          <w:highlight w:val="none"/>
        </w:rPr>
        <w:t>，</w:t>
      </w:r>
      <w:r>
        <w:rPr>
          <w:rFonts w:hint="default" w:ascii="Times New Roman" w:hAnsi="Times New Roman" w:eastAsia="仿宋_GB2312" w:cs="Times New Roman"/>
          <w:spacing w:val="-4"/>
          <w:highlight w:val="none"/>
          <w:lang w:val="en-US" w:eastAsia="zh-CN"/>
        </w:rPr>
        <w:t>全力保障日常供餐高效有序</w:t>
      </w:r>
      <w:r>
        <w:rPr>
          <w:rFonts w:hint="default" w:ascii="Times New Roman" w:hAnsi="Times New Roman" w:eastAsia="仿宋_GB2312" w:cs="Times New Roman"/>
          <w:spacing w:val="-4"/>
          <w:highlight w:val="none"/>
        </w:rPr>
        <w:t>，提升</w:t>
      </w:r>
      <w:r>
        <w:rPr>
          <w:rFonts w:hint="default" w:ascii="Times New Roman" w:hAnsi="Times New Roman" w:eastAsia="仿宋_GB2312" w:cs="Times New Roman"/>
          <w:spacing w:val="-4"/>
          <w:highlight w:val="none"/>
          <w:lang w:val="en-US" w:eastAsia="zh-CN"/>
        </w:rPr>
        <w:t>师生就餐满意度</w:t>
      </w:r>
      <w:r>
        <w:rPr>
          <w:rFonts w:hint="default" w:ascii="Times New Roman" w:hAnsi="Times New Roman" w:eastAsia="仿宋_GB2312" w:cs="Times New Roman"/>
          <w:spacing w:val="-4"/>
          <w:highlight w:val="none"/>
        </w:rPr>
        <w:t xml:space="preserve">。  </w:t>
      </w:r>
    </w:p>
    <w:p w14:paraId="6640D46E">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right="0" w:firstLine="624" w:firstLineChars="200"/>
        <w:outlineLvl w:val="9"/>
        <w:rPr>
          <w:rFonts w:hint="default" w:ascii="Times New Roman" w:hAnsi="Times New Roman" w:eastAsia="仿宋" w:cs="Times New Roman"/>
          <w:snapToGrid w:val="0"/>
          <w:color w:val="000000"/>
          <w:kern w:val="0"/>
          <w:sz w:val="32"/>
          <w:szCs w:val="32"/>
          <w:highlight w:val="none"/>
          <w:lang w:val="en-US" w:eastAsia="en-US" w:bidi="ar-SA"/>
        </w:rPr>
      </w:pPr>
      <w:r>
        <w:rPr>
          <w:rFonts w:hint="default" w:ascii="Times New Roman" w:hAnsi="Times New Roman" w:eastAsia="仿宋_GB2312" w:cs="Times New Roman"/>
          <w:spacing w:val="-4"/>
          <w:highlight w:val="none"/>
        </w:rPr>
        <w:t>上级专款</w:t>
      </w:r>
      <w:r>
        <w:rPr>
          <w:rFonts w:hint="default" w:ascii="Times New Roman" w:hAnsi="Times New Roman" w:eastAsia="仿宋" w:cs="Times New Roman"/>
          <w:snapToGrid w:val="0"/>
          <w:color w:val="000000"/>
          <w:kern w:val="0"/>
          <w:sz w:val="32"/>
          <w:szCs w:val="32"/>
          <w:highlight w:val="none"/>
          <w:lang w:val="en-US" w:eastAsia="en-US" w:bidi="ar-SA"/>
        </w:rPr>
        <w:t>——</w:t>
      </w:r>
      <w:r>
        <w:rPr>
          <w:rFonts w:hint="default" w:ascii="Times New Roman" w:hAnsi="Times New Roman" w:cs="Times New Roman"/>
          <w:highlight w:val="none"/>
        </w:rPr>
        <w:t>武财教〔202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566</w:t>
      </w:r>
      <w:r>
        <w:rPr>
          <w:rFonts w:hint="default" w:ascii="Times New Roman" w:hAnsi="Times New Roman" w:cs="Times New Roman"/>
          <w:highlight w:val="none"/>
        </w:rPr>
        <w:t>号</w:t>
      </w:r>
      <w:r>
        <w:rPr>
          <w:rFonts w:hint="default" w:ascii="Times New Roman" w:hAnsi="Times New Roman" w:cs="Times New Roman"/>
          <w:highlight w:val="none"/>
          <w:lang w:eastAsia="zh-CN"/>
        </w:rPr>
        <w:t>、</w:t>
      </w:r>
      <w:r>
        <w:rPr>
          <w:rFonts w:hint="default" w:ascii="Times New Roman" w:hAnsi="Times New Roman" w:cs="Times New Roman"/>
          <w:highlight w:val="none"/>
        </w:rPr>
        <w:t>〔2023〕</w:t>
      </w:r>
      <w:r>
        <w:rPr>
          <w:rFonts w:hint="default" w:ascii="Times New Roman" w:hAnsi="Times New Roman" w:cs="Times New Roman"/>
          <w:highlight w:val="none"/>
          <w:lang w:val="en-US" w:eastAsia="zh-CN"/>
        </w:rPr>
        <w:t>1137</w:t>
      </w:r>
      <w:r>
        <w:rPr>
          <w:rFonts w:hint="default" w:ascii="Times New Roman" w:hAnsi="Times New Roman" w:cs="Times New Roman"/>
          <w:highlight w:val="none"/>
        </w:rPr>
        <w:t>号</w:t>
      </w:r>
      <w:r>
        <w:rPr>
          <w:rFonts w:hint="default" w:ascii="Times New Roman" w:hAnsi="Times New Roman" w:eastAsia="仿宋" w:cs="Times New Roman"/>
          <w:snapToGrid w:val="0"/>
          <w:color w:val="000000"/>
          <w:kern w:val="0"/>
          <w:sz w:val="32"/>
          <w:szCs w:val="32"/>
          <w:highlight w:val="none"/>
          <w:lang w:val="en-US" w:eastAsia="en-US" w:bidi="ar-SA"/>
        </w:rPr>
        <w:t>--城乡义务教育补助经费66.16万元，主要用于补充公用经费的水电费、办公费、培训费、维修（护）费、专用材料费、物业管理费等公用经费。</w:t>
      </w:r>
      <w:r>
        <w:rPr>
          <w:rFonts w:hint="default" w:ascii="Times New Roman" w:hAnsi="Times New Roman" w:eastAsia="仿宋_GB2312" w:cs="Times New Roman"/>
          <w:spacing w:val="-4"/>
          <w:highlight w:val="none"/>
        </w:rPr>
        <w:t>主要产出和效益是：更好的补充了学校日常公用经费，保障学校基本运转。</w:t>
      </w:r>
    </w:p>
    <w:p w14:paraId="32DB5B2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四</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绩效自评结果应</w:t>
      </w:r>
      <w:r>
        <w:rPr>
          <w:rFonts w:hint="default" w:ascii="Times New Roman" w:hAnsi="Times New Roman" w:eastAsia="楷体_GB2312" w:cs="Times New Roman"/>
          <w:sz w:val="32"/>
          <w:szCs w:val="32"/>
        </w:rPr>
        <w:t>用情况</w:t>
      </w:r>
    </w:p>
    <w:p w14:paraId="0B5E92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自评结果将应用到我校各类项目绩效管理工作中，汲取经验进一步做好我校绩效管理工作，在年初预算前加强项目规划、绩效目标管理，完善项目分配和管理办法、加强项目管理、结果与预算安排相结合。</w:t>
      </w:r>
    </w:p>
    <w:p w14:paraId="5EB5A6EA">
      <w:pPr>
        <w:ind w:firstLine="872" w:firstLineChars="200"/>
        <w:rPr>
          <w:rFonts w:hint="eastAsia" w:ascii="方正小标宋_GBK" w:hAnsi="方正小标宋_GBK" w:eastAsia="方正小标宋_GBK" w:cs="方正小标宋_GBK"/>
          <w:spacing w:val="-2"/>
          <w:sz w:val="44"/>
          <w:szCs w:val="44"/>
        </w:rPr>
      </w:pPr>
    </w:p>
    <w:p w14:paraId="78A5DE6E">
      <w:pPr>
        <w:ind w:firstLine="872" w:firstLineChars="200"/>
        <w:rPr>
          <w:rFonts w:hint="eastAsia" w:ascii="方正小标宋_GBK" w:hAnsi="方正小标宋_GBK" w:eastAsia="方正小标宋_GBK" w:cs="方正小标宋_GBK"/>
          <w:spacing w:val="-2"/>
          <w:sz w:val="44"/>
          <w:szCs w:val="44"/>
        </w:rPr>
      </w:pPr>
    </w:p>
    <w:p w14:paraId="252413E2">
      <w:pPr>
        <w:ind w:firstLine="872" w:firstLineChars="200"/>
        <w:rPr>
          <w:rFonts w:hint="eastAsia" w:ascii="方正小标宋_GBK" w:hAnsi="方正小标宋_GBK" w:eastAsia="方正小标宋_GBK" w:cs="方正小标宋_GBK"/>
          <w:spacing w:val="-2"/>
          <w:sz w:val="44"/>
          <w:szCs w:val="44"/>
        </w:rPr>
      </w:pPr>
    </w:p>
    <w:p w14:paraId="3E746395">
      <w:pPr>
        <w:ind w:firstLine="872" w:firstLineChars="200"/>
        <w:rPr>
          <w:rFonts w:hint="eastAsia" w:ascii="方正小标宋_GBK" w:hAnsi="方正小标宋_GBK" w:eastAsia="方正小标宋_GBK" w:cs="方正小标宋_GBK"/>
          <w:spacing w:val="-2"/>
          <w:sz w:val="44"/>
          <w:szCs w:val="44"/>
        </w:rPr>
      </w:pPr>
    </w:p>
    <w:p w14:paraId="6C90A9E3">
      <w:pPr>
        <w:rPr>
          <w:rFonts w:hint="eastAsia" w:ascii="方正小标宋_GBK" w:hAnsi="方正小标宋_GBK" w:eastAsia="方正小标宋_GBK" w:cs="方正小标宋_GBK"/>
          <w:spacing w:val="-2"/>
          <w:sz w:val="44"/>
          <w:szCs w:val="44"/>
        </w:rPr>
      </w:pPr>
    </w:p>
    <w:p w14:paraId="4A1B872A">
      <w:pPr>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5B36329">
      <w:pPr>
        <w:spacing w:line="249" w:lineRule="auto"/>
        <w:rPr>
          <w:rFonts w:hint="default" w:ascii="Times New Roman" w:hAnsi="Times New Roman" w:cs="Times New Roman"/>
          <w:sz w:val="21"/>
        </w:rPr>
      </w:pPr>
    </w:p>
    <w:p w14:paraId="077FBBCD">
      <w:pPr>
        <w:numPr>
          <w:ilvl w:val="0"/>
          <w:numId w:val="4"/>
        </w:numPr>
        <w:adjustRightInd w:val="0"/>
        <w:snapToGrid w:val="0"/>
        <w:spacing w:line="360" w:lineRule="auto"/>
        <w:ind w:firstLine="640" w:firstLineChars="200"/>
        <w:rPr>
          <w:rFonts w:hint="eastAsia" w:ascii="黑体" w:hAnsi="黑体" w:eastAsia="黑体"/>
          <w:sz w:val="32"/>
          <w:szCs w:val="32"/>
        </w:rPr>
      </w:pPr>
      <w:r>
        <w:rPr>
          <w:rFonts w:hint="eastAsia" w:ascii="黑体" w:hAnsi="黑体" w:eastAsia="黑体"/>
          <w:sz w:val="32"/>
          <w:szCs w:val="32"/>
        </w:rPr>
        <w:t>党建引领，强化组织</w:t>
      </w:r>
    </w:p>
    <w:p w14:paraId="0C63C3BE">
      <w:pPr>
        <w:numPr>
          <w:ilvl w:val="0"/>
          <w:numId w:val="0"/>
        </w:numPr>
        <w:adjustRightInd w:val="0"/>
        <w:snapToGrid w:val="0"/>
        <w:spacing w:line="360" w:lineRule="auto"/>
        <w:ind w:firstLine="640" w:firstLineChars="200"/>
        <w:rPr>
          <w:rFonts w:hint="eastAsia" w:ascii="Times New Roman" w:hAnsi="Times New Roman" w:eastAsia="仿宋_GB2312" w:cs="Times New Roman"/>
          <w:bCs/>
          <w:kern w:val="44"/>
          <w:sz w:val="32"/>
          <w:szCs w:val="32"/>
          <w:lang w:eastAsia="zh-CN"/>
        </w:rPr>
      </w:pPr>
      <w:r>
        <w:rPr>
          <w:rFonts w:hint="eastAsia" w:ascii="Times New Roman" w:hAnsi="Times New Roman" w:eastAsia="仿宋_GB2312" w:cs="Times New Roman"/>
          <w:bCs/>
          <w:kern w:val="44"/>
          <w:sz w:val="32"/>
          <w:szCs w:val="32"/>
          <w:lang w:eastAsia="zh-CN"/>
        </w:rPr>
        <w:t>开展支部主题党日、党小组活动及红色教育，提升党员思想；优化支委会结构，增强组织执行力，引领党员发挥模范作用，以师德铸魂育人。</w:t>
      </w:r>
    </w:p>
    <w:p w14:paraId="137E52F2">
      <w:pPr>
        <w:numPr>
          <w:ilvl w:val="0"/>
          <w:numId w:val="5"/>
        </w:numPr>
        <w:adjustRightInd w:val="0"/>
        <w:snapToGrid w:val="0"/>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rPr>
        <w:t>强师提质，交流赋能</w:t>
      </w:r>
    </w:p>
    <w:p w14:paraId="72C9923C">
      <w:pPr>
        <w:adjustRightInd w:val="0"/>
        <w:snapToGrid w:val="0"/>
        <w:spacing w:line="360" w:lineRule="auto"/>
        <w:ind w:firstLine="640" w:firstLineChars="200"/>
        <w:rPr>
          <w:rFonts w:hint="default" w:ascii="Times New Roman" w:hAnsi="Times New Roman" w:eastAsia="仿宋_GB2312" w:cs="Times New Roman"/>
          <w:bCs/>
          <w:kern w:val="44"/>
          <w:sz w:val="32"/>
          <w:szCs w:val="32"/>
          <w:lang w:val="en-US" w:eastAsia="zh-CN"/>
        </w:rPr>
      </w:pPr>
      <w:r>
        <w:rPr>
          <w:rFonts w:hint="eastAsia" w:ascii="Times New Roman" w:hAnsi="Times New Roman" w:eastAsia="仿宋_GB2312" w:cs="Times New Roman"/>
          <w:bCs/>
          <w:kern w:val="44"/>
          <w:sz w:val="32"/>
          <w:szCs w:val="32"/>
          <w:lang w:val="en-US" w:eastAsia="zh-CN"/>
        </w:rPr>
        <w:t>聚焦教学质量提升核心任务，深度推进教研交流合作；着力强化师资队伍综合建设，全方位助力教师专业成长。积极搭建教育交流优质平台，推动区域内教育资源高效共享与协同发展。</w:t>
      </w:r>
    </w:p>
    <w:p w14:paraId="6DD2D3AC">
      <w:pPr>
        <w:numPr>
          <w:ilvl w:val="0"/>
          <w:numId w:val="5"/>
        </w:numPr>
        <w:adjustRightInd w:val="0"/>
        <w:snapToGrid w:val="0"/>
        <w:spacing w:line="360" w:lineRule="auto"/>
        <w:ind w:left="0" w:leftChars="0" w:firstLine="640" w:firstLineChars="200"/>
        <w:rPr>
          <w:rFonts w:hint="eastAsia" w:ascii="黑体" w:hAnsi="黑体" w:eastAsia="黑体"/>
          <w:sz w:val="32"/>
          <w:szCs w:val="32"/>
        </w:rPr>
      </w:pPr>
      <w:r>
        <w:rPr>
          <w:rFonts w:hint="eastAsia" w:ascii="黑体" w:hAnsi="黑体" w:eastAsia="黑体"/>
          <w:sz w:val="32"/>
          <w:szCs w:val="32"/>
        </w:rPr>
        <w:t>德育筑基，协同共进</w:t>
      </w:r>
    </w:p>
    <w:p w14:paraId="6C06D3E1">
      <w:pPr>
        <w:adjustRightInd w:val="0"/>
        <w:snapToGrid w:val="0"/>
        <w:spacing w:line="360" w:lineRule="auto"/>
        <w:ind w:firstLine="640" w:firstLineChars="200"/>
        <w:rPr>
          <w:rFonts w:hint="eastAsia" w:ascii="Times New Roman" w:hAnsi="Times New Roman" w:eastAsia="仿宋_GB2312" w:cs="Times New Roman"/>
          <w:bCs/>
          <w:kern w:val="44"/>
          <w:sz w:val="32"/>
          <w:szCs w:val="32"/>
          <w:lang w:eastAsia="zh-CN"/>
        </w:rPr>
      </w:pPr>
      <w:r>
        <w:rPr>
          <w:rFonts w:hint="eastAsia" w:ascii="Times New Roman" w:hAnsi="Times New Roman" w:eastAsia="仿宋_GB2312" w:cs="Times New Roman"/>
          <w:bCs/>
          <w:kern w:val="44"/>
          <w:sz w:val="32"/>
          <w:szCs w:val="32"/>
          <w:lang w:eastAsia="zh-CN"/>
        </w:rPr>
        <w:t>构建德育体系，加强队伍建设，通过多元形式活动，培养学生良好品德与行为习惯，强化健康安全教育，促进家校社协同育人。</w:t>
      </w:r>
    </w:p>
    <w:p w14:paraId="2F597B83">
      <w:pPr>
        <w:numPr>
          <w:ilvl w:val="0"/>
          <w:numId w:val="5"/>
        </w:numPr>
        <w:adjustRightInd w:val="0"/>
        <w:snapToGrid w:val="0"/>
        <w:spacing w:line="360" w:lineRule="auto"/>
        <w:ind w:left="0" w:leftChars="0" w:firstLine="640" w:firstLineChars="200"/>
        <w:rPr>
          <w:rFonts w:hint="eastAsia" w:ascii="黑体" w:hAnsi="黑体" w:eastAsia="黑体"/>
          <w:sz w:val="32"/>
          <w:szCs w:val="32"/>
        </w:rPr>
      </w:pPr>
      <w:r>
        <w:rPr>
          <w:rFonts w:hint="eastAsia" w:ascii="黑体" w:hAnsi="黑体" w:eastAsia="黑体"/>
          <w:sz w:val="32"/>
          <w:szCs w:val="32"/>
        </w:rPr>
        <w:t>健体增智，多元育才</w:t>
      </w:r>
    </w:p>
    <w:p w14:paraId="09BDFD1E">
      <w:pPr>
        <w:adjustRightInd w:val="0"/>
        <w:snapToGrid w:val="0"/>
        <w:spacing w:line="360" w:lineRule="auto"/>
        <w:ind w:firstLine="640" w:firstLineChars="200"/>
        <w:rPr>
          <w:rFonts w:hint="eastAsia" w:ascii="Times New Roman" w:hAnsi="Times New Roman" w:eastAsia="仿宋_GB2312" w:cs="Times New Roman"/>
          <w:bCs/>
          <w:kern w:val="44"/>
          <w:sz w:val="32"/>
          <w:szCs w:val="32"/>
          <w:lang w:val="en-US" w:eastAsia="zh-CN"/>
        </w:rPr>
      </w:pPr>
      <w:r>
        <w:rPr>
          <w:rFonts w:hint="eastAsia" w:ascii="Times New Roman" w:hAnsi="Times New Roman" w:eastAsia="仿宋_GB2312" w:cs="Times New Roman"/>
          <w:bCs/>
          <w:kern w:val="44"/>
          <w:sz w:val="32"/>
          <w:szCs w:val="32"/>
          <w:lang w:eastAsia="zh-CN"/>
        </w:rPr>
        <w:t>严控学生近视率，重视体质健康优良率；开展气象科普与环保教育，提升学生科学素养与环保意识；丰富社团活动，满足学生兴趣需求，促进学生多元发展。</w:t>
      </w:r>
    </w:p>
    <w:p w14:paraId="2A590137">
      <w:pPr>
        <w:numPr>
          <w:ilvl w:val="0"/>
          <w:numId w:val="5"/>
        </w:numPr>
        <w:adjustRightInd w:val="0"/>
        <w:snapToGrid w:val="0"/>
        <w:spacing w:line="360" w:lineRule="auto"/>
        <w:ind w:left="0" w:leftChars="0" w:firstLine="640" w:firstLineChars="200"/>
        <w:rPr>
          <w:rFonts w:hint="eastAsia" w:ascii="黑体" w:hAnsi="黑体" w:eastAsia="黑体"/>
          <w:sz w:val="32"/>
          <w:szCs w:val="32"/>
        </w:rPr>
      </w:pPr>
      <w:r>
        <w:rPr>
          <w:rFonts w:hint="eastAsia" w:ascii="黑体" w:hAnsi="黑体" w:eastAsia="黑体"/>
          <w:sz w:val="32"/>
          <w:szCs w:val="32"/>
        </w:rPr>
        <w:t>自营焕新，食安领航</w:t>
      </w:r>
    </w:p>
    <w:p w14:paraId="773E660B">
      <w:pPr>
        <w:adjustRightInd w:val="0"/>
        <w:snapToGrid w:val="0"/>
        <w:spacing w:line="360" w:lineRule="auto"/>
        <w:ind w:firstLine="640" w:firstLineChars="200"/>
        <w:rPr>
          <w:rFonts w:hint="eastAsia" w:ascii="Times New Roman" w:hAnsi="Times New Roman" w:eastAsia="仿宋_GB2312" w:cs="Times New Roman"/>
          <w:bCs/>
          <w:kern w:val="44"/>
          <w:sz w:val="32"/>
          <w:szCs w:val="32"/>
          <w:lang w:val="en-US" w:eastAsia="en-US"/>
        </w:rPr>
      </w:pPr>
      <w:r>
        <w:rPr>
          <w:rFonts w:hint="eastAsia" w:ascii="Times New Roman" w:hAnsi="Times New Roman" w:eastAsia="仿宋_GB2312" w:cs="Times New Roman"/>
          <w:bCs/>
          <w:kern w:val="44"/>
          <w:sz w:val="32"/>
          <w:szCs w:val="32"/>
          <w:lang w:eastAsia="zh-CN"/>
        </w:rPr>
        <w:t>实现食堂自主经营，提升服务质量与师生满意度。严格把控食品安全各个环节，推进数字化食堂转型，增强食品安全工作</w:t>
      </w:r>
    </w:p>
    <w:p w14:paraId="4CBDA21A">
      <w:pPr>
        <w:adjustRightInd w:val="0"/>
        <w:snapToGrid w:val="0"/>
        <w:spacing w:line="360" w:lineRule="auto"/>
        <w:rPr>
          <w:rFonts w:hint="eastAsia" w:ascii="Times New Roman" w:hAnsi="Times New Roman" w:eastAsia="仿宋_GB2312" w:cs="Times New Roman"/>
          <w:bCs/>
          <w:kern w:val="44"/>
          <w:sz w:val="32"/>
          <w:szCs w:val="32"/>
          <w:lang w:eastAsia="zh-CN"/>
        </w:rPr>
      </w:pPr>
      <w:r>
        <w:rPr>
          <w:rFonts w:hint="eastAsia" w:ascii="Times New Roman" w:hAnsi="Times New Roman" w:eastAsia="仿宋_GB2312" w:cs="Times New Roman"/>
          <w:bCs/>
          <w:kern w:val="44"/>
          <w:sz w:val="32"/>
          <w:szCs w:val="32"/>
          <w:lang w:eastAsia="zh-CN"/>
        </w:rPr>
        <w:t>透明度，为师生提供优质健康餐饮。</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095"/>
        <w:gridCol w:w="3444"/>
        <w:gridCol w:w="3501"/>
      </w:tblGrid>
      <w:tr w14:paraId="7F06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562" w:type="pct"/>
            <w:noWrap w:val="0"/>
            <w:vAlign w:val="center"/>
          </w:tcPr>
          <w:p w14:paraId="3E2D3AC8">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szCs w:val="32"/>
              </w:rPr>
              <w:t>序号</w:t>
            </w:r>
          </w:p>
        </w:tc>
        <w:tc>
          <w:tcPr>
            <w:tcW w:w="604" w:type="pct"/>
            <w:noWrap w:val="0"/>
            <w:vAlign w:val="center"/>
          </w:tcPr>
          <w:p w14:paraId="53F73EC3">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rPr>
              <w:t>重要事项</w:t>
            </w:r>
          </w:p>
        </w:tc>
        <w:tc>
          <w:tcPr>
            <w:tcW w:w="1900" w:type="pct"/>
            <w:noWrap w:val="0"/>
            <w:vAlign w:val="center"/>
          </w:tcPr>
          <w:p w14:paraId="7D6B7A1C">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rPr>
              <w:t>工作内容及目标</w:t>
            </w:r>
          </w:p>
        </w:tc>
        <w:tc>
          <w:tcPr>
            <w:tcW w:w="1931" w:type="pct"/>
            <w:noWrap w:val="0"/>
            <w:vAlign w:val="center"/>
          </w:tcPr>
          <w:p w14:paraId="1D087670">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rPr>
              <w:t>完成情况</w:t>
            </w:r>
          </w:p>
        </w:tc>
      </w:tr>
      <w:tr w14:paraId="0B23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562" w:type="pct"/>
            <w:noWrap w:val="0"/>
            <w:vAlign w:val="center"/>
          </w:tcPr>
          <w:p w14:paraId="3468416E">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szCs w:val="32"/>
              </w:rPr>
              <w:t>1</w:t>
            </w:r>
          </w:p>
        </w:tc>
        <w:tc>
          <w:tcPr>
            <w:tcW w:w="604" w:type="pct"/>
            <w:noWrap w:val="0"/>
            <w:vAlign w:val="center"/>
          </w:tcPr>
          <w:p w14:paraId="614128C2">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p>
          <w:p w14:paraId="66B5526C">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党建引领，强化组织</w:t>
            </w:r>
          </w:p>
        </w:tc>
        <w:tc>
          <w:tcPr>
            <w:tcW w:w="1900" w:type="pct"/>
            <w:noWrap w:val="0"/>
            <w:vAlign w:val="center"/>
          </w:tcPr>
          <w:p w14:paraId="555DF84C">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开展支部主题党日、党小组活动及红色教育，提升党员思想；优化支委会结构，增强组织执行力，引领党员发挥模范作用，以师德铸魂育人。</w:t>
            </w:r>
          </w:p>
        </w:tc>
        <w:tc>
          <w:tcPr>
            <w:tcW w:w="1931" w:type="pct"/>
            <w:noWrap w:val="0"/>
            <w:vAlign w:val="center"/>
          </w:tcPr>
          <w:p w14:paraId="53B0F4B6">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Times New Roman" w:hAnsi="Times New Roman" w:eastAsia="宋体" w:cs="Times New Roman"/>
                <w:sz w:val="32"/>
                <w:szCs w:val="32"/>
                <w:lang w:eastAsia="zh-CN"/>
              </w:rPr>
            </w:pPr>
            <w:r>
              <w:rPr>
                <w:rFonts w:hint="eastAsia" w:ascii="Times New Roman" w:hAnsi="Times New Roman" w:eastAsia="仿宋_GB2312" w:cs="Times New Roman"/>
                <w:snapToGrid/>
                <w:color w:val="auto"/>
                <w:kern w:val="2"/>
                <w:sz w:val="32"/>
                <w:szCs w:val="32"/>
                <w:lang w:val="en-US" w:eastAsia="zh-CN" w:bidi="ar-SA"/>
              </w:rPr>
              <w:t>优化支委会结构后，决策与执行力双提升，清廉文化氛围浓厚，为学校发展强基固本，2024 年荣获街道党建“活力之星”称号。</w:t>
            </w:r>
          </w:p>
        </w:tc>
      </w:tr>
      <w:tr w14:paraId="572F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0" w:hRule="atLeast"/>
          <w:jc w:val="center"/>
        </w:trPr>
        <w:tc>
          <w:tcPr>
            <w:tcW w:w="562" w:type="pct"/>
            <w:noWrap w:val="0"/>
            <w:vAlign w:val="center"/>
          </w:tcPr>
          <w:p w14:paraId="7D8DAA89">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szCs w:val="32"/>
              </w:rPr>
              <w:t>2</w:t>
            </w:r>
          </w:p>
        </w:tc>
        <w:tc>
          <w:tcPr>
            <w:tcW w:w="604" w:type="pct"/>
            <w:noWrap w:val="0"/>
            <w:vAlign w:val="center"/>
          </w:tcPr>
          <w:p w14:paraId="5379D7FA">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强师提质，交流赋能</w:t>
            </w:r>
          </w:p>
        </w:tc>
        <w:tc>
          <w:tcPr>
            <w:tcW w:w="1900" w:type="pct"/>
            <w:noWrap w:val="0"/>
            <w:vAlign w:val="center"/>
          </w:tcPr>
          <w:p w14:paraId="4CC4E28B">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聚焦教学质量提升核心任务，深度推进教研交流合作；着力强化师资队伍综合建设，全方位助力教师专业成长。积极搭建教育交流优质平台，推动区域内教育资源高效共享与协同发展。</w:t>
            </w:r>
          </w:p>
        </w:tc>
        <w:tc>
          <w:tcPr>
            <w:tcW w:w="1931" w:type="pct"/>
            <w:noWrap w:val="0"/>
            <w:vAlign w:val="center"/>
          </w:tcPr>
          <w:p w14:paraId="0CAED6F6">
            <w:pPr>
              <w:adjustRightInd w:val="0"/>
              <w:snapToGrid w:val="0"/>
              <w:spacing w:line="360" w:lineRule="auto"/>
              <w:rPr>
                <w:rFonts w:hint="default" w:ascii="Times New Roman" w:hAnsi="Times New Roman" w:eastAsia="仿宋_GB2312" w:cs="Times New Roman"/>
                <w:bCs/>
                <w:kern w:val="44"/>
                <w:sz w:val="32"/>
                <w:szCs w:val="32"/>
                <w:lang w:val="en-US" w:eastAsia="zh-CN"/>
              </w:rPr>
            </w:pPr>
            <w:r>
              <w:rPr>
                <w:rFonts w:hint="eastAsia" w:ascii="Times New Roman" w:hAnsi="Times New Roman" w:eastAsia="仿宋_GB2312" w:cs="Times New Roman"/>
                <w:bCs/>
                <w:kern w:val="44"/>
                <w:sz w:val="32"/>
                <w:szCs w:val="32"/>
                <w:lang w:val="en-US" w:eastAsia="zh-CN"/>
              </w:rPr>
              <w:t>承办“国培计划”等活动促交流，教学视导获好评；组织多类培训、研修，开展青蓝工程，成立名师工作室，教师于各级赛事屡获佳绩，科研课题有序推进。</w:t>
            </w:r>
          </w:p>
        </w:tc>
      </w:tr>
      <w:tr w14:paraId="3386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9" w:hRule="atLeast"/>
          <w:jc w:val="center"/>
        </w:trPr>
        <w:tc>
          <w:tcPr>
            <w:tcW w:w="562" w:type="pct"/>
            <w:noWrap w:val="0"/>
            <w:vAlign w:val="center"/>
          </w:tcPr>
          <w:p w14:paraId="43B7C96A">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bCs/>
                <w:kern w:val="44"/>
                <w:sz w:val="32"/>
                <w:szCs w:val="32"/>
              </w:rPr>
              <w:t>3</w:t>
            </w:r>
          </w:p>
        </w:tc>
        <w:tc>
          <w:tcPr>
            <w:tcW w:w="604" w:type="pct"/>
            <w:noWrap w:val="0"/>
            <w:vAlign w:val="center"/>
          </w:tcPr>
          <w:p w14:paraId="370B4732">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德育筑基，协同共进</w:t>
            </w:r>
          </w:p>
        </w:tc>
        <w:tc>
          <w:tcPr>
            <w:tcW w:w="1900" w:type="pct"/>
            <w:noWrap w:val="0"/>
            <w:vAlign w:val="center"/>
          </w:tcPr>
          <w:p w14:paraId="299831B7">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构建德育体系，加强队伍建设，通过多元形式</w:t>
            </w:r>
            <w:r>
              <w:rPr>
                <w:rFonts w:hint="eastAsia" w:ascii="Times New Roman" w:hAnsi="Times New Roman" w:eastAsia="仿宋_GB2312" w:cs="Times New Roman"/>
                <w:bCs/>
                <w:kern w:val="44"/>
                <w:sz w:val="32"/>
                <w:szCs w:val="32"/>
                <w:lang w:val="en-US" w:eastAsia="zh-CN"/>
              </w:rPr>
              <w:t>活动</w:t>
            </w:r>
            <w:r>
              <w:rPr>
                <w:rFonts w:hint="default" w:ascii="Times New Roman" w:hAnsi="Times New Roman" w:eastAsia="仿宋_GB2312" w:cs="Times New Roman"/>
                <w:bCs/>
                <w:kern w:val="44"/>
                <w:sz w:val="32"/>
                <w:szCs w:val="32"/>
              </w:rPr>
              <w:t>，培养学生良好品德与行为习惯，强化健康安全教育，促进家校社协同育人。</w:t>
            </w:r>
          </w:p>
        </w:tc>
        <w:tc>
          <w:tcPr>
            <w:tcW w:w="1931" w:type="pct"/>
            <w:noWrap w:val="0"/>
            <w:vAlign w:val="center"/>
          </w:tcPr>
          <w:p w14:paraId="3AF840ED">
            <w:pPr>
              <w:adjustRightInd w:val="0"/>
              <w:snapToGrid w:val="0"/>
              <w:spacing w:line="360" w:lineRule="auto"/>
              <w:rPr>
                <w:rFonts w:hint="default" w:ascii="Times New Roman" w:hAnsi="Times New Roman" w:eastAsia="仿宋_GB2312" w:cs="Times New Roman"/>
                <w:bCs/>
                <w:kern w:val="44"/>
                <w:sz w:val="32"/>
                <w:szCs w:val="32"/>
                <w:lang w:val="en-US" w:eastAsia="zh-CN"/>
              </w:rPr>
            </w:pPr>
            <w:r>
              <w:rPr>
                <w:rFonts w:hint="eastAsia" w:ascii="Times New Roman" w:hAnsi="Times New Roman" w:eastAsia="仿宋_GB2312" w:cs="Times New Roman"/>
                <w:bCs/>
                <w:kern w:val="44"/>
                <w:sz w:val="32"/>
                <w:szCs w:val="32"/>
                <w:lang w:val="en-US" w:eastAsia="zh-CN"/>
              </w:rPr>
              <w:t>不断完善德育制度，提升班主任能力，培养优秀学生干部；开展习惯养成、主题活动等，注重健康安全，加强家校社协同，营造良好育人氛围。</w:t>
            </w:r>
          </w:p>
        </w:tc>
      </w:tr>
      <w:tr w14:paraId="5FD3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8" w:hRule="atLeast"/>
          <w:jc w:val="center"/>
        </w:trPr>
        <w:tc>
          <w:tcPr>
            <w:tcW w:w="562" w:type="pct"/>
            <w:noWrap w:val="0"/>
            <w:vAlign w:val="center"/>
          </w:tcPr>
          <w:p w14:paraId="4852C146">
            <w:pPr>
              <w:adjustRightInd w:val="0"/>
              <w:snapToGrid w:val="0"/>
              <w:spacing w:before="156" w:beforeLines="50" w:after="156" w:afterLines="50" w:line="240" w:lineRule="atLeast"/>
              <w:jc w:val="center"/>
              <w:rPr>
                <w:rFonts w:hint="eastAsia" w:ascii="Times New Roman" w:hAnsi="Times New Roman" w:eastAsia="宋体" w:cs="Times New Roman"/>
                <w:bCs/>
                <w:kern w:val="44"/>
                <w:sz w:val="32"/>
                <w:szCs w:val="32"/>
                <w:lang w:val="en-US" w:eastAsia="zh-CN"/>
              </w:rPr>
            </w:pPr>
            <w:r>
              <w:rPr>
                <w:rFonts w:hint="eastAsia" w:ascii="Times New Roman" w:hAnsi="Times New Roman" w:cs="Times New Roman"/>
                <w:bCs/>
                <w:kern w:val="44"/>
                <w:sz w:val="32"/>
                <w:szCs w:val="32"/>
                <w:lang w:val="en-US" w:eastAsia="zh-CN"/>
              </w:rPr>
              <w:t>4</w:t>
            </w:r>
          </w:p>
        </w:tc>
        <w:tc>
          <w:tcPr>
            <w:tcW w:w="604" w:type="pct"/>
            <w:noWrap w:val="0"/>
            <w:vAlign w:val="center"/>
          </w:tcPr>
          <w:p w14:paraId="501DEFD8">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健体增智，多元育才</w:t>
            </w:r>
          </w:p>
        </w:tc>
        <w:tc>
          <w:tcPr>
            <w:tcW w:w="1900" w:type="pct"/>
            <w:noWrap w:val="0"/>
            <w:vAlign w:val="center"/>
          </w:tcPr>
          <w:p w14:paraId="0DE0486D">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严控学生近视率，重视体质健康优良率；开展气象科普与环保教育，提升学生科学素养与环保意识；丰富社团活动，满足学生兴趣需求，促进学生多元发展。</w:t>
            </w:r>
          </w:p>
        </w:tc>
        <w:tc>
          <w:tcPr>
            <w:tcW w:w="1931" w:type="pct"/>
            <w:noWrap w:val="0"/>
            <w:vAlign w:val="center"/>
          </w:tcPr>
          <w:p w14:paraId="6E0C6517">
            <w:pPr>
              <w:adjustRightInd w:val="0"/>
              <w:snapToGrid w:val="0"/>
              <w:spacing w:line="360" w:lineRule="auto"/>
              <w:rPr>
                <w:rFonts w:hint="default"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Cs/>
                <w:kern w:val="44"/>
                <w:sz w:val="32"/>
                <w:szCs w:val="32"/>
                <w:lang w:val="en-US" w:eastAsia="zh-CN"/>
              </w:rPr>
              <w:t>学校</w:t>
            </w:r>
            <w:r>
              <w:rPr>
                <w:rFonts w:hint="eastAsia" w:ascii="Times New Roman" w:hAnsi="Times New Roman" w:eastAsia="仿宋_GB2312" w:cs="Times New Roman"/>
                <w:bCs/>
                <w:kern w:val="44"/>
                <w:sz w:val="32"/>
                <w:szCs w:val="32"/>
                <w:lang w:val="en-US" w:eastAsia="zh-CN"/>
              </w:rPr>
              <w:t>在</w:t>
            </w:r>
            <w:r>
              <w:rPr>
                <w:rFonts w:hint="default" w:ascii="Times New Roman" w:hAnsi="Times New Roman" w:eastAsia="仿宋_GB2312" w:cs="Times New Roman"/>
                <w:bCs/>
                <w:kern w:val="44"/>
                <w:sz w:val="32"/>
                <w:szCs w:val="32"/>
                <w:lang w:val="en-US" w:eastAsia="zh-CN"/>
              </w:rPr>
              <w:t>区中小学田径运动获小学乙组团体总分第三；入选“武汉市民间河湖长宣讲团”；开展气象科普讲座；开设</w:t>
            </w:r>
            <w:r>
              <w:rPr>
                <w:rFonts w:hint="eastAsia" w:ascii="Times New Roman" w:hAnsi="Times New Roman" w:eastAsia="仿宋_GB2312" w:cs="Times New Roman"/>
                <w:bCs/>
                <w:kern w:val="44"/>
                <w:sz w:val="32"/>
                <w:szCs w:val="32"/>
                <w:lang w:val="en-US" w:eastAsia="zh-CN"/>
              </w:rPr>
              <w:t>41</w:t>
            </w:r>
            <w:r>
              <w:rPr>
                <w:rFonts w:hint="default" w:ascii="Times New Roman" w:hAnsi="Times New Roman" w:eastAsia="仿宋_GB2312" w:cs="Times New Roman"/>
                <w:bCs/>
                <w:kern w:val="44"/>
                <w:sz w:val="32"/>
                <w:szCs w:val="32"/>
                <w:lang w:val="en-US" w:eastAsia="zh-CN"/>
              </w:rPr>
              <w:t>门社团课，学生在多领域赛事中屡获佳绩。</w:t>
            </w:r>
          </w:p>
        </w:tc>
      </w:tr>
      <w:tr w14:paraId="1249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562" w:type="pct"/>
            <w:noWrap w:val="0"/>
            <w:vAlign w:val="center"/>
          </w:tcPr>
          <w:p w14:paraId="39AB9396">
            <w:pPr>
              <w:adjustRightInd w:val="0"/>
              <w:snapToGrid w:val="0"/>
              <w:spacing w:before="156" w:beforeLines="50" w:after="156" w:afterLines="50" w:line="240" w:lineRule="atLeast"/>
              <w:jc w:val="center"/>
              <w:rPr>
                <w:rFonts w:hint="eastAsia" w:ascii="Times New Roman" w:hAnsi="Times New Roman" w:eastAsia="宋体" w:cs="Times New Roman"/>
                <w:bCs/>
                <w:kern w:val="44"/>
                <w:sz w:val="32"/>
                <w:szCs w:val="32"/>
                <w:lang w:val="en-US" w:eastAsia="zh-CN"/>
              </w:rPr>
            </w:pPr>
            <w:r>
              <w:rPr>
                <w:rFonts w:hint="eastAsia" w:ascii="Times New Roman" w:hAnsi="Times New Roman" w:cs="Times New Roman"/>
                <w:bCs/>
                <w:kern w:val="44"/>
                <w:sz w:val="32"/>
                <w:szCs w:val="32"/>
                <w:lang w:val="en-US" w:eastAsia="zh-CN"/>
              </w:rPr>
              <w:t>5</w:t>
            </w:r>
          </w:p>
        </w:tc>
        <w:tc>
          <w:tcPr>
            <w:tcW w:w="604" w:type="pct"/>
            <w:noWrap w:val="0"/>
            <w:vAlign w:val="center"/>
          </w:tcPr>
          <w:p w14:paraId="43DECAB1">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p>
          <w:p w14:paraId="5B2F490E">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p>
          <w:p w14:paraId="15EB6C3A">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自营焕新，食安领航</w:t>
            </w:r>
          </w:p>
        </w:tc>
        <w:tc>
          <w:tcPr>
            <w:tcW w:w="1900" w:type="pct"/>
            <w:noWrap w:val="0"/>
            <w:vAlign w:val="center"/>
          </w:tcPr>
          <w:p w14:paraId="2DDD1608">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实现食堂自主经营，提升服务质量与师生满意度。严格把控食品安全各个环节，推进数字化食堂转型，增强食品安全工作透明度，为师生提供优质健康餐饮。</w:t>
            </w:r>
          </w:p>
        </w:tc>
        <w:tc>
          <w:tcPr>
            <w:tcW w:w="1931" w:type="pct"/>
            <w:noWrap w:val="0"/>
            <w:vAlign w:val="center"/>
          </w:tcPr>
          <w:p w14:paraId="06F6ED22">
            <w:pPr>
              <w:adjustRightInd w:val="0"/>
              <w:snapToGrid w:val="0"/>
              <w:spacing w:line="360" w:lineRule="auto"/>
              <w:rPr>
                <w:rFonts w:hint="default"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Cs/>
                <w:kern w:val="44"/>
                <w:sz w:val="32"/>
                <w:szCs w:val="32"/>
                <w:lang w:val="en-US" w:eastAsia="zh-CN"/>
              </w:rPr>
              <w:t>改造升级食堂，开始自主经营，实施“明厨亮灶”；注重食品安全把控，邀请多方陪餐，开展开放日活动，逐步向数字化食堂转型。</w:t>
            </w:r>
          </w:p>
        </w:tc>
      </w:tr>
    </w:tbl>
    <w:p w14:paraId="156EB1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31A7EDD9">
      <w:pPr>
        <w:spacing w:line="398" w:lineRule="auto"/>
        <w:rPr>
          <w:rFonts w:hint="default" w:ascii="Times New Roman" w:hAnsi="Times New Roman" w:cs="Times New Roman"/>
          <w:sz w:val="21"/>
        </w:rPr>
      </w:pPr>
    </w:p>
    <w:p w14:paraId="03103CA2">
      <w:pPr>
        <w:snapToGrid w:val="0"/>
        <w:spacing w:line="580" w:lineRule="exact"/>
        <w:ind w:firstLine="640" w:firstLineChars="200"/>
        <w:rPr>
          <w:rFonts w:eastAsia="仿宋_GB2312"/>
          <w:bCs/>
          <w:kern w:val="44"/>
          <w:sz w:val="32"/>
          <w:szCs w:val="32"/>
        </w:rPr>
      </w:pPr>
      <w:r>
        <w:rPr>
          <w:rFonts w:eastAsia="仿宋_GB2312"/>
          <w:bCs/>
          <w:kern w:val="44"/>
          <w:sz w:val="32"/>
          <w:szCs w:val="32"/>
        </w:rPr>
        <w:t>(一)</w:t>
      </w:r>
      <w:r>
        <w:rPr>
          <w:rFonts w:eastAsia="仿宋_GB2312"/>
          <w:spacing w:val="6"/>
          <w:sz w:val="32"/>
          <w:szCs w:val="32"/>
        </w:rPr>
        <w:t>一般公共预算</w:t>
      </w:r>
      <w:r>
        <w:rPr>
          <w:rFonts w:eastAsia="仿宋_GB2312"/>
          <w:bCs/>
          <w:kern w:val="44"/>
          <w:sz w:val="32"/>
          <w:szCs w:val="32"/>
        </w:rPr>
        <w:t>财政拨款收入：指市级财政</w:t>
      </w:r>
      <w:r>
        <w:rPr>
          <w:rFonts w:eastAsia="仿宋_GB2312"/>
          <w:spacing w:val="6"/>
          <w:sz w:val="32"/>
          <w:szCs w:val="32"/>
        </w:rPr>
        <w:t>一般公共预算</w:t>
      </w:r>
      <w:r>
        <w:rPr>
          <w:rFonts w:eastAsia="仿宋_GB2312"/>
          <w:bCs/>
          <w:kern w:val="44"/>
          <w:sz w:val="32"/>
          <w:szCs w:val="32"/>
        </w:rPr>
        <w:t>当年拨付的资金。</w:t>
      </w:r>
    </w:p>
    <w:p w14:paraId="2A712F26">
      <w:pPr>
        <w:snapToGrid w:val="0"/>
        <w:spacing w:line="580" w:lineRule="exact"/>
        <w:ind w:firstLine="640" w:firstLineChars="200"/>
        <w:rPr>
          <w:rFonts w:eastAsia="仿宋_GB2312"/>
          <w:bCs/>
          <w:kern w:val="44"/>
          <w:sz w:val="32"/>
          <w:szCs w:val="32"/>
          <w:highlight w:val="yellow"/>
        </w:rPr>
      </w:pPr>
      <w:r>
        <w:rPr>
          <w:rFonts w:eastAsia="仿宋_GB2312"/>
          <w:bCs/>
          <w:kern w:val="44"/>
          <w:sz w:val="32"/>
          <w:szCs w:val="32"/>
        </w:rPr>
        <w:t>(二)</w:t>
      </w:r>
      <w:r>
        <w:rPr>
          <w:rFonts w:eastAsia="仿宋_GB2312"/>
          <w:sz w:val="32"/>
          <w:szCs w:val="32"/>
        </w:rPr>
        <w:t>政府性基金</w:t>
      </w:r>
      <w:r>
        <w:rPr>
          <w:rFonts w:eastAsia="仿宋_GB2312"/>
          <w:spacing w:val="6"/>
          <w:sz w:val="32"/>
          <w:szCs w:val="32"/>
        </w:rPr>
        <w:t>预算</w:t>
      </w:r>
      <w:r>
        <w:rPr>
          <w:rFonts w:eastAsia="仿宋_GB2312"/>
          <w:bCs/>
          <w:kern w:val="44"/>
          <w:sz w:val="32"/>
          <w:szCs w:val="32"/>
        </w:rPr>
        <w:t>财政拨款收入：指市级财政</w:t>
      </w:r>
      <w:r>
        <w:rPr>
          <w:rFonts w:eastAsia="仿宋_GB2312"/>
          <w:sz w:val="32"/>
          <w:szCs w:val="32"/>
        </w:rPr>
        <w:t>政府性基金</w:t>
      </w:r>
      <w:r>
        <w:rPr>
          <w:rFonts w:eastAsia="仿宋_GB2312"/>
          <w:spacing w:val="6"/>
          <w:sz w:val="32"/>
          <w:szCs w:val="32"/>
        </w:rPr>
        <w:t>预算</w:t>
      </w:r>
      <w:r>
        <w:rPr>
          <w:rFonts w:eastAsia="仿宋_GB2312"/>
          <w:bCs/>
          <w:kern w:val="44"/>
          <w:sz w:val="32"/>
          <w:szCs w:val="32"/>
        </w:rPr>
        <w:t>当年拨付的资金。</w:t>
      </w:r>
    </w:p>
    <w:p w14:paraId="75545AB9">
      <w:pPr>
        <w:adjustRightInd w:val="0"/>
        <w:snapToGrid w:val="0"/>
        <w:spacing w:line="580" w:lineRule="exact"/>
        <w:ind w:firstLine="640" w:firstLineChars="200"/>
        <w:rPr>
          <w:rFonts w:eastAsia="仿宋_GB2312"/>
          <w:bCs/>
          <w:kern w:val="44"/>
          <w:sz w:val="32"/>
          <w:szCs w:val="32"/>
        </w:rPr>
      </w:pPr>
      <w:r>
        <w:rPr>
          <w:rFonts w:eastAsia="仿宋_GB2312"/>
          <w:bCs/>
          <w:kern w:val="44"/>
          <w:sz w:val="32"/>
          <w:szCs w:val="32"/>
        </w:rPr>
        <w:t>(三)国有资本经营预算财政拨款收入：指市级财政国有资本经营预算当年拨付的资金。</w:t>
      </w:r>
    </w:p>
    <w:p w14:paraId="6E828707">
      <w:pPr>
        <w:adjustRightInd w:val="0"/>
        <w:snapToGrid w:val="0"/>
        <w:spacing w:line="580" w:lineRule="exact"/>
        <w:ind w:firstLine="640" w:firstLineChars="200"/>
        <w:rPr>
          <w:rFonts w:eastAsia="仿宋_GB2312"/>
          <w:bCs/>
          <w:kern w:val="44"/>
          <w:sz w:val="32"/>
          <w:szCs w:val="32"/>
          <w:highlight w:val="yellow"/>
        </w:rPr>
      </w:pPr>
      <w:r>
        <w:rPr>
          <w:rFonts w:eastAsia="仿宋_GB2312"/>
          <w:bCs/>
          <w:kern w:val="44"/>
          <w:sz w:val="32"/>
          <w:szCs w:val="32"/>
        </w:rPr>
        <w:t>(四)上级补助收入：指从</w:t>
      </w:r>
      <w:r>
        <w:rPr>
          <w:rFonts w:eastAsia="仿宋_GB2312"/>
          <w:sz w:val="32"/>
          <w:szCs w:val="32"/>
        </w:rPr>
        <w:t>事业单位</w:t>
      </w:r>
      <w:r>
        <w:rPr>
          <w:rFonts w:eastAsia="仿宋_GB2312"/>
          <w:bCs/>
          <w:kern w:val="44"/>
          <w:sz w:val="32"/>
          <w:szCs w:val="32"/>
        </w:rPr>
        <w:t>主管部门和上级单位取得的非财政补助收入。</w:t>
      </w:r>
    </w:p>
    <w:p w14:paraId="58116745">
      <w:pPr>
        <w:snapToGrid w:val="0"/>
        <w:spacing w:line="580" w:lineRule="exact"/>
        <w:ind w:firstLine="640" w:firstLineChars="200"/>
        <w:rPr>
          <w:rFonts w:eastAsia="仿宋_GB2312"/>
          <w:bCs/>
          <w:kern w:val="44"/>
          <w:sz w:val="32"/>
          <w:szCs w:val="32"/>
          <w:highlight w:val="yellow"/>
        </w:rPr>
      </w:pPr>
      <w:r>
        <w:rPr>
          <w:rFonts w:eastAsia="仿宋_GB2312"/>
          <w:bCs/>
          <w:kern w:val="44"/>
          <w:sz w:val="32"/>
          <w:szCs w:val="32"/>
        </w:rPr>
        <w:t>(五)事业收入：指事业单位开展专业业务活动及其辅助活动取得的收入。</w:t>
      </w:r>
    </w:p>
    <w:p w14:paraId="23720724">
      <w:pPr>
        <w:adjustRightInd w:val="0"/>
        <w:snapToGrid w:val="0"/>
        <w:spacing w:line="580" w:lineRule="exact"/>
        <w:ind w:firstLine="640" w:firstLineChars="200"/>
        <w:rPr>
          <w:rFonts w:eastAsia="仿宋_GB2312"/>
          <w:bCs/>
          <w:kern w:val="44"/>
          <w:sz w:val="32"/>
          <w:szCs w:val="32"/>
          <w:highlight w:val="yellow"/>
        </w:rPr>
      </w:pPr>
      <w:r>
        <w:rPr>
          <w:rFonts w:eastAsia="仿宋_GB2312"/>
          <w:bCs/>
          <w:kern w:val="44"/>
          <w:sz w:val="32"/>
          <w:szCs w:val="32"/>
        </w:rPr>
        <w:t>(六)经营收入：指事业单位在专业业务活动及其辅助活动之外开展非独立核算经营活动取得的收入。</w:t>
      </w:r>
    </w:p>
    <w:p w14:paraId="19669CDC">
      <w:pPr>
        <w:adjustRightInd w:val="0"/>
        <w:snapToGrid w:val="0"/>
        <w:spacing w:line="580" w:lineRule="exact"/>
        <w:ind w:firstLine="640" w:firstLineChars="200"/>
        <w:rPr>
          <w:rFonts w:eastAsia="仿宋_GB2312"/>
          <w:sz w:val="32"/>
          <w:szCs w:val="32"/>
        </w:rPr>
      </w:pPr>
      <w:r>
        <w:rPr>
          <w:rFonts w:eastAsia="仿宋_GB2312"/>
          <w:bCs/>
          <w:kern w:val="44"/>
          <w:sz w:val="32"/>
          <w:szCs w:val="32"/>
        </w:rPr>
        <w:t>(七)其他收入：指</w:t>
      </w:r>
      <w:r>
        <w:rPr>
          <w:rFonts w:eastAsia="仿宋_GB2312"/>
          <w:sz w:val="32"/>
          <w:szCs w:val="32"/>
        </w:rPr>
        <w:t>单位取得的除上述“一般公共预算财政拨款收入”、“政府性基金</w:t>
      </w:r>
      <w:r>
        <w:rPr>
          <w:rFonts w:eastAsia="仿宋_GB2312"/>
          <w:spacing w:val="6"/>
          <w:sz w:val="32"/>
          <w:szCs w:val="32"/>
        </w:rPr>
        <w:t>预算</w:t>
      </w:r>
      <w:r>
        <w:rPr>
          <w:rFonts w:eastAsia="仿宋_GB2312"/>
          <w:bCs/>
          <w:kern w:val="44"/>
          <w:sz w:val="32"/>
          <w:szCs w:val="32"/>
        </w:rPr>
        <w:t>财政拨款收入</w:t>
      </w:r>
      <w:r>
        <w:rPr>
          <w:rFonts w:eastAsia="仿宋_GB2312"/>
          <w:sz w:val="32"/>
          <w:szCs w:val="32"/>
        </w:rPr>
        <w:t>”、“</w:t>
      </w:r>
      <w:r>
        <w:rPr>
          <w:rFonts w:eastAsia="仿宋_GB2312"/>
          <w:bCs/>
          <w:kern w:val="44"/>
          <w:sz w:val="32"/>
          <w:szCs w:val="32"/>
        </w:rPr>
        <w:t>国有资本经营预算财政拨款收入</w:t>
      </w:r>
      <w:r>
        <w:rPr>
          <w:rFonts w:eastAsia="仿宋_GB2312"/>
          <w:sz w:val="32"/>
          <w:szCs w:val="32"/>
        </w:rPr>
        <w:t>”、“</w:t>
      </w:r>
      <w:r>
        <w:rPr>
          <w:rFonts w:eastAsia="仿宋_GB2312"/>
          <w:bCs/>
          <w:kern w:val="44"/>
          <w:sz w:val="32"/>
          <w:szCs w:val="32"/>
        </w:rPr>
        <w:t>上级补助收入</w:t>
      </w:r>
      <w:r>
        <w:rPr>
          <w:rFonts w:eastAsia="仿宋_GB2312"/>
          <w:sz w:val="32"/>
          <w:szCs w:val="32"/>
        </w:rPr>
        <w:t>”、“事业收入”、“经营收入”等收入以外的各项收入。</w:t>
      </w:r>
    </w:p>
    <w:p w14:paraId="1FB16F82">
      <w:pPr>
        <w:adjustRightInd w:val="0"/>
        <w:snapToGrid w:val="0"/>
        <w:spacing w:line="580" w:lineRule="exact"/>
        <w:ind w:firstLine="640" w:firstLineChars="200"/>
        <w:rPr>
          <w:rFonts w:eastAsia="仿宋_GB2312"/>
          <w:color w:val="000000"/>
          <w:sz w:val="32"/>
        </w:rPr>
      </w:pPr>
      <w:r>
        <w:rPr>
          <w:rFonts w:eastAsia="仿宋_GB2312"/>
          <w:bCs/>
          <w:kern w:val="44"/>
          <w:sz w:val="32"/>
          <w:szCs w:val="32"/>
        </w:rPr>
        <w:t>(八)使用非财政拨款结余：</w:t>
      </w:r>
      <w:r>
        <w:rPr>
          <w:rFonts w:eastAsia="仿宋_GB2312"/>
          <w:color w:val="000000"/>
          <w:sz w:val="32"/>
        </w:rPr>
        <w:t>指事业单位使用以前年度积累的非财政拨款结余弥补当年收支差额的金额。</w:t>
      </w:r>
    </w:p>
    <w:p w14:paraId="7D6449EC">
      <w:pPr>
        <w:adjustRightInd w:val="0"/>
        <w:snapToGrid w:val="0"/>
        <w:spacing w:line="580" w:lineRule="exact"/>
        <w:ind w:firstLine="640" w:firstLineChars="200"/>
        <w:rPr>
          <w:rFonts w:eastAsia="仿宋_GB2312"/>
          <w:bCs/>
          <w:kern w:val="44"/>
          <w:sz w:val="32"/>
          <w:szCs w:val="32"/>
          <w:highlight w:val="yellow"/>
        </w:rPr>
      </w:pPr>
      <w:r>
        <w:rPr>
          <w:rFonts w:eastAsia="仿宋_GB2312"/>
          <w:bCs/>
          <w:kern w:val="44"/>
          <w:sz w:val="32"/>
          <w:szCs w:val="32"/>
        </w:rPr>
        <w:t>(九)年初结转和结余：</w:t>
      </w:r>
      <w:r>
        <w:rPr>
          <w:rFonts w:eastAsia="仿宋_GB2312"/>
          <w:color w:val="000000"/>
          <w:sz w:val="32"/>
        </w:rPr>
        <w:t>指单位以前年度尚未完成、结转到本年仍按原规定用途继续使用的资金，或项目已完成等产生的结余资金。</w:t>
      </w:r>
    </w:p>
    <w:p w14:paraId="24C62A07">
      <w:pPr>
        <w:adjustRightInd w:val="0"/>
        <w:snapToGrid w:val="0"/>
        <w:spacing w:line="580" w:lineRule="exact"/>
        <w:ind w:firstLine="640" w:firstLineChars="200"/>
        <w:rPr>
          <w:rFonts w:eastAsia="仿宋_GB2312"/>
          <w:bCs/>
          <w:kern w:val="44"/>
          <w:sz w:val="32"/>
          <w:szCs w:val="32"/>
        </w:rPr>
      </w:pPr>
      <w:r>
        <w:rPr>
          <w:rFonts w:eastAsia="仿宋_GB2312"/>
          <w:bCs/>
          <w:kern w:val="44"/>
          <w:sz w:val="32"/>
          <w:szCs w:val="32"/>
        </w:rPr>
        <w:t>(十)本部门使用的支出功能分类科目</w:t>
      </w:r>
    </w:p>
    <w:p w14:paraId="3439DE15">
      <w:pPr>
        <w:adjustRightInd w:val="0"/>
        <w:snapToGrid w:val="0"/>
        <w:spacing w:line="580" w:lineRule="exact"/>
        <w:ind w:firstLine="640" w:firstLineChars="200"/>
        <w:rPr>
          <w:rFonts w:hint="eastAsia" w:eastAsia="仿宋_GB2312"/>
          <w:bCs/>
          <w:kern w:val="44"/>
          <w:sz w:val="32"/>
          <w:szCs w:val="32"/>
        </w:rPr>
      </w:pPr>
      <w:r>
        <w:rPr>
          <w:rFonts w:hint="eastAsia" w:eastAsia="仿宋_GB2312"/>
          <w:bCs/>
          <w:kern w:val="44"/>
          <w:sz w:val="32"/>
          <w:szCs w:val="32"/>
        </w:rPr>
        <w:t xml:space="preserve">1. 教育支出（类）普通教育（款）小学教育（项）反应各部门举办的小学教育支出。政府各部门对社会组织等举办的小学的资助，如捐赠、补贴等，也在本科目中反应。 </w:t>
      </w:r>
    </w:p>
    <w:p w14:paraId="300EE155">
      <w:pPr>
        <w:adjustRightInd w:val="0"/>
        <w:snapToGrid w:val="0"/>
        <w:spacing w:line="580" w:lineRule="exact"/>
        <w:ind w:firstLine="640" w:firstLineChars="200"/>
        <w:rPr>
          <w:rFonts w:hint="eastAsia" w:eastAsia="仿宋_GB2312"/>
          <w:bCs/>
          <w:kern w:val="44"/>
          <w:sz w:val="32"/>
          <w:szCs w:val="32"/>
        </w:rPr>
      </w:pPr>
      <w:r>
        <w:rPr>
          <w:rFonts w:hint="eastAsia" w:eastAsia="仿宋_GB2312"/>
          <w:bCs/>
          <w:kern w:val="44"/>
          <w:sz w:val="32"/>
          <w:szCs w:val="32"/>
        </w:rPr>
        <w:t>2. 社会保障和就业支出（类）行政事业单位养老支出（款） 机关事业单位基本养老保险缴费支出（项）反应机关事业单位实 施养老保险制度由单位缴纳的基本养老保险费支出。</w:t>
      </w:r>
    </w:p>
    <w:p w14:paraId="764B2C87">
      <w:pPr>
        <w:adjustRightInd w:val="0"/>
        <w:snapToGrid w:val="0"/>
        <w:spacing w:line="580" w:lineRule="exact"/>
        <w:ind w:firstLine="640" w:firstLineChars="200"/>
        <w:rPr>
          <w:rFonts w:eastAsia="仿宋_GB2312"/>
          <w:bCs/>
          <w:kern w:val="44"/>
          <w:sz w:val="32"/>
          <w:szCs w:val="32"/>
        </w:rPr>
      </w:pPr>
      <w:r>
        <w:rPr>
          <w:rFonts w:eastAsia="仿宋_GB2312"/>
          <w:bCs/>
          <w:kern w:val="44"/>
          <w:sz w:val="32"/>
          <w:szCs w:val="32"/>
        </w:rPr>
        <w:t>(十一)结余分配：指事业单位按照会计制度规定缴纳的企业所得税、提取的专用结余以及转入非财政拨款结余的金额等。</w:t>
      </w:r>
    </w:p>
    <w:p w14:paraId="2496656E">
      <w:pPr>
        <w:adjustRightInd w:val="0"/>
        <w:snapToGrid w:val="0"/>
        <w:spacing w:line="580" w:lineRule="exact"/>
        <w:ind w:firstLine="640" w:firstLineChars="200"/>
        <w:rPr>
          <w:szCs w:val="32"/>
        </w:rPr>
      </w:pPr>
      <w:r>
        <w:rPr>
          <w:rFonts w:eastAsia="仿宋_GB2312"/>
          <w:bCs/>
          <w:kern w:val="44"/>
          <w:sz w:val="32"/>
          <w:szCs w:val="32"/>
        </w:rPr>
        <w:t>(十二)年末结转和结余：指单位按有关规定结转到下年或以后年度继续使用的资金，或项目已完成等产生的结余资金。</w:t>
      </w:r>
    </w:p>
    <w:p w14:paraId="041E7B51">
      <w:pPr>
        <w:adjustRightInd w:val="0"/>
        <w:snapToGrid w:val="0"/>
        <w:spacing w:line="580" w:lineRule="exact"/>
        <w:ind w:firstLine="640" w:firstLineChars="200"/>
        <w:rPr>
          <w:rFonts w:eastAsia="仿宋_GB2312"/>
          <w:bCs/>
          <w:kern w:val="44"/>
          <w:sz w:val="32"/>
          <w:szCs w:val="32"/>
        </w:rPr>
      </w:pPr>
      <w:r>
        <w:rPr>
          <w:rFonts w:eastAsia="仿宋_GB2312"/>
          <w:bCs/>
          <w:kern w:val="44"/>
          <w:sz w:val="32"/>
          <w:szCs w:val="32"/>
        </w:rPr>
        <w:t>(十三)基本支出：指为保障机构正常运转、完成日常工作任务而发生的人员支出和公用支出。</w:t>
      </w:r>
    </w:p>
    <w:p w14:paraId="269A404D">
      <w:pPr>
        <w:adjustRightInd w:val="0"/>
        <w:snapToGrid w:val="0"/>
        <w:spacing w:line="580" w:lineRule="exact"/>
        <w:ind w:firstLine="640" w:firstLineChars="200"/>
        <w:rPr>
          <w:rFonts w:eastAsia="仿宋_GB2312"/>
          <w:color w:val="000000"/>
          <w:sz w:val="32"/>
          <w:szCs w:val="22"/>
        </w:rPr>
      </w:pPr>
      <w:r>
        <w:rPr>
          <w:rFonts w:eastAsia="仿宋_GB2312"/>
          <w:color w:val="000000"/>
          <w:sz w:val="32"/>
          <w:szCs w:val="22"/>
        </w:rPr>
        <w:t>(十四)项目支出：指在基本支出之外为完成特定行政任务或事业发展目标所发生的支出。</w:t>
      </w:r>
    </w:p>
    <w:p w14:paraId="3931F4B5">
      <w:pPr>
        <w:adjustRightInd w:val="0"/>
        <w:snapToGrid w:val="0"/>
        <w:spacing w:line="580" w:lineRule="exact"/>
        <w:ind w:firstLine="640" w:firstLineChars="200"/>
        <w:rPr>
          <w:rFonts w:eastAsia="仿宋_GB2312"/>
          <w:bCs/>
          <w:kern w:val="44"/>
          <w:sz w:val="32"/>
          <w:szCs w:val="32"/>
        </w:rPr>
      </w:pPr>
      <w:r>
        <w:rPr>
          <w:rFonts w:eastAsia="仿宋_GB2312"/>
          <w:sz w:val="32"/>
          <w:szCs w:val="32"/>
        </w:rPr>
        <w:t>(十五)</w:t>
      </w:r>
      <w:r>
        <w:rPr>
          <w:rFonts w:eastAsia="仿宋_GB2312"/>
          <w:bCs/>
          <w:kern w:val="44"/>
          <w:sz w:val="32"/>
          <w:szCs w:val="32"/>
        </w:rPr>
        <w:t>经营支出：指事业单位在专业活动及辅助活动之外开展非独立核算经营活动发生的支出。</w:t>
      </w:r>
    </w:p>
    <w:p w14:paraId="1F70B039">
      <w:pPr>
        <w:adjustRightInd w:val="0"/>
        <w:snapToGrid w:val="0"/>
        <w:spacing w:line="580" w:lineRule="exact"/>
        <w:ind w:firstLine="640" w:firstLineChars="200"/>
        <w:rPr>
          <w:rFonts w:eastAsia="仿宋_GB2312"/>
          <w:sz w:val="32"/>
          <w:szCs w:val="32"/>
          <w:highlight w:val="yellow"/>
        </w:rPr>
      </w:pPr>
      <w:r>
        <w:rPr>
          <w:rFonts w:eastAsia="仿宋_GB2312"/>
          <w:sz w:val="32"/>
          <w:szCs w:val="32"/>
        </w:rPr>
        <w:t>(十六)“三公”经费：纳入财政一般公共预算管理的“三公”经费，是指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78C3F02B">
      <w:pPr>
        <w:snapToGrid w:val="0"/>
        <w:spacing w:line="580" w:lineRule="exact"/>
        <w:ind w:firstLine="640" w:firstLineChars="200"/>
        <w:rPr>
          <w:rFonts w:eastAsia="仿宋_GB2312"/>
          <w:sz w:val="32"/>
          <w:szCs w:val="32"/>
          <w:highlight w:val="yellow"/>
        </w:rPr>
      </w:pPr>
      <w:r>
        <w:rPr>
          <w:rFonts w:eastAsia="仿宋_GB2312"/>
          <w:sz w:val="32"/>
          <w:szCs w:val="32"/>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01D1A14">
      <w:pPr>
        <w:snapToGrid w:val="0"/>
        <w:spacing w:line="580" w:lineRule="exact"/>
        <w:ind w:firstLine="640"/>
        <w:rPr>
          <w:rFonts w:eastAsia="仿宋_GB2312"/>
          <w:sz w:val="32"/>
          <w:szCs w:val="32"/>
        </w:rPr>
      </w:pPr>
      <w:r>
        <w:rPr>
          <w:rFonts w:eastAsia="仿宋_GB2312"/>
          <w:sz w:val="32"/>
          <w:szCs w:val="32"/>
        </w:rPr>
        <w:t>(十八)其他专用名词。</w:t>
      </w:r>
    </w:p>
    <w:p w14:paraId="16F044F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default" w:ascii="方正小标宋_GBK" w:hAnsi="方正小标宋_GBK" w:eastAsia="方正小标宋_GBK" w:cs="方正小标宋_GBK"/>
          <w:spacing w:val="-2"/>
          <w:sz w:val="44"/>
          <w:szCs w:val="44"/>
        </w:rPr>
      </w:pPr>
    </w:p>
    <w:p w14:paraId="6E801F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7E57711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40F0EE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4EC399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8F480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74AC36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A5B11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EF4257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5CA7D058">
      <w:pPr>
        <w:spacing w:line="334" w:lineRule="auto"/>
        <w:rPr>
          <w:rFonts w:hint="default" w:ascii="Times New Roman" w:hAnsi="Times New Roman" w:cs="Times New Roman"/>
          <w:sz w:val="21"/>
        </w:rPr>
      </w:pPr>
    </w:p>
    <w:p w14:paraId="13BFE5D2">
      <w:pPr>
        <w:spacing w:line="335" w:lineRule="auto"/>
        <w:rPr>
          <w:rFonts w:hint="default" w:ascii="Times New Roman" w:hAnsi="Times New Roman" w:cs="Times New Roman"/>
          <w:sz w:val="21"/>
        </w:rPr>
      </w:pPr>
    </w:p>
    <w:p w14:paraId="05F8BF86">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36"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1"/>
          <w:sz w:val="32"/>
          <w:szCs w:val="32"/>
        </w:rPr>
        <w:t>年度武汉市光谷第二十七小学整体绩效自评表/结果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4BACC289">
      <w:pPr>
        <w:pStyle w:val="7"/>
        <w:rPr>
          <w:rFonts w:hint="default"/>
          <w:lang w:val="en-US" w:eastAsia="zh-CN"/>
        </w:rPr>
      </w:pPr>
      <w:r>
        <w:rPr>
          <w:rFonts w:hint="eastAsia" w:ascii="Times New Roman" w:hAnsi="Times New Roman" w:eastAsia="黑体" w:cs="Times New Roman"/>
          <w:spacing w:val="-2"/>
          <w:sz w:val="32"/>
          <w:szCs w:val="32"/>
          <w:lang w:val="en-US" w:eastAsia="zh-CN"/>
        </w:rPr>
        <w:t xml:space="preserve">     </w:t>
      </w:r>
      <w:r>
        <w:rPr>
          <w:rFonts w:hint="eastAsia" w:ascii="黑体" w:hAnsi="黑体" w:eastAsia="黑体" w:cs="黑体"/>
          <w:bCs/>
          <w:sz w:val="32"/>
          <w:szCs w:val="32"/>
          <w:lang w:val="en-US" w:eastAsia="zh-CN"/>
        </w:rPr>
        <w:t>无</w:t>
      </w:r>
    </w:p>
    <w:p w14:paraId="0F9CB99D">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49"/>
          <w:sz w:val="32"/>
          <w:szCs w:val="32"/>
        </w:rPr>
        <w:t xml:space="preserve"> </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none" w:color="auto"/>
        </w:rPr>
        <w:t>武汉市光谷第二十七小学</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1C1449DA">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1280" w:firstLineChars="400"/>
        <w:textAlignment w:val="baseline"/>
        <w:rPr>
          <w:rFonts w:hint="default"/>
          <w:lang w:val="en-US" w:eastAsia="zh-CN"/>
        </w:rPr>
      </w:pPr>
      <w:r>
        <w:rPr>
          <w:rFonts w:hint="eastAsia" w:ascii="黑体" w:hAnsi="黑体" w:eastAsia="黑体" w:cs="黑体"/>
          <w:bCs/>
          <w:sz w:val="32"/>
          <w:szCs w:val="32"/>
          <w:lang w:val="en-US" w:eastAsia="zh-CN"/>
        </w:rPr>
        <w:t>无</w:t>
      </w:r>
    </w:p>
    <w:p w14:paraId="2870E099">
      <w:pPr>
        <w:rPr>
          <w:rFonts w:hint="default" w:ascii="Times New Roman" w:hAnsi="Times New Roman" w:cs="Times New Roman"/>
          <w:lang w:val="en-US" w:eastAsia="zh-CN"/>
        </w:rPr>
      </w:pPr>
    </w:p>
    <w:p w14:paraId="7F40EA66">
      <w:pPr>
        <w:jc w:val="center"/>
        <w:outlineLvl w:val="0"/>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70D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2E53E">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72E53E">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F00A"/>
    <w:multiLevelType w:val="singleLevel"/>
    <w:tmpl w:val="8AC3F00A"/>
    <w:lvl w:ilvl="0" w:tentative="0">
      <w:start w:val="1"/>
      <w:numFmt w:val="decimal"/>
      <w:suff w:val="space"/>
      <w:lvlText w:val="%1."/>
      <w:lvlJc w:val="left"/>
    </w:lvl>
  </w:abstractNum>
  <w:abstractNum w:abstractNumId="1">
    <w:nsid w:val="D6777E05"/>
    <w:multiLevelType w:val="singleLevel"/>
    <w:tmpl w:val="D6777E05"/>
    <w:lvl w:ilvl="0" w:tentative="0">
      <w:start w:val="2"/>
      <w:numFmt w:val="chineseCounting"/>
      <w:suff w:val="nothing"/>
      <w:lvlText w:val="%1、"/>
      <w:lvlJc w:val="left"/>
      <w:rPr>
        <w:rFonts w:hint="eastAsia"/>
      </w:rPr>
    </w:lvl>
  </w:abstractNum>
  <w:abstractNum w:abstractNumId="2">
    <w:nsid w:val="426097B3"/>
    <w:multiLevelType w:val="singleLevel"/>
    <w:tmpl w:val="426097B3"/>
    <w:lvl w:ilvl="0" w:tentative="0">
      <w:start w:val="3"/>
      <w:numFmt w:val="chineseCounting"/>
      <w:suff w:val="space"/>
      <w:lvlText w:val="第%1部分"/>
      <w:lvlJc w:val="left"/>
      <w:rPr>
        <w:rFonts w:hint="eastAsia"/>
      </w:rPr>
    </w:lvl>
  </w:abstractNum>
  <w:abstractNum w:abstractNumId="3">
    <w:nsid w:val="52B5F00A"/>
    <w:multiLevelType w:val="singleLevel"/>
    <w:tmpl w:val="52B5F00A"/>
    <w:lvl w:ilvl="0" w:tentative="0">
      <w:start w:val="7"/>
      <w:numFmt w:val="chineseCounting"/>
      <w:suff w:val="nothing"/>
      <w:lvlText w:val="%1、"/>
      <w:lvlJc w:val="left"/>
      <w:rPr>
        <w:rFonts w:hint="eastAsia"/>
      </w:rPr>
    </w:lvl>
  </w:abstractNum>
  <w:abstractNum w:abstractNumId="4">
    <w:nsid w:val="77E4C7AB"/>
    <w:multiLevelType w:val="singleLevel"/>
    <w:tmpl w:val="77E4C7AB"/>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A541DF"/>
    <w:rsid w:val="01D67B2E"/>
    <w:rsid w:val="02300604"/>
    <w:rsid w:val="02D8241D"/>
    <w:rsid w:val="02EC7E2F"/>
    <w:rsid w:val="0332621A"/>
    <w:rsid w:val="04D806FC"/>
    <w:rsid w:val="056D430E"/>
    <w:rsid w:val="061E4834"/>
    <w:rsid w:val="068838C2"/>
    <w:rsid w:val="069074E0"/>
    <w:rsid w:val="06A64F55"/>
    <w:rsid w:val="06CA277E"/>
    <w:rsid w:val="07180E92"/>
    <w:rsid w:val="07D5604C"/>
    <w:rsid w:val="08376635"/>
    <w:rsid w:val="084E7652"/>
    <w:rsid w:val="089839BA"/>
    <w:rsid w:val="08AC4379"/>
    <w:rsid w:val="08AC4A2E"/>
    <w:rsid w:val="08C711B3"/>
    <w:rsid w:val="08E92ED7"/>
    <w:rsid w:val="08FA50E4"/>
    <w:rsid w:val="09047D11"/>
    <w:rsid w:val="09880BAD"/>
    <w:rsid w:val="098F0D9D"/>
    <w:rsid w:val="0A1E6ACE"/>
    <w:rsid w:val="0A4F76B2"/>
    <w:rsid w:val="0AB43049"/>
    <w:rsid w:val="0B156206"/>
    <w:rsid w:val="0B381EF4"/>
    <w:rsid w:val="0B492353"/>
    <w:rsid w:val="0B552AA6"/>
    <w:rsid w:val="0BD643AC"/>
    <w:rsid w:val="0BDF15F4"/>
    <w:rsid w:val="0C19731F"/>
    <w:rsid w:val="0C2B15D0"/>
    <w:rsid w:val="0D851C9F"/>
    <w:rsid w:val="0DD24882"/>
    <w:rsid w:val="0E034A3B"/>
    <w:rsid w:val="0E3C04AA"/>
    <w:rsid w:val="0FE110E4"/>
    <w:rsid w:val="104B091B"/>
    <w:rsid w:val="117A5E54"/>
    <w:rsid w:val="127F112C"/>
    <w:rsid w:val="12FE3B58"/>
    <w:rsid w:val="13747DAA"/>
    <w:rsid w:val="13C26E64"/>
    <w:rsid w:val="14B051F1"/>
    <w:rsid w:val="14EF3F6B"/>
    <w:rsid w:val="15B84750"/>
    <w:rsid w:val="160C28FB"/>
    <w:rsid w:val="167F30CD"/>
    <w:rsid w:val="172355D3"/>
    <w:rsid w:val="19B249EF"/>
    <w:rsid w:val="19C83B53"/>
    <w:rsid w:val="19DE5CD3"/>
    <w:rsid w:val="1A0538E9"/>
    <w:rsid w:val="1A22449B"/>
    <w:rsid w:val="1B2466E5"/>
    <w:rsid w:val="1BDD71BF"/>
    <w:rsid w:val="1C0E2A35"/>
    <w:rsid w:val="1C817790"/>
    <w:rsid w:val="1D874BED"/>
    <w:rsid w:val="1DCD7D00"/>
    <w:rsid w:val="1DFC3C33"/>
    <w:rsid w:val="1E0E7E46"/>
    <w:rsid w:val="1E487669"/>
    <w:rsid w:val="1E961DBC"/>
    <w:rsid w:val="1EE21DA7"/>
    <w:rsid w:val="1F3C5B49"/>
    <w:rsid w:val="1F447C08"/>
    <w:rsid w:val="20017382"/>
    <w:rsid w:val="21676B90"/>
    <w:rsid w:val="21961EB7"/>
    <w:rsid w:val="21A05F7E"/>
    <w:rsid w:val="21E1216B"/>
    <w:rsid w:val="21FD7766"/>
    <w:rsid w:val="22F94D29"/>
    <w:rsid w:val="2320592D"/>
    <w:rsid w:val="23511F46"/>
    <w:rsid w:val="23A23091"/>
    <w:rsid w:val="24286B52"/>
    <w:rsid w:val="245931AF"/>
    <w:rsid w:val="25210113"/>
    <w:rsid w:val="252A6A53"/>
    <w:rsid w:val="286B525F"/>
    <w:rsid w:val="28A65FBE"/>
    <w:rsid w:val="28E42D37"/>
    <w:rsid w:val="292559B5"/>
    <w:rsid w:val="298B4856"/>
    <w:rsid w:val="29BC178D"/>
    <w:rsid w:val="29EF684D"/>
    <w:rsid w:val="2A671E49"/>
    <w:rsid w:val="2A857986"/>
    <w:rsid w:val="2ABE1FBE"/>
    <w:rsid w:val="2B0D536E"/>
    <w:rsid w:val="2BD110BD"/>
    <w:rsid w:val="2BE83F94"/>
    <w:rsid w:val="2BF42D02"/>
    <w:rsid w:val="2BF7779C"/>
    <w:rsid w:val="2C387B4E"/>
    <w:rsid w:val="2C482942"/>
    <w:rsid w:val="2C9D7207"/>
    <w:rsid w:val="2D265BF9"/>
    <w:rsid w:val="2DF31F7F"/>
    <w:rsid w:val="2E516CA5"/>
    <w:rsid w:val="2E895490"/>
    <w:rsid w:val="2F234AE5"/>
    <w:rsid w:val="2F8119D0"/>
    <w:rsid w:val="2F923A19"/>
    <w:rsid w:val="2FBA4969"/>
    <w:rsid w:val="2FF36512"/>
    <w:rsid w:val="30C23E8A"/>
    <w:rsid w:val="310F0981"/>
    <w:rsid w:val="312B1A2F"/>
    <w:rsid w:val="315D1CB9"/>
    <w:rsid w:val="31793BD7"/>
    <w:rsid w:val="31963D24"/>
    <w:rsid w:val="31E00383"/>
    <w:rsid w:val="31E32C79"/>
    <w:rsid w:val="32214672"/>
    <w:rsid w:val="32B32FBF"/>
    <w:rsid w:val="330469DC"/>
    <w:rsid w:val="334E5EA9"/>
    <w:rsid w:val="34491A66"/>
    <w:rsid w:val="34555255"/>
    <w:rsid w:val="34C51A78"/>
    <w:rsid w:val="34EA2EB6"/>
    <w:rsid w:val="34F62908"/>
    <w:rsid w:val="353B695E"/>
    <w:rsid w:val="367900AF"/>
    <w:rsid w:val="36D1680F"/>
    <w:rsid w:val="371D3482"/>
    <w:rsid w:val="37256F21"/>
    <w:rsid w:val="38244305"/>
    <w:rsid w:val="385E0D29"/>
    <w:rsid w:val="390037A2"/>
    <w:rsid w:val="392534B4"/>
    <w:rsid w:val="39F72424"/>
    <w:rsid w:val="3A7527C3"/>
    <w:rsid w:val="3A7A797D"/>
    <w:rsid w:val="3A7D77A0"/>
    <w:rsid w:val="3C06211F"/>
    <w:rsid w:val="3C411FBF"/>
    <w:rsid w:val="3C4F2C50"/>
    <w:rsid w:val="3CF74EBC"/>
    <w:rsid w:val="3DA60130"/>
    <w:rsid w:val="3F5900B0"/>
    <w:rsid w:val="3FC337AF"/>
    <w:rsid w:val="40586425"/>
    <w:rsid w:val="40CB0B39"/>
    <w:rsid w:val="412C1CD5"/>
    <w:rsid w:val="42567B96"/>
    <w:rsid w:val="4268313C"/>
    <w:rsid w:val="43731A15"/>
    <w:rsid w:val="43DA5B87"/>
    <w:rsid w:val="441A605F"/>
    <w:rsid w:val="44AF7362"/>
    <w:rsid w:val="44C60C63"/>
    <w:rsid w:val="453C2005"/>
    <w:rsid w:val="454C7865"/>
    <w:rsid w:val="45594965"/>
    <w:rsid w:val="45F238A2"/>
    <w:rsid w:val="467E1CDE"/>
    <w:rsid w:val="473F6691"/>
    <w:rsid w:val="4787624B"/>
    <w:rsid w:val="487970CD"/>
    <w:rsid w:val="49312BD1"/>
    <w:rsid w:val="4A196CF5"/>
    <w:rsid w:val="4AE51E4D"/>
    <w:rsid w:val="4B53235D"/>
    <w:rsid w:val="4B6405A5"/>
    <w:rsid w:val="4BA32BF6"/>
    <w:rsid w:val="4BC00855"/>
    <w:rsid w:val="4BF00150"/>
    <w:rsid w:val="4C746661"/>
    <w:rsid w:val="4C8C3F07"/>
    <w:rsid w:val="4D555CB1"/>
    <w:rsid w:val="4D7D140D"/>
    <w:rsid w:val="4D8C493C"/>
    <w:rsid w:val="4DCC28BC"/>
    <w:rsid w:val="4DDC431E"/>
    <w:rsid w:val="4EB40E5E"/>
    <w:rsid w:val="4EB6244B"/>
    <w:rsid w:val="4F4915A7"/>
    <w:rsid w:val="4FD95020"/>
    <w:rsid w:val="50055C55"/>
    <w:rsid w:val="502E3F4E"/>
    <w:rsid w:val="5043249A"/>
    <w:rsid w:val="510A120A"/>
    <w:rsid w:val="524B3888"/>
    <w:rsid w:val="529C2335"/>
    <w:rsid w:val="52A20B54"/>
    <w:rsid w:val="52F201A7"/>
    <w:rsid w:val="536270DB"/>
    <w:rsid w:val="53D83941"/>
    <w:rsid w:val="542F756E"/>
    <w:rsid w:val="54777E46"/>
    <w:rsid w:val="54D73AF9"/>
    <w:rsid w:val="54FA3C0B"/>
    <w:rsid w:val="55B61960"/>
    <w:rsid w:val="569713D9"/>
    <w:rsid w:val="56B54E07"/>
    <w:rsid w:val="57327F9E"/>
    <w:rsid w:val="579D3ADC"/>
    <w:rsid w:val="57B31914"/>
    <w:rsid w:val="590B5B1F"/>
    <w:rsid w:val="592071BA"/>
    <w:rsid w:val="592B7F6F"/>
    <w:rsid w:val="59997F3C"/>
    <w:rsid w:val="59D90591"/>
    <w:rsid w:val="5B0A0784"/>
    <w:rsid w:val="5C1B368A"/>
    <w:rsid w:val="5C4C62B6"/>
    <w:rsid w:val="5CB675C4"/>
    <w:rsid w:val="5CD262AE"/>
    <w:rsid w:val="5DE402B6"/>
    <w:rsid w:val="5E111E29"/>
    <w:rsid w:val="5E3F6694"/>
    <w:rsid w:val="5E4B613F"/>
    <w:rsid w:val="5ED97AB4"/>
    <w:rsid w:val="5F411371"/>
    <w:rsid w:val="5F465B03"/>
    <w:rsid w:val="5FEC3E54"/>
    <w:rsid w:val="604A5C2C"/>
    <w:rsid w:val="604F397F"/>
    <w:rsid w:val="608A5EC3"/>
    <w:rsid w:val="62505B15"/>
    <w:rsid w:val="62C17492"/>
    <w:rsid w:val="62D358FF"/>
    <w:rsid w:val="62F51C0D"/>
    <w:rsid w:val="639835A3"/>
    <w:rsid w:val="63A23524"/>
    <w:rsid w:val="645B3DFE"/>
    <w:rsid w:val="646A2293"/>
    <w:rsid w:val="65566374"/>
    <w:rsid w:val="65C633A0"/>
    <w:rsid w:val="65F9255A"/>
    <w:rsid w:val="664F317F"/>
    <w:rsid w:val="6664247F"/>
    <w:rsid w:val="667C5966"/>
    <w:rsid w:val="687B3694"/>
    <w:rsid w:val="6945507D"/>
    <w:rsid w:val="69E20B1E"/>
    <w:rsid w:val="6A687015"/>
    <w:rsid w:val="6A830B1E"/>
    <w:rsid w:val="6AB204F0"/>
    <w:rsid w:val="6AD3138B"/>
    <w:rsid w:val="6B6066A7"/>
    <w:rsid w:val="6B8342AA"/>
    <w:rsid w:val="6BB34631"/>
    <w:rsid w:val="6CA36342"/>
    <w:rsid w:val="6CE65DDF"/>
    <w:rsid w:val="6D745521"/>
    <w:rsid w:val="6DA422E5"/>
    <w:rsid w:val="6DAC7479"/>
    <w:rsid w:val="6EB03442"/>
    <w:rsid w:val="6EBC193D"/>
    <w:rsid w:val="6EE40EFC"/>
    <w:rsid w:val="6F7255DA"/>
    <w:rsid w:val="6F867125"/>
    <w:rsid w:val="6FA755CF"/>
    <w:rsid w:val="70695A07"/>
    <w:rsid w:val="70846AFD"/>
    <w:rsid w:val="70A64653"/>
    <w:rsid w:val="70D51C49"/>
    <w:rsid w:val="70E57BE1"/>
    <w:rsid w:val="70FC4273"/>
    <w:rsid w:val="712F1C79"/>
    <w:rsid w:val="71940950"/>
    <w:rsid w:val="72165809"/>
    <w:rsid w:val="72614EAD"/>
    <w:rsid w:val="731510AC"/>
    <w:rsid w:val="738F7621"/>
    <w:rsid w:val="73B452D9"/>
    <w:rsid w:val="73B7347A"/>
    <w:rsid w:val="73D97F55"/>
    <w:rsid w:val="73F15019"/>
    <w:rsid w:val="73F41B79"/>
    <w:rsid w:val="74143FCA"/>
    <w:rsid w:val="741C4C2C"/>
    <w:rsid w:val="749073E1"/>
    <w:rsid w:val="767D6EE6"/>
    <w:rsid w:val="769211D6"/>
    <w:rsid w:val="76B94AFE"/>
    <w:rsid w:val="77450125"/>
    <w:rsid w:val="77CA6886"/>
    <w:rsid w:val="79205E80"/>
    <w:rsid w:val="7A0B4A67"/>
    <w:rsid w:val="7AD16771"/>
    <w:rsid w:val="7AD63D87"/>
    <w:rsid w:val="7BED5740"/>
    <w:rsid w:val="7CC9327A"/>
    <w:rsid w:val="7CF130FA"/>
    <w:rsid w:val="7D496A92"/>
    <w:rsid w:val="7D6C6800"/>
    <w:rsid w:val="7EB91320"/>
    <w:rsid w:val="7EE12780"/>
    <w:rsid w:val="7F431462"/>
    <w:rsid w:val="7FE27CE5"/>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2697503069996"/>
          <c:y val="0.0567010309278351"/>
          <c:w val="0.884076954564061"/>
          <c:h val="0.701907216494845"/>
        </c:manualLayout>
      </c:layout>
      <c:barChart>
        <c:barDir val="col"/>
        <c:grouping val="clustered"/>
        <c:varyColors val="0"/>
        <c:ser>
          <c:idx val="0"/>
          <c:order val="0"/>
          <c:tx>
            <c:strRef>
              <c:f>Sheet1!$A$2</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2023年收支</c:v>
                </c:pt>
                <c:pt idx="1">
                  <c:v>2024年收支</c:v>
                </c:pt>
              </c:strCache>
            </c:strRef>
          </c:cat>
          <c:val>
            <c:numRef>
              <c:f>Sheet1!$B$2:$C$2</c:f>
              <c:numCache>
                <c:formatCode>General</c:formatCode>
                <c:ptCount val="2"/>
                <c:pt idx="0">
                  <c:v>1033.18</c:v>
                </c:pt>
                <c:pt idx="1" c:formatCode="#,##0.00">
                  <c:v>1467.17</c:v>
                </c:pt>
              </c:numCache>
            </c:numRef>
          </c:val>
        </c:ser>
        <c:dLbls>
          <c:showLegendKey val="0"/>
          <c:showVal val="0"/>
          <c:showCatName val="0"/>
          <c:showSerName val="0"/>
          <c:showPercent val="0"/>
          <c:showBubbleSize val="0"/>
        </c:dLbls>
        <c:gapWidth val="246"/>
        <c:overlap val="-28"/>
        <c:axId val="795489652"/>
        <c:axId val="140715925"/>
      </c:barChart>
      <c:catAx>
        <c:axId val="7954896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715925"/>
        <c:crosses val="autoZero"/>
        <c:auto val="1"/>
        <c:lblAlgn val="ctr"/>
        <c:lblOffset val="100"/>
        <c:noMultiLvlLbl val="0"/>
      </c:catAx>
      <c:valAx>
        <c:axId val="14071592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4896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baceb7-827d-43f7-984a-8703d3a03a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c:explosion val="0"/>
          <c:dPt>
            <c:idx val="0"/>
            <c:bubble3D val="0"/>
            <c:spPr>
              <a:solidFill>
                <a:schemeClr val="accent5"/>
              </a:solidFill>
              <a:ln w="25400">
                <a:solidFill>
                  <a:schemeClr val="lt1"/>
                </a:solidFill>
              </a:ln>
              <a:effectLst/>
            </c:spPr>
          </c:dPt>
          <c:dPt>
            <c:idx val="1"/>
            <c:bubble3D val="0"/>
            <c:spPr>
              <a:solidFill>
                <a:schemeClr val="accent2"/>
              </a:solidFill>
              <a:ln w="2540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1371.36</c:v>
                </c:pt>
                <c:pt idx="1">
                  <c:v>95.09</c:v>
                </c:pt>
              </c:numCache>
            </c:numRef>
          </c:val>
        </c:ser>
        <c:dLbls>
          <c:showLegendKey val="0"/>
          <c:showVal val="0"/>
          <c:showCatName val="0"/>
          <c:showSerName val="0"/>
          <c:showPercent val="1"/>
          <c:showBubbleSize val="0"/>
        </c:dLbls>
      </c:pie3DChart>
      <c:spPr>
        <a:noFill/>
        <a:ln>
          <a:noFill/>
        </a:ln>
        <a:effectLst/>
      </c:spPr>
    </c:plotArea>
    <c:legend>
      <c:legendPos val="b"/>
      <c:layout>
        <c:manualLayout>
          <c:xMode val="edge"/>
          <c:yMode val="edge"/>
          <c:x val="0.317238679368394"/>
          <c:y val="0.878941742383752"/>
          <c:w val="0.380138327025969"/>
          <c:h val="0.08898984500267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1e780a-d30a-4878-b77d-27a43159edab}"/>
      </c:ext>
    </c:extLst>
  </c:chart>
  <c:spPr>
    <a:no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900"/>
              <a:t>单位：万元</a:t>
            </a:r>
            <a:endParaRPr sz="900"/>
          </a:p>
        </c:rich>
      </c:tx>
      <c:layout>
        <c:manualLayout>
          <c:xMode val="edge"/>
          <c:yMode val="edge"/>
          <c:x val="0.75717364946787"/>
          <c:y val="0.135853514471353"/>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750" b="0" i="0" u="none" strike="noStrike" kern="1200" baseline="0">
                        <a:solidFill>
                          <a:schemeClr val="tx1">
                            <a:lumMod val="75000"/>
                            <a:lumOff val="25000"/>
                          </a:schemeClr>
                        </a:solidFill>
                        <a:latin typeface="+mn-lt"/>
                        <a:ea typeface="+mn-ea"/>
                        <a:cs typeface="+mn-cs"/>
                      </a:defRPr>
                    </a:pPr>
                    <a:r>
                      <a:t>105.9 </a:t>
                    </a:r>
                  </a:p>
                </c:rich>
              </c:tx>
              <c:dLblPos val="inEnd"/>
              <c:showLegendKey val="0"/>
              <c:showVal val="1"/>
              <c:showCatName val="0"/>
              <c:showSerName val="0"/>
              <c:showPercent val="0"/>
              <c:showBubbleSize val="0"/>
              <c:extLst>
                <c:ext xmlns:c15="http://schemas.microsoft.com/office/drawing/2012/chart" uri="{CE6537A1-D6FC-4f65-9D91-7224C49458BB}"/>
              </c:extLst>
            </c:dLbl>
            <c:numFmt formatCode="#,##0.00_);[Red]\(#,##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1361.27</c:v>
                </c:pt>
                <c:pt idx="1">
                  <c:v>105.9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18712111006332"/>
          <c:y val="0.362965150620201"/>
          <c:w val="0.19614711033275"/>
          <c:h val="0.461606615475487"/>
        </c:manualLayout>
      </c:layout>
      <c:overlay val="0"/>
      <c:spPr>
        <a:no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f5f38f-49a3-4e96-900f-3c044d31e1f3}"/>
      </c:ext>
    </c:extLst>
  </c:chart>
  <c:spPr>
    <a:solidFill>
      <a:schemeClr val="bg1"/>
    </a:solidFill>
    <a:ln w="9525" cap="flat" cmpd="sng" algn="ctr">
      <a:noFill/>
      <a:round/>
    </a:ln>
    <a:effectLst/>
  </c:spPr>
  <c:txPr>
    <a:bodyPr/>
    <a:lstStyle/>
    <a:p>
      <a:pPr>
        <a:defRPr lang="zh-CN" sz="75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财政拨款总收入（万元）</c:v>
                </c:pt>
              </c:strCache>
            </c:strRef>
          </c:tx>
          <c:spPr>
            <a:ln w="28575" cap="rnd">
              <a:solidFill>
                <a:schemeClr val="accent1"/>
              </a:solidFill>
              <a:round/>
            </a:ln>
            <a:effectLst/>
          </c:spPr>
          <c:marker>
            <c:symbol val="none"/>
          </c:marker>
          <c:dLbls>
            <c:delete val="1"/>
          </c:dLbls>
          <c:cat>
            <c:strRef>
              <c:f>Sheet1!$A$2:$A$3</c:f>
              <c:strCache>
                <c:ptCount val="2"/>
                <c:pt idx="0">
                  <c:v>2023年度</c:v>
                </c:pt>
                <c:pt idx="1">
                  <c:v>2024年度</c:v>
                </c:pt>
              </c:strCache>
            </c:strRef>
          </c:cat>
          <c:val>
            <c:numRef>
              <c:f>Sheet1!$B$2:$B$3</c:f>
              <c:numCache>
                <c:formatCode>General</c:formatCode>
                <c:ptCount val="2"/>
                <c:pt idx="0">
                  <c:v>955.08</c:v>
                </c:pt>
                <c:pt idx="1">
                  <c:v>1371.36</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strRef>
              <c:f>Sheet1!$A$2:$A$3</c:f>
              <c:strCache>
                <c:ptCount val="2"/>
                <c:pt idx="0">
                  <c:v>2023年度</c:v>
                </c:pt>
                <c:pt idx="1">
                  <c:v>2024年度</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2023年度</c:v>
                </c:pt>
                <c:pt idx="1">
                  <c:v>2024年度</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996371674"/>
        <c:axId val="586557504"/>
      </c:lineChart>
      <c:catAx>
        <c:axId val="9963716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6557504"/>
        <c:crosses val="autoZero"/>
        <c:auto val="1"/>
        <c:lblAlgn val="ctr"/>
        <c:lblOffset val="100"/>
        <c:noMultiLvlLbl val="0"/>
      </c:catAx>
      <c:valAx>
        <c:axId val="5865575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371674"/>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887f09-473f-41da-8e13-4f612a8a85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4302</Words>
  <Characters>4797</Characters>
  <Lines>0</Lines>
  <Paragraphs>0</Paragraphs>
  <TotalTime>0</TotalTime>
  <ScaleCrop>false</ScaleCrop>
  <LinksUpToDate>false</LinksUpToDate>
  <CharactersWithSpaces>4875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miss苏小彤</cp:lastModifiedBy>
  <cp:lastPrinted>2025-08-20T07:46:00Z</cp:lastPrinted>
  <dcterms:modified xsi:type="dcterms:W3CDTF">2025-09-14T08:53:32Z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eyJoZGlkIjoiOTNlMjVlN2M4MjU3NTYyZTcwMzNjZGE5ZWE1ZjhlOTEiLCJ1c2VySWQiOiIyNjExMDc3OTcifQ==</vt:lpwstr>
  </property>
</Properties>
</file>