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0"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spacing w:before="156" w:line="221" w:lineRule="auto"/>
        <w:ind w:right="20"/>
        <w:jc w:val="center"/>
        <w:rPr>
          <w:rFonts w:hint="default" w:ascii="Times New Roman" w:hAnsi="Times New Roman" w:eastAsia="方正小标宋简体" w:cs="Times New Roman"/>
          <w:spacing w:val="0"/>
          <w:w w:val="100"/>
          <w:position w:val="0"/>
          <w:sz w:val="44"/>
          <w:szCs w:val="44"/>
          <w:u w:val="none" w:color="auto"/>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default" w:ascii="Times New Roman" w:hAnsi="Times New Roman" w:eastAsia="方正小标宋简体" w:cs="Times New Roman"/>
          <w:spacing w:val="0"/>
          <w:w w:val="100"/>
          <w:position w:val="0"/>
          <w:sz w:val="44"/>
          <w:szCs w:val="44"/>
          <w:u w:val="none" w:color="auto"/>
        </w:rPr>
        <w:t>武汉市光谷豹子溪小学</w:t>
      </w:r>
    </w:p>
    <w:p>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部门决算公开</w:t>
      </w:r>
    </w:p>
    <w:p>
      <w:pPr>
        <w:spacing w:line="241" w:lineRule="auto"/>
        <w:jc w:val="center"/>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4"/>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pPr>
        <w:spacing w:line="280" w:lineRule="auto"/>
        <w:rPr>
          <w:rFonts w:hint="default" w:ascii="Times New Roman" w:hAnsi="Times New Roman" w:cs="Times New Roman"/>
          <w:spacing w:val="0"/>
          <w:w w:val="100"/>
          <w:position w:val="0"/>
          <w:sz w:val="21"/>
        </w:rPr>
      </w:pPr>
    </w:p>
    <w:p>
      <w:pPr>
        <w:pStyle w:val="2"/>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 xml:space="preserve"> 部门名称</w:t>
      </w:r>
      <w:r>
        <w:rPr>
          <w:rFonts w:hint="default" w:ascii="Times New Roman" w:hAnsi="Times New Roman" w:eastAsia="黑体" w:cs="Times New Roman"/>
          <w:spacing w:val="0"/>
          <w:w w:val="100"/>
          <w:position w:val="0"/>
          <w:sz w:val="32"/>
          <w:szCs w:val="32"/>
        </w:rPr>
        <w:t>概况</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部门名称</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部门名称</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default" w:ascii="Times New Roman" w:hAnsi="Times New Roman" w:eastAsia="方正小标宋简体" w:cs="Times New Roman"/>
          <w:spacing w:val="0"/>
          <w:w w:val="100"/>
          <w:position w:val="0"/>
          <w:sz w:val="44"/>
          <w:szCs w:val="44"/>
          <w:u w:val="single" w:color="auto"/>
        </w:rPr>
        <w:t>武汉市光谷豹子溪小学</w:t>
      </w:r>
      <w:r>
        <w:rPr>
          <w:rFonts w:hint="default" w:ascii="Times New Roman" w:hAnsi="Times New Roman" w:eastAsia="方正小标宋简体" w:cs="Times New Roman"/>
          <w:spacing w:val="0"/>
          <w:w w:val="100"/>
          <w:position w:val="0"/>
          <w:sz w:val="44"/>
          <w:szCs w:val="44"/>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pPr>
        <w:keepNext w:val="0"/>
        <w:keepLines w:val="0"/>
        <w:pageBreakBefore w:val="0"/>
        <w:wordWrap/>
        <w:overflowPunct/>
        <w:topLinePunct w:val="0"/>
        <w:bidi w:val="0"/>
        <w:adjustRightInd w:val="0"/>
        <w:snapToGrid w:val="0"/>
        <w:spacing w:line="240" w:lineRule="auto"/>
        <w:ind w:left="0" w:firstLine="640" w:firstLineChars="200"/>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pacing w:val="0"/>
          <w:w w:val="100"/>
          <w:position w:val="0"/>
          <w:sz w:val="32"/>
          <w:szCs w:val="32"/>
          <w:lang w:val="en-US" w:eastAsia="zh-CN"/>
        </w:rPr>
        <w:t>贯彻国家、省、市、区教育方针政策，承担实施初中、小学阶段义务教育任务，促进基础教育发展，完成上级有关部门交办的其他相关工作。</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pPr>
        <w:pStyle w:val="2"/>
        <w:rPr>
          <w:rFonts w:hint="default" w:ascii="Times New Roman" w:hAnsi="Times New Roman" w:eastAsia="仿宋_GB2312" w:cs="Times New Roman"/>
          <w:b/>
          <w:bCs/>
          <w:spacing w:val="0"/>
          <w:w w:val="100"/>
          <w:position w:val="0"/>
          <w:sz w:val="32"/>
          <w:szCs w:val="32"/>
          <w:lang w:eastAsia="zh-CN"/>
        </w:rPr>
      </w:pPr>
      <w:r>
        <w:rPr>
          <w:rFonts w:hint="default" w:ascii="Times New Roman" w:hAnsi="Times New Roman" w:eastAsia="仿宋_GB2312" w:cs="Times New Roman"/>
          <w:spacing w:val="0"/>
          <w:w w:val="100"/>
          <w:position w:val="0"/>
          <w:sz w:val="32"/>
          <w:szCs w:val="32"/>
        </w:rPr>
        <w:t>从单位构成看，武汉市光谷豹子溪小学部门决算由实行独立核算的武汉市光谷豹子溪小学本级决算组成。</w:t>
      </w: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2"/>
        <w:rPr>
          <w:rFonts w:hint="default"/>
          <w:lang w:eastAsia="zh-CN"/>
        </w:rPr>
      </w:pPr>
    </w:p>
    <w:p>
      <w:pPr>
        <w:rPr>
          <w:rFonts w:hint="default"/>
          <w:lang w:eastAsia="zh-CN"/>
        </w:rPr>
      </w:pPr>
    </w:p>
    <w:p>
      <w:pPr>
        <w:pStyle w:val="2"/>
        <w:rPr>
          <w:rFonts w:hint="default"/>
          <w:lang w:eastAsia="zh-CN"/>
        </w:rPr>
      </w:pPr>
    </w:p>
    <w:p>
      <w:pPr>
        <w:rPr>
          <w:rFonts w:hint="default"/>
          <w:lang w:eastAsia="zh-CN"/>
        </w:rPr>
      </w:pPr>
    </w:p>
    <w:p>
      <w:pPr>
        <w:pStyle w:val="2"/>
        <w:rPr>
          <w:rFonts w:hint="default"/>
          <w:lang w:eastAsia="zh-CN"/>
        </w:rPr>
      </w:pPr>
    </w:p>
    <w:p>
      <w:pPr>
        <w:rPr>
          <w:rFonts w:hint="default"/>
          <w:lang w:eastAsia="zh-CN"/>
        </w:rPr>
      </w:pPr>
    </w:p>
    <w:p>
      <w:pPr>
        <w:pStyle w:val="2"/>
        <w:rPr>
          <w:rFonts w:hint="default"/>
          <w:lang w:eastAsia="zh-CN"/>
        </w:rPr>
      </w:pPr>
    </w:p>
    <w:p>
      <w:pPr>
        <w:rPr>
          <w:rFonts w:hint="default"/>
          <w:lang w:eastAsia="zh-CN"/>
        </w:rPr>
      </w:pPr>
    </w:p>
    <w:p>
      <w:pPr>
        <w:pStyle w:val="2"/>
        <w:rPr>
          <w:rFonts w:hint="default"/>
          <w:lang w:eastAsia="zh-CN"/>
        </w:rPr>
      </w:pPr>
    </w:p>
    <w:p>
      <w:pPr>
        <w:pStyle w:val="2"/>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eastAsia" w:ascii="Times New Roman" w:hAnsi="Times New Roman" w:eastAsia="方正小标宋简体" w:cs="Times New Roman"/>
          <w:spacing w:val="0"/>
          <w:w w:val="100"/>
          <w:position w:val="0"/>
          <w:sz w:val="44"/>
          <w:szCs w:val="44"/>
          <w:u w:val="none" w:color="auto"/>
          <w:lang w:val="en-US" w:eastAsia="zh-CN"/>
        </w:rPr>
        <w:t>武汉市光谷豹子溪小学</w:t>
      </w:r>
      <w:r>
        <w:rPr>
          <w:rFonts w:hint="eastAsia" w:ascii="Times New Roman" w:hAnsi="Times New Roman" w:eastAsia="方正小标宋_GBK" w:cs="Times New Roman"/>
          <w:spacing w:val="-3"/>
          <w:sz w:val="44"/>
          <w:szCs w:val="44"/>
          <w:lang w:val="en-US" w:eastAsia="zh-CN"/>
        </w:rPr>
        <w:t>2</w:t>
      </w:r>
      <w:r>
        <w:rPr>
          <w:rFonts w:hint="default" w:ascii="Times New Roman" w:hAnsi="Times New Roman" w:eastAsia="方正小标宋_GBK" w:cs="Times New Roman"/>
          <w:spacing w:val="-3"/>
          <w:sz w:val="44"/>
          <w:szCs w:val="44"/>
        </w:rPr>
        <w:t>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28"/>
          <w:szCs w:val="28"/>
        </w:rPr>
      </w:pPr>
      <w:r>
        <w:rPr>
          <w:rFonts w:hint="default" w:ascii="Times New Roman" w:hAnsi="Times New Roman" w:eastAsia="黑体" w:cs="Times New Roman"/>
          <w:spacing w:val="0"/>
          <w:w w:val="100"/>
          <w:position w:val="0"/>
          <w:sz w:val="28"/>
          <w:szCs w:val="28"/>
        </w:rPr>
        <w:t>202</w:t>
      </w:r>
      <w:r>
        <w:rPr>
          <w:rFonts w:hint="eastAsia" w:ascii="Times New Roman" w:hAnsi="Times New Roman" w:eastAsia="黑体" w:cs="Times New Roman"/>
          <w:spacing w:val="0"/>
          <w:w w:val="100"/>
          <w:position w:val="0"/>
          <w:sz w:val="28"/>
          <w:szCs w:val="28"/>
          <w:lang w:val="en-US" w:eastAsia="zh-CN"/>
        </w:rPr>
        <w:t>4</w:t>
      </w:r>
      <w:r>
        <w:rPr>
          <w:rFonts w:hint="default" w:ascii="Times New Roman" w:hAnsi="Times New Roman" w:eastAsia="黑体" w:cs="Times New Roman"/>
          <w:spacing w:val="0"/>
          <w:w w:val="100"/>
          <w:position w:val="0"/>
          <w:sz w:val="28"/>
          <w:szCs w:val="28"/>
        </w:rPr>
        <w:t>年度收入支出决算总表</w:t>
      </w:r>
    </w:p>
    <w:p>
      <w:pPr>
        <w:pStyle w:val="2"/>
        <w:jc w:val="right"/>
        <w:rPr>
          <w:rFonts w:hint="default" w:ascii="Times New Roman" w:hAnsi="Times New Roman" w:eastAsia="仿宋_GB2312" w:cs="Times New Roman"/>
          <w:bCs/>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Cs/>
          <w:snapToGrid w:val="0"/>
          <w:color w:val="000000"/>
          <w:spacing w:val="0"/>
          <w:w w:val="100"/>
          <w:kern w:val="0"/>
          <w:position w:val="0"/>
          <w:sz w:val="24"/>
          <w:szCs w:val="24"/>
          <w:lang w:val="en-US" w:eastAsia="zh-CN" w:bidi="ar-SA"/>
        </w:rPr>
        <w:t>公开01表</w:t>
      </w:r>
    </w:p>
    <w:p>
      <w:pPr>
        <w:jc w:val="right"/>
        <w:rPr>
          <w:rFonts w:hint="default" w:ascii="Times New Roman" w:hAnsi="Times New Roman" w:eastAsia="仿宋_GB2312" w:cs="Times New Roman"/>
          <w:bCs/>
          <w:snapToGrid w:val="0"/>
          <w:color w:val="000000"/>
          <w:spacing w:val="0"/>
          <w:w w:val="100"/>
          <w:kern w:val="0"/>
          <w:position w:val="0"/>
          <w:sz w:val="24"/>
          <w:szCs w:val="24"/>
          <w:lang w:val="en-US" w:eastAsia="zh-CN" w:bidi="ar-SA"/>
        </w:rPr>
      </w:pPr>
      <w:r>
        <w:rPr>
          <w:rFonts w:hint="default" w:ascii="Times New Roman" w:hAnsi="Times New Roman" w:eastAsia="仿宋_GB2312" w:cs="Times New Roman"/>
          <w:bCs/>
          <w:snapToGrid w:val="0"/>
          <w:color w:val="000000"/>
          <w:spacing w:val="0"/>
          <w:w w:val="100"/>
          <w:kern w:val="0"/>
          <w:position w:val="0"/>
          <w:sz w:val="24"/>
          <w:szCs w:val="24"/>
          <w:lang w:val="en-US" w:eastAsia="zh-CN" w:bidi="ar-SA"/>
        </w:rPr>
        <w:t>部门：</w:t>
      </w:r>
      <w:r>
        <w:rPr>
          <w:rFonts w:hint="eastAsia" w:ascii="Times New Roman" w:hAnsi="Times New Roman" w:eastAsia="仿宋_GB2312" w:cs="Times New Roman"/>
          <w:bCs/>
          <w:snapToGrid w:val="0"/>
          <w:color w:val="000000"/>
          <w:spacing w:val="0"/>
          <w:w w:val="100"/>
          <w:kern w:val="0"/>
          <w:position w:val="0"/>
          <w:sz w:val="24"/>
          <w:szCs w:val="24"/>
          <w:lang w:val="en-US" w:eastAsia="zh-CN" w:bidi="ar-SA"/>
        </w:rPr>
        <w:t>武汉市光谷豹子溪小学</w:t>
      </w:r>
      <w:r>
        <w:rPr>
          <w:rFonts w:hint="default" w:ascii="Times New Roman" w:hAnsi="Times New Roman" w:eastAsia="仿宋_GB2312" w:cs="Times New Roman"/>
          <w:bCs/>
          <w:snapToGrid w:val="0"/>
          <w:color w:val="000000"/>
          <w:spacing w:val="0"/>
          <w:w w:val="100"/>
          <w:kern w:val="0"/>
          <w:position w:val="0"/>
          <w:sz w:val="24"/>
          <w:szCs w:val="24"/>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4"/>
          <w:szCs w:val="24"/>
          <w:lang w:val="en-US" w:eastAsia="zh-CN" w:bidi="ar-SA"/>
        </w:rPr>
        <w:t>万</w:t>
      </w:r>
      <w:r>
        <w:rPr>
          <w:rFonts w:hint="default" w:ascii="Times New Roman" w:hAnsi="Times New Roman" w:eastAsia="仿宋_GB2312" w:cs="Times New Roman"/>
          <w:bCs/>
          <w:snapToGrid w:val="0"/>
          <w:color w:val="000000"/>
          <w:spacing w:val="0"/>
          <w:w w:val="100"/>
          <w:kern w:val="0"/>
          <w:position w:val="0"/>
          <w:sz w:val="24"/>
          <w:szCs w:val="24"/>
          <w:lang w:val="en-US" w:eastAsia="zh-CN" w:bidi="ar-SA"/>
        </w:rPr>
        <w:t>元</w:t>
      </w:r>
    </w:p>
    <w:tbl>
      <w:tblPr>
        <w:tblStyle w:val="8"/>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09"/>
        <w:gridCol w:w="556"/>
        <w:gridCol w:w="1320"/>
        <w:gridCol w:w="3328"/>
        <w:gridCol w:w="704"/>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收入</w:t>
            </w:r>
          </w:p>
        </w:tc>
        <w:tc>
          <w:tcPr>
            <w:tcW w:w="5154"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项目</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行次</w:t>
            </w:r>
          </w:p>
        </w:tc>
        <w:tc>
          <w:tcPr>
            <w:tcW w:w="132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金额</w:t>
            </w: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项目</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行次</w:t>
            </w:r>
          </w:p>
        </w:tc>
        <w:tc>
          <w:tcPr>
            <w:tcW w:w="11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栏次</w:t>
            </w:r>
          </w:p>
        </w:tc>
        <w:tc>
          <w:tcPr>
            <w:tcW w:w="55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0"/>
                <w:szCs w:val="20"/>
                <w:u w:val="none"/>
              </w:rPr>
            </w:pPr>
          </w:p>
        </w:tc>
        <w:tc>
          <w:tcPr>
            <w:tcW w:w="132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栏次</w:t>
            </w:r>
          </w:p>
        </w:tc>
        <w:tc>
          <w:tcPr>
            <w:tcW w:w="70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0"/>
                <w:szCs w:val="20"/>
                <w:u w:val="none"/>
              </w:rPr>
            </w:pPr>
          </w:p>
        </w:tc>
        <w:tc>
          <w:tcPr>
            <w:tcW w:w="11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一、一般公共预算财政拨款收入</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b w:val="0"/>
                <w:i w:val="0"/>
                <w:color w:val="000000"/>
                <w:sz w:val="20"/>
                <w:szCs w:val="36"/>
                <w:lang w:val="en-US" w:eastAsia="zh-CN"/>
              </w:rPr>
              <w:t>1,904.36</w:t>
            </w: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一、一般公共服务支出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二、政府性基金预算财政拨款收入</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二、外交支出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三、国有资本经营预算财政拨款收入</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三、国防支出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四、上级补助收入</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四、公共安全支出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五、事业收入</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五、教育支出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8"/>
                <w:szCs w:val="28"/>
                <w:lang w:val="en-US" w:eastAsia="zh-CN" w:bidi="ar-SA"/>
              </w:rPr>
            </w:pPr>
            <w:r>
              <w:rPr>
                <w:rFonts w:hint="default" w:ascii="Times New Roman" w:hAnsi="Times New Roman" w:eastAsia="宋体" w:cs="Times New Roman"/>
                <w:b w:val="0"/>
                <w:i w:val="0"/>
                <w:color w:val="000000"/>
                <w:sz w:val="20"/>
                <w:szCs w:val="36"/>
                <w:lang w:val="en-US" w:eastAsia="zh-CN"/>
              </w:rPr>
              <w:t>1,895.04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六、经营收入</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六、科学技术支出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七、附属单位上缴收入</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七、文化旅游体育与传媒支出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八、其他收入</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b w:val="0"/>
                <w:i w:val="0"/>
                <w:color w:val="000000"/>
                <w:sz w:val="20"/>
                <w:szCs w:val="36"/>
                <w:lang w:val="en-US" w:eastAsia="zh-CN"/>
              </w:rPr>
              <w:t>131.42</w:t>
            </w: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八、社会保障和就业支出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8"/>
                <w:szCs w:val="28"/>
                <w:lang w:val="en-US" w:eastAsia="zh-CN" w:bidi="ar-SA"/>
              </w:rPr>
            </w:pPr>
            <w:r>
              <w:rPr>
                <w:rFonts w:hint="default" w:ascii="Times New Roman" w:hAnsi="Times New Roman" w:eastAsia="宋体" w:cs="Times New Roman"/>
                <w:b w:val="0"/>
                <w:i w:val="0"/>
                <w:color w:val="000000"/>
                <w:sz w:val="20"/>
                <w:szCs w:val="36"/>
                <w:lang w:val="en-US" w:eastAsia="zh-CN"/>
              </w:rPr>
              <w:t>140.74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九、卫生健康支出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十、节能环保支出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十一、城乡社区支出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十二、农林水支出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十三、交通运输支出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十四、资源勘探工业信息等支出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十五、商业服务业等支出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十六、金融支出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十七、援助其他地区支出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十八、自然资源海洋气象等支出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十九、住房保障支出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二十、粮油物资储备支出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二十一、国有资本经营预算支出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二十二、灾害防治及应急管理支出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二十三、其他支出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二十四、债务还本支出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二十五、债务付息支出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二十六、抗疫特别国债安排的支出</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本年收入合计</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b w:val="0"/>
                <w:i w:val="0"/>
                <w:color w:val="000000"/>
                <w:sz w:val="20"/>
                <w:szCs w:val="36"/>
                <w:lang w:val="en-US" w:eastAsia="zh-CN"/>
              </w:rPr>
              <w:t>2,035.78</w:t>
            </w: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本年支出合计</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r>
              <w:rPr>
                <w:rFonts w:hint="default" w:ascii="Times New Roman" w:hAnsi="Times New Roman" w:eastAsia="宋体" w:cs="Times New Roman"/>
                <w:b w:val="0"/>
                <w:i w:val="0"/>
                <w:color w:val="000000"/>
                <w:sz w:val="20"/>
                <w:szCs w:val="36"/>
                <w:lang w:val="en-US" w:eastAsia="zh-CN"/>
              </w:rPr>
              <w:t>2,035.78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使用非财政拨款结余</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结余分配</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年初结转和结余</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年末结转和结余</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lang w:val="en-US" w:eastAsia="zh-CN"/>
              </w:rPr>
            </w:pPr>
          </w:p>
        </w:tc>
        <w:tc>
          <w:tcPr>
            <w:tcW w:w="332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0"/>
                <w:szCs w:val="20"/>
                <w:u w:val="none"/>
              </w:rPr>
            </w:pP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1122" w:type="dxa"/>
            <w:shd w:val="clear" w:color="auto" w:fill="auto"/>
            <w:vAlign w:val="center"/>
          </w:tcPr>
          <w:p>
            <w:pPr>
              <w:jc w:val="center"/>
              <w:rPr>
                <w:rFonts w:hint="default" w:ascii="Times New Roman" w:hAnsi="Times New Roman" w:eastAsia="Arial" w:cs="Times New Roman"/>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50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总计</w:t>
            </w:r>
          </w:p>
        </w:tc>
        <w:tc>
          <w:tcPr>
            <w:tcW w:w="55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1320" w:type="dxa"/>
            <w:shd w:val="clear" w:color="auto" w:fill="auto"/>
            <w:vAlign w:val="center"/>
          </w:tcPr>
          <w:p>
            <w:pPr>
              <w:jc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b w:val="0"/>
                <w:i w:val="0"/>
                <w:color w:val="000000"/>
                <w:sz w:val="20"/>
                <w:szCs w:val="36"/>
                <w:lang w:val="en-US" w:eastAsia="zh-CN"/>
              </w:rPr>
              <w:t>2,035.78</w:t>
            </w:r>
          </w:p>
        </w:tc>
        <w:tc>
          <w:tcPr>
            <w:tcW w:w="332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总计</w:t>
            </w:r>
          </w:p>
        </w:tc>
        <w:tc>
          <w:tcPr>
            <w:tcW w:w="70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1122" w:type="dxa"/>
            <w:shd w:val="clear" w:color="auto" w:fill="auto"/>
            <w:vAlign w:val="center"/>
          </w:tcPr>
          <w:p>
            <w:pPr>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b w:val="0"/>
                <w:i w:val="0"/>
                <w:color w:val="000000"/>
                <w:sz w:val="20"/>
                <w:szCs w:val="36"/>
                <w:lang w:val="en-US" w:eastAsia="zh-CN"/>
              </w:rPr>
              <w:t>2035.78</w:t>
            </w:r>
          </w:p>
        </w:tc>
      </w:tr>
    </w:tbl>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pPr>
        <w:pStyle w:val="2"/>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武汉市光谷豹子溪小学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197"/>
        <w:gridCol w:w="1019"/>
        <w:gridCol w:w="1074"/>
        <w:gridCol w:w="872"/>
        <w:gridCol w:w="792"/>
        <w:gridCol w:w="792"/>
        <w:gridCol w:w="1279"/>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475"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19"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7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87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197"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1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7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9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1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7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97"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1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7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87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19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1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87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9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19" w:type="dxa"/>
            <w:shd w:val="clear" w:color="auto" w:fill="auto"/>
            <w:vAlign w:val="center"/>
          </w:tcPr>
          <w:p>
            <w:pPr>
              <w:jc w:val="right"/>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宋体" w:cs="Times New Roman"/>
                <w:b/>
                <w:i w:val="0"/>
                <w:color w:val="000000"/>
                <w:sz w:val="20"/>
                <w:szCs w:val="40"/>
                <w:lang w:val="en-US" w:eastAsia="zh-CN"/>
              </w:rPr>
              <w:t>2,035.78</w:t>
            </w:r>
          </w:p>
        </w:tc>
        <w:tc>
          <w:tcPr>
            <w:tcW w:w="1074" w:type="dxa"/>
            <w:shd w:val="clear" w:color="auto" w:fill="auto"/>
            <w:vAlign w:val="center"/>
          </w:tcPr>
          <w:p>
            <w:pPr>
              <w:jc w:val="right"/>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宋体" w:cs="Times New Roman"/>
                <w:b/>
                <w:i w:val="0"/>
                <w:color w:val="000000"/>
                <w:sz w:val="20"/>
                <w:szCs w:val="40"/>
                <w:lang w:val="en-US" w:eastAsia="zh-CN"/>
              </w:rPr>
              <w:t>1,904.36</w:t>
            </w:r>
          </w:p>
        </w:tc>
        <w:tc>
          <w:tcPr>
            <w:tcW w:w="872" w:type="dxa"/>
            <w:shd w:val="clear" w:color="auto" w:fill="auto"/>
            <w:vAlign w:val="center"/>
          </w:tcPr>
          <w:p>
            <w:pPr>
              <w:jc w:val="right"/>
              <w:rPr>
                <w:rFonts w:hint="default" w:ascii="Times New Roman" w:hAnsi="Times New Roman" w:eastAsia="宋体" w:cs="Times New Roman"/>
                <w:b/>
                <w:bCs/>
                <w:i w:val="0"/>
                <w:iCs w:val="0"/>
                <w:color w:val="000000"/>
                <w:sz w:val="40"/>
                <w:szCs w:val="40"/>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40"/>
                <w:szCs w:val="40"/>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40"/>
                <w:szCs w:val="40"/>
                <w:u w:val="none"/>
              </w:rPr>
            </w:pPr>
          </w:p>
        </w:tc>
        <w:tc>
          <w:tcPr>
            <w:tcW w:w="1279" w:type="dxa"/>
            <w:shd w:val="clear" w:color="auto" w:fill="auto"/>
            <w:vAlign w:val="center"/>
          </w:tcPr>
          <w:p>
            <w:pPr>
              <w:jc w:val="right"/>
              <w:rPr>
                <w:rFonts w:hint="default" w:ascii="Times New Roman" w:hAnsi="Times New Roman" w:eastAsia="宋体" w:cs="Times New Roman"/>
                <w:b/>
                <w:bCs/>
                <w:i w:val="0"/>
                <w:iCs w:val="0"/>
                <w:color w:val="000000"/>
                <w:sz w:val="40"/>
                <w:szCs w:val="40"/>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宋体" w:cs="Times New Roman"/>
                <w:b/>
                <w:i w:val="0"/>
                <w:color w:val="000000"/>
                <w:sz w:val="20"/>
                <w:szCs w:val="40"/>
                <w:lang w:val="en-US" w:eastAsia="zh-CN"/>
              </w:rPr>
              <w:t>131.42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8" w:type="dxa"/>
            <w:gridSpan w:val="3"/>
            <w:shd w:val="clear" w:color="auto" w:fill="auto"/>
            <w:vAlign w:val="center"/>
          </w:tcPr>
          <w:p>
            <w:pPr>
              <w:jc w:val="left"/>
              <w:rPr>
                <w:rFonts w:hint="default" w:ascii="Times New Roman" w:hAnsi="Times New Roman" w:eastAsia="宋体" w:cs="Times New Roman"/>
                <w:b w:val="0"/>
                <w:i w:val="0"/>
                <w:color w:val="000000"/>
                <w:sz w:val="18"/>
                <w:szCs w:val="36"/>
                <w:lang w:val="en-US" w:eastAsia="zh-CN"/>
              </w:rPr>
            </w:pPr>
            <w:r>
              <w:rPr>
                <w:rFonts w:hint="default" w:ascii="Times New Roman" w:hAnsi="Times New Roman" w:eastAsia="宋体" w:cs="Times New Roman"/>
                <w:b w:val="0"/>
                <w:i w:val="0"/>
                <w:color w:val="000000"/>
                <w:sz w:val="18"/>
                <w:szCs w:val="36"/>
                <w:lang w:val="en-US" w:eastAsia="zh-CN"/>
              </w:rPr>
              <w:t>2050202</w:t>
            </w:r>
          </w:p>
        </w:tc>
        <w:tc>
          <w:tcPr>
            <w:tcW w:w="1197" w:type="dxa"/>
            <w:shd w:val="clear" w:color="auto" w:fill="auto"/>
            <w:vAlign w:val="center"/>
          </w:tcPr>
          <w:p>
            <w:pPr>
              <w:jc w:val="left"/>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b w:val="0"/>
                <w:i w:val="0"/>
                <w:color w:val="000000"/>
                <w:sz w:val="18"/>
                <w:szCs w:val="36"/>
                <w:lang w:val="en-US" w:eastAsia="zh-CN"/>
              </w:rPr>
              <w:t>小学教育</w:t>
            </w:r>
          </w:p>
        </w:tc>
        <w:tc>
          <w:tcPr>
            <w:tcW w:w="1019"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b w:val="0"/>
                <w:i w:val="0"/>
                <w:color w:val="000000"/>
                <w:sz w:val="18"/>
                <w:szCs w:val="36"/>
                <w:lang w:val="en-US" w:eastAsia="zh-CN"/>
              </w:rPr>
              <w:t>1,895.04</w:t>
            </w:r>
          </w:p>
        </w:tc>
        <w:tc>
          <w:tcPr>
            <w:tcW w:w="1074"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b w:val="0"/>
                <w:i w:val="0"/>
                <w:color w:val="000000"/>
                <w:sz w:val="18"/>
                <w:szCs w:val="36"/>
                <w:lang w:val="en-US" w:eastAsia="zh-CN"/>
              </w:rPr>
              <w:t>1,763.62</w:t>
            </w:r>
          </w:p>
        </w:tc>
        <w:tc>
          <w:tcPr>
            <w:tcW w:w="872"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p>
        </w:tc>
        <w:tc>
          <w:tcPr>
            <w:tcW w:w="1279"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b w:val="0"/>
                <w:i w:val="0"/>
                <w:color w:val="000000"/>
                <w:sz w:val="18"/>
                <w:szCs w:val="36"/>
                <w:lang w:val="en-US" w:eastAsia="zh-CN"/>
              </w:rPr>
              <w:t>131.42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8" w:type="dxa"/>
            <w:gridSpan w:val="3"/>
            <w:shd w:val="clear" w:color="auto" w:fill="auto"/>
            <w:vAlign w:val="center"/>
          </w:tcPr>
          <w:p>
            <w:pPr>
              <w:jc w:val="left"/>
              <w:rPr>
                <w:rFonts w:hint="default" w:ascii="Times New Roman" w:hAnsi="Times New Roman" w:eastAsia="宋体" w:cs="Times New Roman"/>
                <w:b w:val="0"/>
                <w:i w:val="0"/>
                <w:color w:val="000000"/>
                <w:sz w:val="18"/>
                <w:szCs w:val="36"/>
                <w:lang w:val="en-US" w:eastAsia="zh-CN"/>
              </w:rPr>
            </w:pPr>
            <w:r>
              <w:rPr>
                <w:rFonts w:hint="default" w:ascii="Times New Roman" w:hAnsi="Times New Roman" w:eastAsia="宋体" w:cs="Times New Roman"/>
                <w:b w:val="0"/>
                <w:i w:val="0"/>
                <w:color w:val="000000"/>
                <w:sz w:val="18"/>
                <w:szCs w:val="36"/>
                <w:lang w:val="en-US" w:eastAsia="zh-CN"/>
              </w:rPr>
              <w:t>20805</w:t>
            </w:r>
          </w:p>
        </w:tc>
        <w:tc>
          <w:tcPr>
            <w:tcW w:w="1197" w:type="dxa"/>
            <w:shd w:val="clear" w:color="auto" w:fill="auto"/>
            <w:vAlign w:val="center"/>
          </w:tcPr>
          <w:p>
            <w:pPr>
              <w:jc w:val="left"/>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b w:val="0"/>
                <w:i w:val="0"/>
                <w:color w:val="000000"/>
                <w:sz w:val="18"/>
                <w:szCs w:val="36"/>
                <w:lang w:val="en-US" w:eastAsia="zh-CN"/>
              </w:rPr>
              <w:t>行政事业单位养老支出</w:t>
            </w:r>
          </w:p>
        </w:tc>
        <w:tc>
          <w:tcPr>
            <w:tcW w:w="1019"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b w:val="0"/>
                <w:i w:val="0"/>
                <w:color w:val="000000"/>
                <w:sz w:val="18"/>
                <w:szCs w:val="36"/>
                <w:lang w:val="en-US" w:eastAsia="zh-CN"/>
              </w:rPr>
              <w:t>140.74</w:t>
            </w:r>
          </w:p>
        </w:tc>
        <w:tc>
          <w:tcPr>
            <w:tcW w:w="1074"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r>
              <w:rPr>
                <w:rFonts w:hint="default" w:ascii="Times New Roman" w:hAnsi="Times New Roman" w:eastAsia="宋体" w:cs="Times New Roman"/>
                <w:b w:val="0"/>
                <w:i w:val="0"/>
                <w:color w:val="000000"/>
                <w:sz w:val="18"/>
                <w:szCs w:val="36"/>
                <w:lang w:val="en-US" w:eastAsia="zh-CN"/>
              </w:rPr>
              <w:t>140.74</w:t>
            </w:r>
          </w:p>
        </w:tc>
        <w:tc>
          <w:tcPr>
            <w:tcW w:w="872"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p>
        </w:tc>
        <w:tc>
          <w:tcPr>
            <w:tcW w:w="1279"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36"/>
                <w:szCs w:val="36"/>
                <w:u w:val="none"/>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pPr>
        <w:pStyle w:val="2"/>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武汉市光谷豹子溪小学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8"/>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382"/>
        <w:gridCol w:w="1315"/>
        <w:gridCol w:w="1008"/>
        <w:gridCol w:w="904"/>
        <w:gridCol w:w="904"/>
        <w:gridCol w:w="1223"/>
        <w:gridCol w:w="90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549"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0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34"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31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0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3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1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0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3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1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0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38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31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0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8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31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08"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2035.78</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1967.46</w:t>
            </w:r>
          </w:p>
        </w:tc>
        <w:tc>
          <w:tcPr>
            <w:tcW w:w="904"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68.32</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34" w:type="dxa"/>
            <w:gridSpan w:val="3"/>
            <w:shd w:val="clear" w:color="auto" w:fill="auto"/>
            <w:vAlign w:val="center"/>
          </w:tcPr>
          <w:p>
            <w:pPr>
              <w:jc w:val="lef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18"/>
                <w:szCs w:val="32"/>
                <w:lang w:val="en-US" w:eastAsia="zh-CN"/>
              </w:rPr>
              <w:t>2050202</w:t>
            </w:r>
          </w:p>
        </w:tc>
        <w:tc>
          <w:tcPr>
            <w:tcW w:w="1315" w:type="dxa"/>
            <w:shd w:val="clear" w:color="auto" w:fill="auto"/>
            <w:vAlign w:val="center"/>
          </w:tcPr>
          <w:p>
            <w:pPr>
              <w:jc w:val="lef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18"/>
                <w:szCs w:val="32"/>
                <w:lang w:val="en-US" w:eastAsia="zh-CN"/>
              </w:rPr>
              <w:t>小学教育</w:t>
            </w:r>
          </w:p>
        </w:tc>
        <w:tc>
          <w:tcPr>
            <w:tcW w:w="1008"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18"/>
                <w:szCs w:val="32"/>
                <w:lang w:val="en-US" w:eastAsia="zh-CN"/>
              </w:rPr>
              <w:t>1,895.04</w:t>
            </w:r>
          </w:p>
        </w:tc>
        <w:tc>
          <w:tcPr>
            <w:tcW w:w="904"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18"/>
                <w:szCs w:val="32"/>
                <w:lang w:val="en-US" w:eastAsia="zh-CN"/>
              </w:rPr>
              <w:t>1,826.72</w:t>
            </w:r>
          </w:p>
        </w:tc>
        <w:tc>
          <w:tcPr>
            <w:tcW w:w="904"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18"/>
                <w:szCs w:val="32"/>
                <w:lang w:val="en-US" w:eastAsia="zh-CN"/>
              </w:rPr>
              <w:t>68.32</w:t>
            </w:r>
          </w:p>
        </w:tc>
        <w:tc>
          <w:tcPr>
            <w:tcW w:w="1223"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p>
        </w:tc>
        <w:tc>
          <w:tcPr>
            <w:tcW w:w="905"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p>
        </w:tc>
        <w:tc>
          <w:tcPr>
            <w:tcW w:w="1703"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34" w:type="dxa"/>
            <w:gridSpan w:val="3"/>
            <w:shd w:val="clear" w:color="auto" w:fill="auto"/>
            <w:vAlign w:val="center"/>
          </w:tcPr>
          <w:p>
            <w:pPr>
              <w:jc w:val="lef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18"/>
                <w:szCs w:val="32"/>
                <w:lang w:val="en-US" w:eastAsia="zh-CN"/>
              </w:rPr>
              <w:t>2080505</w:t>
            </w:r>
          </w:p>
        </w:tc>
        <w:tc>
          <w:tcPr>
            <w:tcW w:w="1315" w:type="dxa"/>
            <w:shd w:val="clear" w:color="auto" w:fill="auto"/>
            <w:vAlign w:val="center"/>
          </w:tcPr>
          <w:p>
            <w:pPr>
              <w:jc w:val="lef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18"/>
                <w:szCs w:val="32"/>
                <w:lang w:val="en-US" w:eastAsia="zh-CN"/>
              </w:rPr>
              <w:t>机关事业单位基本养老保险缴费支出</w:t>
            </w:r>
          </w:p>
        </w:tc>
        <w:tc>
          <w:tcPr>
            <w:tcW w:w="1008"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18"/>
                <w:szCs w:val="32"/>
                <w:lang w:val="en-US" w:eastAsia="zh-CN"/>
              </w:rPr>
              <w:t>140.74</w:t>
            </w:r>
          </w:p>
        </w:tc>
        <w:tc>
          <w:tcPr>
            <w:tcW w:w="904"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18"/>
                <w:szCs w:val="32"/>
                <w:lang w:val="en-US" w:eastAsia="zh-CN"/>
              </w:rPr>
              <w:t>140.74</w:t>
            </w:r>
          </w:p>
        </w:tc>
        <w:tc>
          <w:tcPr>
            <w:tcW w:w="904"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p>
        </w:tc>
        <w:tc>
          <w:tcPr>
            <w:tcW w:w="1223"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p>
        </w:tc>
        <w:tc>
          <w:tcPr>
            <w:tcW w:w="905"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p>
        </w:tc>
        <w:tc>
          <w:tcPr>
            <w:tcW w:w="1703"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武汉市光谷豹子溪小学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8"/>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22"/>
        <w:gridCol w:w="537"/>
        <w:gridCol w:w="1041"/>
        <w:gridCol w:w="1854"/>
        <w:gridCol w:w="640"/>
        <w:gridCol w:w="981"/>
        <w:gridCol w:w="982"/>
        <w:gridCol w:w="796"/>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3300"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5968" w:type="dxa"/>
            <w:gridSpan w:val="6"/>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537"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1041"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1854"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640"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3474" w:type="dxa"/>
            <w:gridSpan w:val="4"/>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22"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537"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041"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854" w:type="dxa"/>
            <w:vMerge w:val="continue"/>
            <w:shd w:val="clear" w:color="auto" w:fill="auto"/>
            <w:vAlign w:val="bottom"/>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640"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8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98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79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53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104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1854" w:type="dxa"/>
            <w:shd w:val="clear" w:color="auto" w:fill="auto"/>
            <w:vAlign w:val="bottom"/>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64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98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8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79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71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1041" w:type="dxa"/>
            <w:shd w:val="clear" w:color="auto" w:fill="auto"/>
            <w:vAlign w:val="center"/>
          </w:tcPr>
          <w:p>
            <w:pPr>
              <w:jc w:val="right"/>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val="0"/>
                <w:i w:val="0"/>
                <w:color w:val="000000"/>
                <w:sz w:val="18"/>
                <w:szCs w:val="32"/>
                <w:lang w:val="en-US" w:eastAsia="zh-CN"/>
              </w:rPr>
              <w:t>1,904.36</w:t>
            </w: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1041" w:type="dxa"/>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041" w:type="dxa"/>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val="0"/>
                <w:i w:val="0"/>
                <w:color w:val="000000"/>
                <w:sz w:val="16"/>
                <w:szCs w:val="28"/>
                <w:lang w:val="en-US" w:eastAsia="zh-CN"/>
              </w:rPr>
              <w:t>1,763.62</w:t>
            </w: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val="0"/>
                <w:i w:val="0"/>
                <w:color w:val="000000"/>
                <w:sz w:val="16"/>
                <w:szCs w:val="28"/>
                <w:lang w:val="en-US" w:eastAsia="zh-CN"/>
              </w:rPr>
              <w:t>1,763.62</w:t>
            </w: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val="0"/>
                <w:i w:val="0"/>
                <w:color w:val="000000"/>
                <w:sz w:val="16"/>
                <w:szCs w:val="28"/>
                <w:lang w:val="en-US" w:eastAsia="zh-CN"/>
              </w:rPr>
              <w:t>140.74</w:t>
            </w: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val="0"/>
                <w:i w:val="0"/>
                <w:color w:val="000000"/>
                <w:sz w:val="16"/>
                <w:szCs w:val="28"/>
                <w:lang w:val="en-US" w:eastAsia="zh-CN"/>
              </w:rPr>
              <w:t>140.74</w:t>
            </w: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22"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1041" w:type="dxa"/>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1041" w:type="dxa"/>
            <w:shd w:val="clear" w:color="auto" w:fill="auto"/>
            <w:vAlign w:val="center"/>
          </w:tcPr>
          <w:p>
            <w:pPr>
              <w:jc w:val="right"/>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val="0"/>
                <w:i w:val="0"/>
                <w:color w:val="000000"/>
                <w:sz w:val="18"/>
                <w:szCs w:val="32"/>
                <w:lang w:val="en-US" w:eastAsia="zh-CN"/>
              </w:rPr>
              <w:t>1,904.36</w:t>
            </w: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val="0"/>
                <w:i w:val="0"/>
                <w:color w:val="000000"/>
                <w:sz w:val="16"/>
                <w:szCs w:val="28"/>
                <w:lang w:val="en-US" w:eastAsia="zh-CN"/>
              </w:rPr>
              <w:t>1,904.36</w:t>
            </w: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val="0"/>
                <w:i w:val="0"/>
                <w:color w:val="000000"/>
                <w:sz w:val="16"/>
                <w:szCs w:val="28"/>
                <w:lang w:val="en-US" w:eastAsia="zh-CN"/>
              </w:rPr>
              <w:t>1,904.36</w:t>
            </w: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1041" w:type="dxa"/>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1041" w:type="dxa"/>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981"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1041" w:type="dxa"/>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981"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1041" w:type="dxa"/>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c>
          <w:tcPr>
            <w:tcW w:w="1854"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981"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982"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796"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both"/>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722"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53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1041" w:type="dxa"/>
            <w:shd w:val="clear" w:color="auto" w:fill="auto"/>
            <w:vAlign w:val="center"/>
          </w:tcPr>
          <w:p>
            <w:pPr>
              <w:jc w:val="right"/>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val="0"/>
                <w:i w:val="0"/>
                <w:color w:val="000000"/>
                <w:sz w:val="18"/>
                <w:szCs w:val="32"/>
                <w:lang w:val="en-US" w:eastAsia="zh-CN"/>
              </w:rPr>
              <w:t>1,904.36</w:t>
            </w:r>
          </w:p>
        </w:tc>
        <w:tc>
          <w:tcPr>
            <w:tcW w:w="1854"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64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981"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val="0"/>
                <w:i w:val="0"/>
                <w:color w:val="000000"/>
                <w:sz w:val="16"/>
                <w:szCs w:val="28"/>
                <w:lang w:val="en-US" w:eastAsia="zh-CN"/>
              </w:rPr>
              <w:t>1,904.36</w:t>
            </w:r>
          </w:p>
        </w:tc>
        <w:tc>
          <w:tcPr>
            <w:tcW w:w="982"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val="0"/>
                <w:i w:val="0"/>
                <w:color w:val="000000"/>
                <w:sz w:val="16"/>
                <w:szCs w:val="28"/>
                <w:lang w:val="en-US" w:eastAsia="zh-CN"/>
              </w:rPr>
              <w:t>1,904.36</w:t>
            </w:r>
          </w:p>
        </w:tc>
        <w:tc>
          <w:tcPr>
            <w:tcW w:w="796"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c>
          <w:tcPr>
            <w:tcW w:w="715" w:type="dxa"/>
            <w:shd w:val="clear" w:color="auto" w:fill="auto"/>
            <w:vAlign w:val="center"/>
          </w:tcPr>
          <w:p>
            <w:pPr>
              <w:jc w:val="right"/>
              <w:rPr>
                <w:rFonts w:hint="default" w:ascii="Times New Roman" w:hAnsi="Times New Roman" w:eastAsia="宋体" w:cs="Times New Roman"/>
                <w:i w:val="0"/>
                <w:iCs w:val="0"/>
                <w:color w:val="000000"/>
                <w:sz w:val="22"/>
                <w:szCs w:val="22"/>
                <w:u w:val="none"/>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pPr>
        <w:pStyle w:val="7"/>
        <w:rPr>
          <w:rFonts w:hint="default"/>
          <w:lang w:val="en-US" w:eastAsia="zh-CN"/>
        </w:rPr>
      </w:pPr>
    </w:p>
    <w:p>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pPr>
        <w:pStyle w:val="2"/>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pPr>
        <w:pStyle w:val="2"/>
        <w:ind w:left="0" w:leftChars="0" w:firstLine="0" w:firstLineChars="0"/>
        <w:jc w:val="both"/>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武汉市光谷豹子溪小学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p>
    <w:tbl>
      <w:tblPr>
        <w:tblStyle w:val="8"/>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768"/>
        <w:gridCol w:w="768"/>
        <w:gridCol w:w="1903"/>
        <w:gridCol w:w="1146"/>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07"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7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68"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pPr>
              <w:jc w:val="right"/>
              <w:rPr>
                <w:rFonts w:hint="default" w:ascii="Times New Roman" w:hAnsi="Times New Roman" w:eastAsia="Arial" w:cs="Times New Roman"/>
                <w:snapToGrid w:val="0"/>
                <w:color w:val="000000"/>
                <w:kern w:val="0"/>
                <w:sz w:val="32"/>
                <w:szCs w:val="32"/>
                <w:lang w:val="en-US" w:eastAsia="zh-CN" w:bidi="ar-SA"/>
              </w:rPr>
            </w:pPr>
            <w:r>
              <w:rPr>
                <w:rFonts w:hint="default" w:ascii="Times New Roman" w:hAnsi="Times New Roman" w:eastAsia="宋体" w:cs="Times New Roman"/>
                <w:b/>
                <w:i w:val="0"/>
                <w:color w:val="000000"/>
                <w:sz w:val="21"/>
                <w:szCs w:val="32"/>
                <w:lang w:val="en-US" w:eastAsia="zh-CN"/>
              </w:rPr>
              <w:t>1,904.36</w:t>
            </w:r>
          </w:p>
        </w:tc>
        <w:tc>
          <w:tcPr>
            <w:tcW w:w="1903" w:type="dxa"/>
            <w:shd w:val="clear" w:color="auto" w:fill="auto"/>
            <w:vAlign w:val="center"/>
          </w:tcPr>
          <w:p>
            <w:pPr>
              <w:jc w:val="right"/>
              <w:rPr>
                <w:rFonts w:hint="default" w:ascii="Times New Roman" w:hAnsi="Times New Roman" w:eastAsia="Arial" w:cs="Times New Roman"/>
                <w:snapToGrid w:val="0"/>
                <w:color w:val="000000"/>
                <w:kern w:val="0"/>
                <w:sz w:val="32"/>
                <w:szCs w:val="32"/>
                <w:lang w:val="en-US" w:eastAsia="zh-CN" w:bidi="ar-SA"/>
              </w:rPr>
            </w:pPr>
            <w:r>
              <w:rPr>
                <w:rFonts w:hint="default" w:ascii="Times New Roman" w:hAnsi="Times New Roman" w:eastAsia="宋体" w:cs="Times New Roman"/>
                <w:b/>
                <w:i w:val="0"/>
                <w:color w:val="000000"/>
                <w:sz w:val="21"/>
                <w:szCs w:val="32"/>
                <w:lang w:val="en-US" w:eastAsia="zh-CN"/>
              </w:rPr>
              <w:t>1,857.33</w:t>
            </w:r>
          </w:p>
        </w:tc>
        <w:tc>
          <w:tcPr>
            <w:tcW w:w="1903" w:type="dxa"/>
            <w:shd w:val="clear" w:color="auto" w:fill="auto"/>
            <w:vAlign w:val="center"/>
          </w:tcPr>
          <w:p>
            <w:pPr>
              <w:jc w:val="right"/>
              <w:rPr>
                <w:rFonts w:hint="default" w:ascii="Times New Roman" w:hAnsi="Times New Roman" w:eastAsia="Arial" w:cs="Times New Roman"/>
                <w:snapToGrid w:val="0"/>
                <w:color w:val="000000"/>
                <w:kern w:val="0"/>
                <w:sz w:val="32"/>
                <w:szCs w:val="32"/>
                <w:lang w:val="en-US" w:eastAsia="zh-CN" w:bidi="ar-SA"/>
              </w:rPr>
            </w:pPr>
            <w:r>
              <w:rPr>
                <w:rFonts w:hint="default" w:ascii="Times New Roman" w:hAnsi="Times New Roman" w:eastAsia="宋体" w:cs="Times New Roman"/>
                <w:b/>
                <w:i w:val="0"/>
                <w:color w:val="000000"/>
                <w:sz w:val="21"/>
                <w:szCs w:val="32"/>
                <w:lang w:val="en-US" w:eastAsia="zh-CN"/>
              </w:rPr>
              <w:t>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2304" w:type="dxa"/>
            <w:gridSpan w:val="3"/>
            <w:shd w:val="clear" w:color="auto" w:fill="auto"/>
            <w:vAlign w:val="center"/>
          </w:tcPr>
          <w:p>
            <w:pPr>
              <w:jc w:val="lef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21"/>
                <w:szCs w:val="32"/>
                <w:lang w:val="en-US" w:eastAsia="zh-CN"/>
              </w:rPr>
              <w:t>2050202</w:t>
            </w:r>
          </w:p>
        </w:tc>
        <w:tc>
          <w:tcPr>
            <w:tcW w:w="1903" w:type="dxa"/>
            <w:shd w:val="clear" w:color="auto" w:fill="auto"/>
            <w:vAlign w:val="center"/>
          </w:tcPr>
          <w:p>
            <w:pPr>
              <w:jc w:val="lef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21"/>
                <w:szCs w:val="32"/>
                <w:lang w:val="en-US" w:eastAsia="zh-CN"/>
              </w:rPr>
              <w:t>小学教育</w:t>
            </w:r>
          </w:p>
        </w:tc>
        <w:tc>
          <w:tcPr>
            <w:tcW w:w="1146"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21"/>
                <w:szCs w:val="32"/>
                <w:lang w:val="en-US" w:eastAsia="zh-CN"/>
              </w:rPr>
              <w:t>1,763.62</w:t>
            </w:r>
          </w:p>
        </w:tc>
        <w:tc>
          <w:tcPr>
            <w:tcW w:w="1903"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21"/>
                <w:szCs w:val="32"/>
                <w:lang w:val="en-US" w:eastAsia="zh-CN"/>
              </w:rPr>
              <w:t>1,716.59</w:t>
            </w:r>
          </w:p>
        </w:tc>
        <w:tc>
          <w:tcPr>
            <w:tcW w:w="1903"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21"/>
                <w:szCs w:val="32"/>
                <w:lang w:val="en-US" w:eastAsia="zh-CN"/>
              </w:rPr>
              <w:t>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304" w:type="dxa"/>
            <w:gridSpan w:val="3"/>
            <w:shd w:val="clear" w:color="auto" w:fill="auto"/>
            <w:vAlign w:val="center"/>
          </w:tcPr>
          <w:p>
            <w:pPr>
              <w:jc w:val="lef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21"/>
                <w:szCs w:val="32"/>
                <w:lang w:val="en-US" w:eastAsia="zh-CN"/>
              </w:rPr>
              <w:t>2080505</w:t>
            </w:r>
          </w:p>
        </w:tc>
        <w:tc>
          <w:tcPr>
            <w:tcW w:w="1903" w:type="dxa"/>
            <w:shd w:val="clear" w:color="auto" w:fill="auto"/>
            <w:vAlign w:val="center"/>
          </w:tcPr>
          <w:p>
            <w:pPr>
              <w:jc w:val="lef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21"/>
                <w:szCs w:val="32"/>
                <w:lang w:val="en-US" w:eastAsia="zh-CN"/>
              </w:rPr>
              <w:t>机关事业单位基本养老保险缴费支出</w:t>
            </w:r>
          </w:p>
        </w:tc>
        <w:tc>
          <w:tcPr>
            <w:tcW w:w="1146"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21"/>
                <w:szCs w:val="32"/>
                <w:lang w:val="en-US" w:eastAsia="zh-CN"/>
              </w:rPr>
              <w:t>140.74</w:t>
            </w:r>
          </w:p>
        </w:tc>
        <w:tc>
          <w:tcPr>
            <w:tcW w:w="1903"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b w:val="0"/>
                <w:i w:val="0"/>
                <w:color w:val="000000"/>
                <w:sz w:val="21"/>
                <w:szCs w:val="32"/>
                <w:lang w:val="en-US" w:eastAsia="zh-CN"/>
              </w:rPr>
              <w:t>140.74</w:t>
            </w:r>
          </w:p>
        </w:tc>
        <w:tc>
          <w:tcPr>
            <w:tcW w:w="1903" w:type="dxa"/>
            <w:shd w:val="clear" w:color="auto" w:fill="auto"/>
            <w:vAlign w:val="center"/>
          </w:tcPr>
          <w:p>
            <w:pPr>
              <w:jc w:val="right"/>
              <w:rPr>
                <w:rFonts w:hint="default" w:ascii="Times New Roman" w:hAnsi="Times New Roman" w:eastAsia="宋体" w:cs="Times New Roman"/>
                <w:i w:val="0"/>
                <w:iCs w:val="0"/>
                <w:color w:val="000000"/>
                <w:sz w:val="32"/>
                <w:szCs w:val="32"/>
                <w:u w:val="none"/>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default" w:ascii="Times New Roman" w:hAnsi="Times New Roman" w:eastAsia="微软雅黑" w:cs="Times New Roman"/>
          <w:spacing w:val="-1"/>
          <w:sz w:val="18"/>
          <w:szCs w:val="18"/>
        </w:rPr>
        <w:t xml:space="preserve"> </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武汉市光谷豹子溪小学</w:t>
      </w:r>
      <w:r>
        <w:rPr>
          <w:rFonts w:hint="default" w:ascii="Times New Roman" w:hAnsi="Times New Roman" w:eastAsia="微软雅黑" w:cs="Times New Roman"/>
          <w:spacing w:val="-1"/>
          <w:sz w:val="18"/>
          <w:szCs w:val="18"/>
          <w:lang w:val="en-US" w:eastAsia="zh-CN"/>
        </w:rPr>
        <w:t xml:space="preserve">                                      </w:t>
      </w:r>
      <w:r>
        <w:rPr>
          <w:rFonts w:hint="eastAsia"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10"/>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366"/>
        <w:gridCol w:w="808"/>
        <w:gridCol w:w="728"/>
        <w:gridCol w:w="1541"/>
        <w:gridCol w:w="620"/>
        <w:gridCol w:w="767"/>
        <w:gridCol w:w="2282"/>
        <w:gridCol w:w="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920" w:type="dxa"/>
            <w:gridSpan w:val="3"/>
            <w:vAlign w:val="center"/>
          </w:tcPr>
          <w:p>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659" w:type="dxa"/>
            <w:gridSpan w:val="6"/>
            <w:vAlign w:val="center"/>
          </w:tcPr>
          <w:p>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3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80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72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620"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7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282"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1,707.66</w:t>
            </w: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148.98</w:t>
            </w:r>
          </w:p>
        </w:tc>
        <w:tc>
          <w:tcPr>
            <w:tcW w:w="767"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278.49</w:t>
            </w: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14.49</w:t>
            </w:r>
          </w:p>
        </w:tc>
        <w:tc>
          <w:tcPr>
            <w:tcW w:w="767"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66.06</w:t>
            </w: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7.78</w:t>
            </w:r>
          </w:p>
        </w:tc>
        <w:tc>
          <w:tcPr>
            <w:tcW w:w="767"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pPr>
              <w:jc w:val="right"/>
              <w:rPr>
                <w:rFonts w:hint="default" w:ascii="Times New Roman" w:hAnsi="Times New Roman" w:cs="Times New Roman" w:eastAsiaTheme="minorEastAsia"/>
                <w:sz w:val="44"/>
                <w:szCs w:val="44"/>
              </w:rPr>
            </w:pPr>
            <w:r>
              <w:rPr>
                <w:rFonts w:hint="default" w:ascii="Times New Roman" w:hAnsi="Times New Roman" w:eastAsia="宋体" w:cs="Times New Roman"/>
                <w:b w:val="0"/>
                <w:i w:val="0"/>
                <w:color w:val="000000"/>
                <w:sz w:val="20"/>
                <w:szCs w:val="44"/>
                <w:lang w:val="en-US" w:eastAsia="zh-CN"/>
              </w:rPr>
              <w:t>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1,012.59</w:t>
            </w: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3.10</w:t>
            </w:r>
          </w:p>
        </w:tc>
        <w:tc>
          <w:tcPr>
            <w:tcW w:w="767"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126.01</w:t>
            </w: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18.61</w:t>
            </w:r>
          </w:p>
        </w:tc>
        <w:tc>
          <w:tcPr>
            <w:tcW w:w="767"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pPr>
              <w:jc w:val="right"/>
              <w:rPr>
                <w:rFonts w:hint="default" w:ascii="Times New Roman" w:hAnsi="Times New Roman" w:cs="Times New Roman" w:eastAsiaTheme="minorEastAsia"/>
                <w:sz w:val="44"/>
                <w:szCs w:val="44"/>
              </w:rPr>
            </w:pPr>
            <w:r>
              <w:rPr>
                <w:rFonts w:hint="default" w:ascii="Times New Roman" w:hAnsi="Times New Roman" w:eastAsia="宋体" w:cs="Times New Roman"/>
                <w:b w:val="0"/>
                <w:i w:val="0"/>
                <w:color w:val="000000"/>
                <w:sz w:val="20"/>
                <w:szCs w:val="44"/>
                <w:lang w:val="en-US" w:eastAsia="zh-CN"/>
              </w:rPr>
              <w:t>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0.89</w:t>
            </w:r>
          </w:p>
        </w:tc>
        <w:tc>
          <w:tcPr>
            <w:tcW w:w="767"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282"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74.67</w:t>
            </w: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17.78</w:t>
            </w: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27.18</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8.78</w:t>
            </w: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123.26</w:t>
            </w: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14.84</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0.86</w:t>
            </w:r>
          </w:p>
        </w:tc>
        <w:tc>
          <w:tcPr>
            <w:tcW w:w="767" w:type="dxa"/>
            <w:vAlign w:val="center"/>
          </w:tcPr>
          <w:p>
            <w:pPr>
              <w:pStyle w:val="11"/>
              <w:spacing w:line="225" w:lineRule="exact"/>
              <w:jc w:val="center"/>
              <w:rPr>
                <w:rFonts w:hint="default" w:ascii="Times New Roman" w:hAnsi="Times New Roman" w:cs="Times New Roman" w:eastAsiaTheme="minorEastAsia"/>
                <w:sz w:val="21"/>
                <w:szCs w:val="21"/>
              </w:rPr>
            </w:pPr>
          </w:p>
        </w:tc>
        <w:tc>
          <w:tcPr>
            <w:tcW w:w="2282" w:type="dxa"/>
            <w:vAlign w:val="center"/>
          </w:tcPr>
          <w:p>
            <w:pPr>
              <w:pStyle w:val="11"/>
              <w:spacing w:line="225" w:lineRule="exact"/>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3.39</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6.39</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33.43</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2.97</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2.29</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2.84</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0.07</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right"/>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366"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808" w:type="dxa"/>
            <w:vAlign w:val="center"/>
          </w:tcPr>
          <w:p>
            <w:pPr>
              <w:jc w:val="right"/>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620" w:type="dxa"/>
            <w:vAlign w:val="center"/>
          </w:tcPr>
          <w:p>
            <w:pPr>
              <w:jc w:val="right"/>
              <w:rPr>
                <w:rFonts w:hint="default" w:ascii="Times New Roman" w:hAnsi="Times New Roman" w:cs="Times New Roman" w:eastAsiaTheme="minorEastAsia"/>
                <w:sz w:val="40"/>
                <w:szCs w:val="40"/>
              </w:rPr>
            </w:pP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both"/>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pStyle w:val="11"/>
              <w:jc w:val="center"/>
              <w:rPr>
                <w:rFonts w:hint="default" w:ascii="Times New Roman" w:hAnsi="Times New Roman" w:cs="Times New Roman" w:eastAsiaTheme="minorEastAsia"/>
                <w:sz w:val="21"/>
                <w:szCs w:val="21"/>
              </w:rPr>
            </w:pPr>
          </w:p>
        </w:tc>
        <w:tc>
          <w:tcPr>
            <w:tcW w:w="2366" w:type="dxa"/>
            <w:vAlign w:val="center"/>
          </w:tcPr>
          <w:p>
            <w:pPr>
              <w:pStyle w:val="11"/>
              <w:jc w:val="center"/>
              <w:rPr>
                <w:rFonts w:hint="default" w:ascii="Times New Roman" w:hAnsi="Times New Roman" w:cs="Times New Roman" w:eastAsiaTheme="minorEastAsia"/>
                <w:sz w:val="21"/>
                <w:szCs w:val="21"/>
              </w:rPr>
            </w:pPr>
          </w:p>
        </w:tc>
        <w:tc>
          <w:tcPr>
            <w:tcW w:w="808" w:type="dxa"/>
            <w:vAlign w:val="center"/>
          </w:tcPr>
          <w:p>
            <w:pPr>
              <w:jc w:val="both"/>
              <w:rPr>
                <w:rFonts w:hint="default" w:ascii="Times New Roman" w:hAnsi="Times New Roman" w:cs="Times New Roman" w:eastAsiaTheme="minorEastAsia"/>
                <w:sz w:val="40"/>
                <w:szCs w:val="40"/>
              </w:rPr>
            </w:pPr>
          </w:p>
        </w:tc>
        <w:tc>
          <w:tcPr>
            <w:tcW w:w="728"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620"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9.85</w:t>
            </w:r>
          </w:p>
        </w:tc>
        <w:tc>
          <w:tcPr>
            <w:tcW w:w="767" w:type="dxa"/>
            <w:vAlign w:val="center"/>
          </w:tcPr>
          <w:p>
            <w:pPr>
              <w:pStyle w:val="11"/>
              <w:jc w:val="center"/>
              <w:rPr>
                <w:rFonts w:hint="default" w:ascii="Times New Roman" w:hAnsi="Times New Roman" w:cs="Times New Roman" w:eastAsiaTheme="minorEastAsia"/>
                <w:sz w:val="21"/>
                <w:szCs w:val="21"/>
              </w:rPr>
            </w:pPr>
          </w:p>
        </w:tc>
        <w:tc>
          <w:tcPr>
            <w:tcW w:w="2282" w:type="dxa"/>
            <w:vAlign w:val="center"/>
          </w:tcPr>
          <w:p>
            <w:pPr>
              <w:pStyle w:val="11"/>
              <w:jc w:val="center"/>
              <w:rPr>
                <w:rFonts w:hint="default" w:ascii="Times New Roman" w:hAnsi="Times New Roman" w:cs="Times New Roman" w:eastAsiaTheme="minorEastAsia"/>
                <w:sz w:val="21"/>
                <w:szCs w:val="21"/>
              </w:rPr>
            </w:pPr>
          </w:p>
        </w:tc>
        <w:tc>
          <w:tcPr>
            <w:tcW w:w="721" w:type="dxa"/>
            <w:vAlign w:val="center"/>
          </w:tcPr>
          <w:p>
            <w:pPr>
              <w:jc w:val="both"/>
              <w:rPr>
                <w:rFonts w:hint="default" w:ascii="Times New Roman" w:hAnsi="Times New Roman" w:cs="Times New Roman" w:eastAsiaTheme="minorEastAsia"/>
                <w:sz w:val="44"/>
                <w:szCs w:val="4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3112" w:type="dxa"/>
            <w:gridSpan w:val="2"/>
            <w:vAlign w:val="center"/>
          </w:tcPr>
          <w:p>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808" w:type="dxa"/>
            <w:vAlign w:val="center"/>
          </w:tcPr>
          <w:p>
            <w:pPr>
              <w:jc w:val="right"/>
              <w:rPr>
                <w:rFonts w:hint="default" w:ascii="Times New Roman" w:hAnsi="Times New Roman" w:cs="Times New Roman" w:eastAsiaTheme="minorEastAsia"/>
                <w:sz w:val="40"/>
                <w:szCs w:val="40"/>
              </w:rPr>
            </w:pPr>
            <w:r>
              <w:rPr>
                <w:rFonts w:hint="default" w:ascii="Times New Roman" w:hAnsi="Times New Roman" w:eastAsia="宋体" w:cs="Times New Roman"/>
                <w:b w:val="0"/>
                <w:i w:val="0"/>
                <w:color w:val="000000"/>
                <w:sz w:val="18"/>
                <w:szCs w:val="40"/>
                <w:lang w:val="en-US" w:eastAsia="zh-CN"/>
              </w:rPr>
              <w:t>1,707.66</w:t>
            </w:r>
          </w:p>
        </w:tc>
        <w:tc>
          <w:tcPr>
            <w:tcW w:w="5938" w:type="dxa"/>
            <w:gridSpan w:val="5"/>
            <w:vAlign w:val="center"/>
          </w:tcPr>
          <w:p>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pPr>
              <w:jc w:val="right"/>
              <w:rPr>
                <w:rFonts w:hint="default" w:ascii="Times New Roman" w:hAnsi="Times New Roman" w:cs="Times New Roman" w:eastAsiaTheme="minorEastAsia"/>
                <w:sz w:val="44"/>
                <w:szCs w:val="44"/>
              </w:rPr>
            </w:pPr>
            <w:r>
              <w:rPr>
                <w:rFonts w:hint="default" w:ascii="Times New Roman" w:hAnsi="Times New Roman" w:eastAsia="宋体" w:cs="Times New Roman"/>
                <w:b w:val="0"/>
                <w:i w:val="0"/>
                <w:color w:val="000000"/>
                <w:sz w:val="20"/>
                <w:szCs w:val="44"/>
                <w:lang w:val="en-US" w:eastAsia="zh-CN"/>
              </w:rPr>
              <w:t>149.67</w:t>
            </w:r>
          </w:p>
        </w:tc>
      </w:tr>
    </w:tbl>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center"/>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武汉市光谷豹子溪小学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1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pPr>
              <w:pStyle w:val="11"/>
              <w:rPr>
                <w:rFonts w:hint="default" w:ascii="Times New Roman" w:hAnsi="Times New Roman" w:cs="Times New Roman" w:eastAsiaTheme="minorEastAsia"/>
                <w:sz w:val="21"/>
                <w:szCs w:val="21"/>
              </w:rPr>
            </w:pPr>
          </w:p>
        </w:tc>
        <w:tc>
          <w:tcPr>
            <w:tcW w:w="317" w:type="dxa"/>
            <w:vMerge w:val="continue"/>
            <w:vAlign w:val="top"/>
          </w:tcPr>
          <w:p>
            <w:pPr>
              <w:pStyle w:val="11"/>
              <w:rPr>
                <w:rFonts w:hint="default" w:ascii="Times New Roman" w:hAnsi="Times New Roman" w:cs="Times New Roman" w:eastAsiaTheme="minorEastAsia"/>
                <w:sz w:val="21"/>
                <w:szCs w:val="21"/>
              </w:rPr>
            </w:pPr>
          </w:p>
        </w:tc>
        <w:tc>
          <w:tcPr>
            <w:tcW w:w="319" w:type="dxa"/>
            <w:vMerge w:val="continue"/>
            <w:vAlign w:val="top"/>
          </w:tcPr>
          <w:p>
            <w:pPr>
              <w:pStyle w:val="11"/>
              <w:rPr>
                <w:rFonts w:hint="default" w:ascii="Times New Roman" w:hAnsi="Times New Roman" w:cs="Times New Roman" w:eastAsiaTheme="minorEastAsia"/>
                <w:sz w:val="21"/>
                <w:szCs w:val="21"/>
              </w:rPr>
            </w:pPr>
          </w:p>
        </w:tc>
        <w:tc>
          <w:tcPr>
            <w:tcW w:w="1169" w:type="dxa"/>
            <w:vAlign w:val="top"/>
          </w:tcPr>
          <w:p>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pPr>
              <w:pStyle w:val="11"/>
              <w:rPr>
                <w:rFonts w:hint="default" w:ascii="Times New Roman" w:hAnsi="Times New Roman" w:cs="Times New Roman" w:eastAsiaTheme="minorEastAsia"/>
                <w:sz w:val="21"/>
                <w:szCs w:val="21"/>
              </w:rPr>
            </w:pPr>
          </w:p>
        </w:tc>
        <w:tc>
          <w:tcPr>
            <w:tcW w:w="1169"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67" w:type="dxa"/>
            <w:vAlign w:val="top"/>
          </w:tcPr>
          <w:p>
            <w:pPr>
              <w:pStyle w:val="11"/>
              <w:rPr>
                <w:rFonts w:hint="default" w:ascii="Times New Roman" w:hAnsi="Times New Roman" w:cs="Times New Roman" w:eastAsiaTheme="minorEastAsia"/>
                <w:sz w:val="21"/>
                <w:szCs w:val="21"/>
              </w:rPr>
            </w:pPr>
          </w:p>
        </w:tc>
        <w:tc>
          <w:tcPr>
            <w:tcW w:w="1171" w:type="dxa"/>
            <w:vAlign w:val="top"/>
          </w:tcPr>
          <w:p>
            <w:pPr>
              <w:pStyle w:val="11"/>
              <w:rPr>
                <w:rFonts w:hint="default" w:ascii="Times New Roman" w:hAnsi="Times New Roman" w:cs="Times New Roman" w:eastAsiaTheme="minorEastAsia"/>
                <w:sz w:val="21"/>
                <w:szCs w:val="21"/>
              </w:rPr>
            </w:pPr>
          </w:p>
        </w:tc>
        <w:tc>
          <w:tcPr>
            <w:tcW w:w="1173" w:type="dxa"/>
            <w:vAlign w:val="top"/>
          </w:tcPr>
          <w:p>
            <w:pPr>
              <w:pStyle w:val="11"/>
              <w:rPr>
                <w:rFonts w:hint="default" w:ascii="Times New Roman" w:hAnsi="Times New Roman" w:cs="Times New Roman" w:eastAsiaTheme="minorEastAsia"/>
                <w:sz w:val="21"/>
                <w:szCs w:val="21"/>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：本表反映部门本年度政府性基金预算财政拨款收入、支出及结转和结余情况。</w:t>
      </w:r>
    </w:p>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560" w:firstLineChars="20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本部门2024年度无政府性基金预算财政拨款收入支出。 </w:t>
      </w:r>
    </w:p>
    <w:p>
      <w:pPr>
        <w:rPr>
          <w:rFonts w:hint="default"/>
          <w:lang w:val="en-US" w:eastAsia="zh-CN"/>
        </w:rPr>
      </w:pPr>
      <w:r>
        <w:rPr>
          <w:rFonts w:hint="default" w:ascii="Times New Roman" w:hAnsi="Times New Roman" w:eastAsia="黑体" w:cs="Times New Roman"/>
          <w:spacing w:val="0"/>
          <w:w w:val="100"/>
          <w:position w:val="0"/>
          <w:sz w:val="32"/>
          <w:szCs w:val="32"/>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武汉市光谷豹子溪小学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1128"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pPr>
              <w:pStyle w:val="11"/>
              <w:jc w:val="center"/>
              <w:rPr>
                <w:rFonts w:hint="default" w:ascii="Times New Roman" w:hAnsi="Times New Roman" w:cs="Times New Roman" w:eastAsiaTheme="minorEastAsia"/>
                <w:sz w:val="21"/>
                <w:szCs w:val="21"/>
              </w:rPr>
            </w:pPr>
          </w:p>
        </w:tc>
        <w:tc>
          <w:tcPr>
            <w:tcW w:w="2272" w:type="dxa"/>
            <w:vAlign w:val="center"/>
          </w:tcPr>
          <w:p>
            <w:pPr>
              <w:pStyle w:val="11"/>
              <w:jc w:val="center"/>
              <w:rPr>
                <w:rFonts w:hint="default" w:ascii="Times New Roman" w:hAnsi="Times New Roman" w:cs="Times New Roman" w:eastAsiaTheme="minorEastAsia"/>
                <w:sz w:val="21"/>
                <w:szCs w:val="21"/>
              </w:rPr>
            </w:pPr>
          </w:p>
        </w:tc>
        <w:tc>
          <w:tcPr>
            <w:tcW w:w="2188" w:type="dxa"/>
            <w:vAlign w:val="center"/>
          </w:tcPr>
          <w:p>
            <w:pPr>
              <w:pStyle w:val="11"/>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pPr>
              <w:pStyle w:val="11"/>
              <w:rPr>
                <w:rFonts w:hint="default" w:ascii="Times New Roman" w:hAnsi="Times New Roman" w:cs="Times New Roman"/>
              </w:rPr>
            </w:pPr>
          </w:p>
        </w:tc>
        <w:tc>
          <w:tcPr>
            <w:tcW w:w="1128" w:type="dxa"/>
            <w:vAlign w:val="top"/>
          </w:tcPr>
          <w:p>
            <w:pPr>
              <w:pStyle w:val="11"/>
              <w:rPr>
                <w:rFonts w:hint="default" w:ascii="Times New Roman" w:hAnsi="Times New Roman" w:cs="Times New Roman"/>
              </w:rPr>
            </w:pPr>
          </w:p>
        </w:tc>
        <w:tc>
          <w:tcPr>
            <w:tcW w:w="2129" w:type="dxa"/>
            <w:vAlign w:val="top"/>
          </w:tcPr>
          <w:p>
            <w:pPr>
              <w:pStyle w:val="11"/>
              <w:rPr>
                <w:rFonts w:hint="default" w:ascii="Times New Roman" w:hAnsi="Times New Roman" w:cs="Times New Roman"/>
              </w:rPr>
            </w:pPr>
          </w:p>
        </w:tc>
        <w:tc>
          <w:tcPr>
            <w:tcW w:w="2272" w:type="dxa"/>
            <w:vAlign w:val="top"/>
          </w:tcPr>
          <w:p>
            <w:pPr>
              <w:pStyle w:val="11"/>
              <w:rPr>
                <w:rFonts w:hint="default" w:ascii="Times New Roman" w:hAnsi="Times New Roman" w:cs="Times New Roman"/>
              </w:rPr>
            </w:pPr>
          </w:p>
        </w:tc>
        <w:tc>
          <w:tcPr>
            <w:tcW w:w="2188" w:type="dxa"/>
            <w:vAlign w:val="top"/>
          </w:tcPr>
          <w:p>
            <w:pPr>
              <w:pStyle w:val="11"/>
              <w:rPr>
                <w:rFonts w:hint="default" w:ascii="Times New Roman" w:hAnsi="Times New Roman" w:cs="Times New Roman"/>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ind w:firstLine="560" w:firstLineChars="200"/>
        <w:rPr>
          <w:rFonts w:hint="default" w:ascii="Times New Roman" w:hAnsi="Times New Roman" w:eastAsia="微软雅黑" w:cs="Times New Roman"/>
          <w:b/>
          <w:bCs/>
          <w:spacing w:val="-13"/>
          <w:w w:val="96"/>
          <w:sz w:val="33"/>
          <w:szCs w:val="33"/>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本部门2024年度无国有资本经营预算财政拨款支出。</w:t>
      </w:r>
      <w:r>
        <w:rPr>
          <w:rFonts w:hint="default" w:ascii="Times New Roman" w:hAnsi="Times New Roman" w:eastAsia="微软雅黑" w:cs="Times New Roman"/>
          <w:b/>
          <w:bCs/>
          <w:spacing w:val="-13"/>
          <w:w w:val="96"/>
          <w:sz w:val="33"/>
          <w:szCs w:val="33"/>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pPr>
        <w:pStyle w:val="2"/>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武汉市光谷豹子溪小学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eastAsia"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10"/>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pPr>
              <w:pStyle w:val="11"/>
              <w:jc w:val="center"/>
              <w:rPr>
                <w:rFonts w:hint="default" w:ascii="Times New Roman" w:hAnsi="Times New Roman" w:cs="Times New Roman" w:eastAsiaTheme="minorEastAsia"/>
                <w:sz w:val="21"/>
                <w:szCs w:val="21"/>
              </w:rPr>
            </w:pP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453"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c>
          <w:tcPr>
            <w:tcW w:w="64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pPr>
              <w:pStyle w:val="11"/>
              <w:jc w:val="center"/>
              <w:rPr>
                <w:rFonts w:hint="default" w:ascii="Times New Roman" w:hAnsi="Times New Roman" w:cs="Times New Roman" w:eastAsia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pPr>
              <w:pStyle w:val="1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pPr>
              <w:pStyle w:val="11"/>
              <w:jc w:val="center"/>
              <w:rPr>
                <w:rFonts w:hint="default" w:ascii="Times New Roman" w:hAnsi="Times New Roman" w:cs="Times New Roman" w:eastAsiaTheme="minorEastAsia"/>
                <w:sz w:val="21"/>
                <w:szCs w:val="21"/>
              </w:rPr>
            </w:pPr>
          </w:p>
        </w:tc>
        <w:tc>
          <w:tcPr>
            <w:tcW w:w="1061" w:type="dxa"/>
            <w:vAlign w:val="center"/>
          </w:tcPr>
          <w:p>
            <w:pPr>
              <w:pStyle w:val="11"/>
              <w:jc w:val="center"/>
              <w:rPr>
                <w:rFonts w:hint="default" w:ascii="Times New Roman" w:hAnsi="Times New Roman" w:cs="Times New Roman" w:eastAsiaTheme="minorEastAsia"/>
                <w:sz w:val="21"/>
                <w:szCs w:val="21"/>
              </w:rPr>
            </w:pPr>
          </w:p>
        </w:tc>
        <w:tc>
          <w:tcPr>
            <w:tcW w:w="453" w:type="dxa"/>
            <w:vAlign w:val="center"/>
          </w:tcPr>
          <w:p>
            <w:pPr>
              <w:pStyle w:val="11"/>
              <w:jc w:val="center"/>
              <w:rPr>
                <w:rFonts w:hint="default" w:ascii="Times New Roman" w:hAnsi="Times New Roman" w:cs="Times New Roman" w:eastAsiaTheme="minorEastAsia"/>
                <w:sz w:val="21"/>
                <w:szCs w:val="21"/>
              </w:rPr>
            </w:pPr>
          </w:p>
        </w:tc>
        <w:tc>
          <w:tcPr>
            <w:tcW w:w="1193" w:type="dxa"/>
            <w:vAlign w:val="center"/>
          </w:tcPr>
          <w:p>
            <w:pPr>
              <w:pStyle w:val="11"/>
              <w:jc w:val="center"/>
              <w:rPr>
                <w:rFonts w:hint="default" w:ascii="Times New Roman" w:hAnsi="Times New Roman" w:cs="Times New Roman" w:eastAsiaTheme="minorEastAsia"/>
                <w:sz w:val="21"/>
                <w:szCs w:val="21"/>
              </w:rPr>
            </w:pPr>
          </w:p>
        </w:tc>
        <w:tc>
          <w:tcPr>
            <w:tcW w:w="1159" w:type="dxa"/>
            <w:vAlign w:val="center"/>
          </w:tcPr>
          <w:p>
            <w:pPr>
              <w:pStyle w:val="11"/>
              <w:jc w:val="center"/>
              <w:rPr>
                <w:rFonts w:hint="default" w:ascii="Times New Roman" w:hAnsi="Times New Roman" w:cs="Times New Roman" w:eastAsiaTheme="minorEastAsia"/>
                <w:sz w:val="21"/>
                <w:szCs w:val="21"/>
              </w:rPr>
            </w:pPr>
          </w:p>
        </w:tc>
        <w:tc>
          <w:tcPr>
            <w:tcW w:w="634" w:type="dxa"/>
            <w:vAlign w:val="center"/>
          </w:tcPr>
          <w:p>
            <w:pPr>
              <w:pStyle w:val="11"/>
              <w:jc w:val="center"/>
              <w:rPr>
                <w:rFonts w:hint="default" w:ascii="Times New Roman" w:hAnsi="Times New Roman" w:cs="Times New Roman" w:eastAsiaTheme="minorEastAsia"/>
                <w:sz w:val="21"/>
                <w:szCs w:val="21"/>
              </w:rPr>
            </w:pPr>
          </w:p>
        </w:tc>
        <w:tc>
          <w:tcPr>
            <w:tcW w:w="450" w:type="dxa"/>
            <w:vAlign w:val="center"/>
          </w:tcPr>
          <w:p>
            <w:pPr>
              <w:pStyle w:val="11"/>
              <w:jc w:val="center"/>
              <w:rPr>
                <w:rFonts w:hint="default" w:ascii="Times New Roman" w:hAnsi="Times New Roman" w:cs="Times New Roman" w:eastAsiaTheme="minorEastAsia"/>
                <w:sz w:val="21"/>
                <w:szCs w:val="21"/>
              </w:rPr>
            </w:pPr>
          </w:p>
        </w:tc>
        <w:tc>
          <w:tcPr>
            <w:tcW w:w="970" w:type="dxa"/>
            <w:vAlign w:val="center"/>
          </w:tcPr>
          <w:p>
            <w:pPr>
              <w:pStyle w:val="11"/>
              <w:jc w:val="center"/>
              <w:rPr>
                <w:rFonts w:hint="default" w:ascii="Times New Roman" w:hAnsi="Times New Roman" w:cs="Times New Roman" w:eastAsiaTheme="minorEastAsia"/>
                <w:sz w:val="21"/>
                <w:szCs w:val="21"/>
              </w:rPr>
            </w:pPr>
          </w:p>
        </w:tc>
        <w:tc>
          <w:tcPr>
            <w:tcW w:w="641" w:type="dxa"/>
            <w:vAlign w:val="center"/>
          </w:tcPr>
          <w:p>
            <w:pPr>
              <w:pStyle w:val="11"/>
              <w:jc w:val="center"/>
              <w:rPr>
                <w:rFonts w:hint="default" w:ascii="Times New Roman" w:hAnsi="Times New Roman" w:cs="Times New Roman" w:eastAsiaTheme="minorEastAsia"/>
                <w:sz w:val="21"/>
                <w:szCs w:val="21"/>
              </w:rPr>
            </w:pPr>
          </w:p>
        </w:tc>
        <w:tc>
          <w:tcPr>
            <w:tcW w:w="887" w:type="dxa"/>
            <w:vAlign w:val="center"/>
          </w:tcPr>
          <w:p>
            <w:pPr>
              <w:pStyle w:val="11"/>
              <w:jc w:val="center"/>
              <w:rPr>
                <w:rFonts w:hint="default" w:ascii="Times New Roman" w:hAnsi="Times New Roman" w:cs="Times New Roman" w:eastAsiaTheme="minorEastAsia"/>
                <w:sz w:val="21"/>
                <w:szCs w:val="21"/>
              </w:rPr>
            </w:pPr>
          </w:p>
        </w:tc>
        <w:tc>
          <w:tcPr>
            <w:tcW w:w="1181" w:type="dxa"/>
            <w:vAlign w:val="center"/>
          </w:tcPr>
          <w:p>
            <w:pPr>
              <w:pStyle w:val="11"/>
              <w:jc w:val="center"/>
              <w:rPr>
                <w:rFonts w:hint="default" w:ascii="Times New Roman" w:hAnsi="Times New Roman" w:cs="Times New Roman" w:eastAsiaTheme="minorEastAsia"/>
                <w:sz w:val="21"/>
                <w:szCs w:val="21"/>
              </w:rPr>
            </w:pPr>
          </w:p>
        </w:tc>
        <w:tc>
          <w:tcPr>
            <w:tcW w:w="707" w:type="dxa"/>
            <w:vAlign w:val="center"/>
          </w:tcPr>
          <w:p>
            <w:pPr>
              <w:pStyle w:val="11"/>
              <w:jc w:val="center"/>
              <w:rPr>
                <w:rFonts w:hint="default" w:ascii="Times New Roman" w:hAnsi="Times New Roman" w:cs="Times New Roman" w:eastAsiaTheme="minorEastAsia"/>
                <w:sz w:val="21"/>
                <w:szCs w:val="21"/>
              </w:rPr>
            </w:pPr>
          </w:p>
        </w:tc>
      </w:tr>
    </w:tbl>
    <w:p>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pPr>
        <w:ind w:firstLine="560" w:firstLineChars="200"/>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ind w:firstLine="560" w:firstLineChars="200"/>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本部门2024年度无财政拨款三公经费支出。</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lang w:val="en-US" w:eastAsia="zh-CN"/>
        </w:rPr>
        <w:t>武汉市光谷豹子溪小学</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 xml:space="preserve">年度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firstLine="3152" w:firstLineChars="800"/>
        <w:jc w:val="both"/>
        <w:textAlignment w:val="baseline"/>
        <w:rPr>
          <w:rFonts w:hint="default" w:ascii="Times New Roman" w:hAnsi="Times New Roman" w:eastAsia="方正小标宋_GBK" w:cs="Times New Roman"/>
          <w:spacing w:val="-23"/>
          <w:sz w:val="44"/>
          <w:szCs w:val="44"/>
        </w:rPr>
      </w:pPr>
      <w:r>
        <w:rPr>
          <w:rFonts w:hint="default" w:ascii="Times New Roman" w:hAnsi="Times New Roman" w:eastAsia="方正小标宋_GBK" w:cs="Times New Roman"/>
          <w:spacing w:val="-23"/>
          <w:sz w:val="44"/>
          <w:szCs w:val="44"/>
        </w:rPr>
        <w:t>部门决算情况说明</w:t>
      </w:r>
    </w:p>
    <w:p>
      <w:pPr>
        <w:rPr>
          <w:rFonts w:hint="default" w:ascii="Times New Roman" w:hAnsi="Times New Roman" w:cs="Times New Roman"/>
        </w:rPr>
      </w:pP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4"/>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2035.78</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125.4</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6.6</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w:t>
      </w:r>
      <w:r>
        <w:rPr>
          <w:rFonts w:hint="eastAsia" w:ascii="仿宋" w:hAnsi="仿宋" w:eastAsia="仿宋"/>
          <w:color w:val="auto"/>
          <w:sz w:val="32"/>
          <w:szCs w:val="32"/>
          <w:lang w:val="en-US" w:eastAsia="zh-CN"/>
        </w:rPr>
        <w:t>人员经费增长</w:t>
      </w:r>
      <w:r>
        <w:rPr>
          <w:rFonts w:hint="default" w:ascii="Times New Roman" w:hAnsi="Times New Roman" w:eastAsia="仿宋_GB2312" w:cs="Times New Roman"/>
          <w:spacing w:val="-14"/>
        </w:rPr>
        <w:t>。</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584" w:firstLineChars="200"/>
        <w:textAlignment w:val="baseline"/>
        <w:rPr>
          <w:rFonts w:hint="default" w:ascii="Times New Roman" w:hAnsi="Times New Roman" w:eastAsia="仿宋_GB2312" w:cs="Times New Roman"/>
          <w:spacing w:val="-14"/>
        </w:rPr>
      </w:pPr>
    </w:p>
    <w:p>
      <w:pPr>
        <w:pStyle w:val="4"/>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pPr>
        <w:pStyle w:val="4"/>
        <w:spacing w:before="74" w:line="224" w:lineRule="auto"/>
        <w:jc w:val="center"/>
        <w:rPr>
          <w:rFonts w:hint="default" w:ascii="Times New Roman" w:hAnsi="Times New Roman" w:eastAsia="楷体_GB2312" w:cs="Times New Roman"/>
          <w:spacing w:val="3"/>
          <w:sz w:val="32"/>
          <w:szCs w:val="32"/>
        </w:rPr>
      </w:pPr>
    </w:p>
    <w:p>
      <w:pPr>
        <w:pStyle w:val="4"/>
        <w:spacing w:before="74" w:line="224" w:lineRule="auto"/>
        <w:jc w:val="center"/>
        <w:rPr>
          <w:rFonts w:hint="eastAsia" w:ascii="Times New Roman" w:hAnsi="Times New Roman" w:eastAsia="楷体_GB2312" w:cs="Times New Roman"/>
          <w:spacing w:val="3"/>
          <w:sz w:val="32"/>
          <w:szCs w:val="32"/>
          <w:lang w:val="en-US" w:eastAsia="zh-CN"/>
        </w:rPr>
      </w:pPr>
    </w:p>
    <w:p>
      <w:pPr>
        <w:spacing w:before="60" w:line="3586" w:lineRule="exact"/>
        <w:jc w:val="center"/>
        <w:rPr>
          <w:rFonts w:hint="default" w:ascii="Times New Roman" w:hAnsi="Times New Roman" w:cs="Times New Roman"/>
        </w:rPr>
      </w:pPr>
      <w:r>
        <w:rPr>
          <w:lang w:val="en-US" w:eastAsia="zh-CN"/>
        </w:rPr>
        <w:drawing>
          <wp:inline distT="0" distB="0" distL="114300" distR="114300">
            <wp:extent cx="2995930" cy="22479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2995930" cy="2247900"/>
                    </a:xfrm>
                    <a:prstGeom prst="rect">
                      <a:avLst/>
                    </a:prstGeom>
                    <a:noFill/>
                    <a:ln>
                      <a:noFill/>
                    </a:ln>
                  </pic:spPr>
                </pic:pic>
              </a:graphicData>
            </a:graphic>
          </wp:inline>
        </w:drawing>
      </w:r>
    </w:p>
    <w:p>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textAlignment w:val="baseline"/>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lang w:val="en-US" w:eastAsia="zh-CN"/>
        </w:rPr>
        <w:t>2035.78</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与2023年度相比，收入合计增加175.29万元，增长9.4%，主要原因是</w:t>
      </w:r>
      <w:r>
        <w:rPr>
          <w:rFonts w:hint="eastAsia" w:ascii="仿宋" w:hAnsi="仿宋" w:eastAsia="仿宋"/>
          <w:color w:val="auto"/>
          <w:sz w:val="32"/>
          <w:szCs w:val="32"/>
          <w:lang w:val="en-US" w:eastAsia="zh-CN"/>
        </w:rPr>
        <w:t>人员经费增长</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kern w:val="44"/>
          <w:sz w:val="32"/>
          <w:szCs w:val="32"/>
          <w:highlight w:val="none"/>
        </w:rPr>
        <w:t>其中：财政拨款收入1904.36万元，占本年收入93.5%；上级补助收入万元，占本年收入0.0%；事业收入万元，占本年收入0.0%；经营收入万元，占本年收入0.0%；附属单位上缴收入万元，占本年收入0.0%；其他收入131.42万元，占本年收入6.5%。</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pPr>
        <w:spacing w:line="269" w:lineRule="auto"/>
        <w:jc w:val="center"/>
        <w:rPr>
          <w:rFonts w:hint="default" w:ascii="Times New Roman" w:hAnsi="Times New Roman" w:cs="Times New Roman"/>
          <w:sz w:val="21"/>
        </w:rPr>
      </w:pPr>
      <w:r>
        <w:rPr>
          <w:lang w:val="en-US" w:eastAsia="zh-CN"/>
        </w:rPr>
        <w:drawing>
          <wp:inline distT="0" distB="0" distL="114300" distR="114300">
            <wp:extent cx="5080000" cy="3810000"/>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5080000" cy="3810000"/>
                    </a:xfrm>
                    <a:prstGeom prst="rect">
                      <a:avLst/>
                    </a:prstGeom>
                    <a:noFill/>
                    <a:ln>
                      <a:noFill/>
                    </a:ln>
                  </pic:spPr>
                </pic:pic>
              </a:graphicData>
            </a:graphic>
          </wp:inline>
        </w:drawing>
      </w:r>
    </w:p>
    <w:p>
      <w:pPr>
        <w:rPr>
          <w:rFonts w:hint="default" w:ascii="Times New Roman" w:hAnsi="Times New Roman" w:cs="Times New Roman"/>
          <w:sz w:val="21"/>
        </w:rPr>
      </w:pPr>
    </w:p>
    <w:p>
      <w:pPr>
        <w:spacing w:line="241" w:lineRule="auto"/>
        <w:rPr>
          <w:rFonts w:hint="default" w:ascii="Times New Roman" w:hAnsi="Times New Roman" w:cs="Times New Roman"/>
          <w:sz w:val="21"/>
        </w:rPr>
      </w:pPr>
    </w:p>
    <w:p>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2024年度支出合计2035.78万元，与2023年度相比，支出合计增加125.40万元，增长6.6%</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主要原因是人员经费增长。</w:t>
      </w:r>
      <w:r>
        <w:rPr>
          <w:rFonts w:hint="eastAsia" w:ascii="仿宋_GB2312" w:hAnsi="仿宋_GB2312" w:eastAsia="仿宋_GB2312" w:cs="仿宋_GB2312"/>
          <w:bCs/>
          <w:kern w:val="44"/>
          <w:sz w:val="32"/>
          <w:szCs w:val="32"/>
          <w:highlight w:val="none"/>
        </w:rPr>
        <w:t>其中：基本支出1967.46万元，占本年支出96.6%；项目支出68.32万元，占本年支出3.4%；上缴上级支出万元，占本年支出0.0%；经营支出万元，占本年支出0.0%；对附属单位补助支出万元，占本年支出0.0%。</w:t>
      </w:r>
    </w:p>
    <w:p>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仿宋_GB2312" w:hAnsi="仿宋_GB2312" w:eastAsia="仿宋_GB2312" w:cs="仿宋_GB2312"/>
          <w:bCs/>
          <w:kern w:val="44"/>
          <w:sz w:val="32"/>
          <w:szCs w:val="32"/>
          <w:highlight w:val="none"/>
        </w:rPr>
      </w:pPr>
      <w:r>
        <w:rPr>
          <w:rFonts w:hint="default" w:ascii="Times New Roman" w:hAnsi="Times New Roman" w:eastAsia="仿宋_GB2312" w:cs="Times New Roman"/>
          <w:b/>
          <w:bCs/>
          <w:spacing w:val="-6"/>
          <w:lang w:val="en-US" w:eastAsia="zh-CN"/>
        </w:rPr>
        <w:t xml:space="preserve"> </w:t>
      </w:r>
      <w:r>
        <w:rPr>
          <w:rFonts w:hint="default" w:ascii="Times New Roman" w:hAnsi="Times New Roman" w:eastAsia="楷体_GB2312" w:cs="Times New Roman"/>
          <w:spacing w:val="3"/>
          <w:sz w:val="32"/>
          <w:szCs w:val="32"/>
        </w:rPr>
        <w:t>图 3：支出决算结构</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p>
    <w:p>
      <w:pPr>
        <w:rPr>
          <w:rFonts w:hint="default" w:ascii="Times New Roman" w:hAnsi="Times New Roman" w:cs="Times New Roman"/>
          <w:lang w:val="en-US" w:eastAsia="zh-CN"/>
        </w:rPr>
      </w:pPr>
    </w:p>
    <w:p>
      <w:pPr>
        <w:spacing w:before="223" w:line="4723" w:lineRule="exact"/>
        <w:ind w:firstLine="819"/>
        <w:jc w:val="center"/>
        <w:rPr>
          <w:rFonts w:hint="default" w:ascii="Times New Roman" w:hAnsi="Times New Roman" w:cs="Times New Roman"/>
          <w:sz w:val="21"/>
        </w:rPr>
      </w:pPr>
      <w:r>
        <w:rPr>
          <w:lang w:val="en-US" w:eastAsia="zh-CN"/>
        </w:rPr>
        <w:drawing>
          <wp:inline distT="0" distB="0" distL="114300" distR="114300">
            <wp:extent cx="3615055" cy="2712085"/>
            <wp:effectExtent l="0" t="0" r="381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7"/>
                    <a:stretch>
                      <a:fillRect/>
                    </a:stretch>
                  </pic:blipFill>
                  <pic:spPr>
                    <a:xfrm>
                      <a:off x="0" y="0"/>
                      <a:ext cx="3615055" cy="2712085"/>
                    </a:xfrm>
                    <a:prstGeom prst="rect">
                      <a:avLst/>
                    </a:prstGeom>
                    <a:noFill/>
                    <a:ln>
                      <a:noFill/>
                    </a:ln>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2024年度财政拨款收、支总计均为1904.36万元。与2023年度相比，财政拨款收、支总计各增加109.06万元，增长6.1%。主要原因是人员经费增长。</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    1904.36万元，比2023年度决算数增加109.06万元,增加主要原因是人员经费增长。</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主要原因是没有相关收支。国有资本经营预算财政拨款收入</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主要原因是是没有相关收支。</w:t>
      </w:r>
    </w:p>
    <w:p>
      <w:pPr>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4：财政拨款收、支决算总计变动情况</w:t>
      </w:r>
    </w:p>
    <w:p>
      <w:pPr>
        <w:pStyle w:val="2"/>
        <w:rPr>
          <w:rFonts w:hint="default" w:ascii="Times New Roman" w:hAnsi="Times New Roman" w:eastAsia="楷体_GB2312" w:cs="Times New Roman"/>
          <w:spacing w:val="3"/>
          <w:sz w:val="32"/>
          <w:szCs w:val="32"/>
        </w:rPr>
      </w:pPr>
    </w:p>
    <w:p>
      <w:pPr>
        <w:jc w:val="center"/>
        <w:rPr>
          <w:rFonts w:hint="default" w:ascii="Times New Roman" w:hAnsi="Times New Roman" w:eastAsia="楷体_GB2312" w:cs="Times New Roman"/>
          <w:spacing w:val="3"/>
          <w:sz w:val="32"/>
          <w:szCs w:val="32"/>
        </w:rPr>
      </w:pPr>
      <w:r>
        <w:rPr>
          <w:lang w:val="en-US" w:eastAsia="zh-CN"/>
        </w:rPr>
        <w:drawing>
          <wp:inline distT="0" distB="0" distL="114300" distR="114300">
            <wp:extent cx="5080000" cy="3810000"/>
            <wp:effectExtent l="0" t="0" r="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8"/>
                    <a:stretch>
                      <a:fillRect/>
                    </a:stretch>
                  </pic:blipFill>
                  <pic:spPr>
                    <a:xfrm>
                      <a:off x="0" y="0"/>
                      <a:ext cx="5080000" cy="3810000"/>
                    </a:xfrm>
                    <a:prstGeom prst="rect">
                      <a:avLst/>
                    </a:prstGeom>
                    <a:noFill/>
                    <a:ln>
                      <a:noFill/>
                    </a:ln>
                  </pic:spPr>
                </pic:pic>
              </a:graphicData>
            </a:graphic>
          </wp:inline>
        </w:drawing>
      </w:r>
    </w:p>
    <w:p>
      <w:pPr>
        <w:pStyle w:val="2"/>
        <w:rPr>
          <w:rFonts w:hint="default" w:ascii="Times New Roman" w:hAnsi="Times New Roman" w:eastAsia="楷体_GB2312" w:cs="Times New Roman"/>
          <w:spacing w:val="3"/>
          <w:sz w:val="32"/>
          <w:szCs w:val="32"/>
        </w:rPr>
      </w:pP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2024年度一般公共预算财政拨款支出1904.36万元，占本年支出合计的93.5%。与2023年度相比，一般公共预算财政拨款支出增加109.06万元，增长6.1%,主要原因是人员经费的增长。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2024年度一般公共预算财政拨款支出1904.36万元，主要用于以下方面：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1.教育支出类支出1763.62万元，占92.61%。主要是用于主要是用于为保证学校日常教学运转发生的各项支出，如基本工资、津补贴等根据规定安排的人员经费支出，办公费、物业管理费等日常公用经费支出。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2.社会保障和就业支出类支出140.74万元，占7.39%。主要是用于支付单位职工养老保险缴费。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pStyle w:val="2"/>
        <w:ind w:left="0" w:leftChars="0" w:firstLine="628" w:firstLineChars="200"/>
        <w:rPr>
          <w:rFonts w:hint="default"/>
          <w:highlight w:val="none"/>
        </w:rPr>
      </w:pPr>
      <w:r>
        <w:rPr>
          <w:rFonts w:hint="default" w:ascii="Times New Roman" w:hAnsi="Times New Roman" w:eastAsia="仿宋_GB2312" w:cs="Times New Roman"/>
          <w:spacing w:val="-3"/>
        </w:rPr>
        <w:t>2024年度一般公共预算财政拨款支出年初预算为1809.02万元，支出决算为1904.36万元，完成年初预算的105.3%。</w:t>
      </w:r>
      <w:r>
        <w:rPr>
          <w:rFonts w:hint="default" w:ascii="Times New Roman" w:hAnsi="Times New Roman" w:eastAsia="仿宋_GB2312" w:cs="Times New Roman"/>
          <w:spacing w:val="-1"/>
        </w:rPr>
        <w:t>其中：基本支出</w:t>
      </w:r>
      <w:r>
        <w:rPr>
          <w:rFonts w:hint="eastAsia" w:ascii="Times New Roman" w:hAnsi="Times New Roman" w:eastAsia="仿宋_GB2312" w:cs="Times New Roman"/>
          <w:spacing w:val="-1"/>
          <w:lang w:val="en-US" w:eastAsia="zh-CN"/>
        </w:rPr>
        <w:t>1857.33</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6"/>
        </w:rPr>
        <w:t>万元，项目支出</w:t>
      </w:r>
      <w:r>
        <w:rPr>
          <w:rFonts w:hint="eastAsia" w:ascii="Times New Roman" w:hAnsi="Times New Roman" w:eastAsia="仿宋_GB2312" w:cs="Times New Roman"/>
          <w:spacing w:val="-6"/>
          <w:u w:val="single" w:color="auto"/>
          <w:lang w:val="en-US" w:eastAsia="zh-CN"/>
        </w:rPr>
        <w:t>47.03</w:t>
      </w:r>
      <w:r>
        <w:rPr>
          <w:rFonts w:hint="default" w:ascii="Times New Roman" w:hAnsi="Times New Roman" w:eastAsia="仿宋_GB2312" w:cs="Times New Roman"/>
          <w:spacing w:val="-6"/>
        </w:rPr>
        <w:t>万元。项目支出主要用于</w:t>
      </w:r>
      <w:r>
        <w:rPr>
          <w:rFonts w:hint="default"/>
          <w:highlight w:val="none"/>
        </w:rPr>
        <w:t>上级专款——武财教[</w:t>
      </w:r>
      <w:r>
        <w:rPr>
          <w:rFonts w:hint="eastAsia"/>
          <w:highlight w:val="none"/>
          <w:lang w:val="en-US" w:eastAsia="zh-CN"/>
        </w:rPr>
        <w:t>2023</w:t>
      </w:r>
      <w:r>
        <w:rPr>
          <w:rFonts w:hint="default"/>
          <w:highlight w:val="none"/>
        </w:rPr>
        <w:t>]</w:t>
      </w:r>
      <w:r>
        <w:rPr>
          <w:rFonts w:hint="eastAsia"/>
          <w:highlight w:val="none"/>
          <w:lang w:val="en-US" w:eastAsia="zh-CN"/>
        </w:rPr>
        <w:t>28</w:t>
      </w:r>
      <w:r>
        <w:rPr>
          <w:rFonts w:hint="default"/>
          <w:highlight w:val="none"/>
        </w:rPr>
        <w:t>号--城乡义务教育补助</w:t>
      </w:r>
      <w:r>
        <w:rPr>
          <w:rFonts w:hint="eastAsia"/>
          <w:highlight w:val="none"/>
          <w:lang w:val="en-US" w:eastAsia="zh-CN"/>
        </w:rPr>
        <w:t>资金</w:t>
      </w:r>
      <w:r>
        <w:rPr>
          <w:rFonts w:hint="eastAsia" w:ascii="Times New Roman" w:hAnsi="Times New Roman" w:cs="Times New Roman"/>
          <w:bCs/>
          <w:kern w:val="44"/>
          <w:sz w:val="32"/>
          <w:szCs w:val="32"/>
          <w:lang w:val="en-US" w:eastAsia="zh-CN" w:bidi="ar-SA"/>
        </w:rPr>
        <w:t>47.03</w:t>
      </w:r>
      <w:r>
        <w:rPr>
          <w:rFonts w:hint="default" w:ascii="Times New Roman" w:hAnsi="Times New Roman" w:eastAsia="仿宋_GB2312" w:cs="Times New Roman"/>
          <w:bCs/>
          <w:kern w:val="44"/>
          <w:sz w:val="32"/>
          <w:szCs w:val="32"/>
          <w:lang w:val="en-US" w:eastAsia="zh-CN" w:bidi="ar-SA"/>
        </w:rPr>
        <w:t>万</w:t>
      </w:r>
      <w:r>
        <w:rPr>
          <w:rFonts w:hint="default"/>
          <w:highlight w:val="none"/>
        </w:rPr>
        <w:t>元，用于补充办公费</w:t>
      </w:r>
      <w:r>
        <w:rPr>
          <w:rFonts w:hint="eastAsia"/>
          <w:highlight w:val="none"/>
          <w:lang w:eastAsia="zh-CN"/>
        </w:rPr>
        <w:t>、</w:t>
      </w:r>
      <w:r>
        <w:rPr>
          <w:rFonts w:hint="default"/>
          <w:highlight w:val="none"/>
        </w:rPr>
        <w:t>维修（护）费</w:t>
      </w:r>
      <w:r>
        <w:rPr>
          <w:rFonts w:hint="eastAsia"/>
          <w:highlight w:val="none"/>
          <w:lang w:eastAsia="zh-CN"/>
        </w:rPr>
        <w:t>、其他商品和服务支出</w:t>
      </w:r>
      <w:r>
        <w:rPr>
          <w:rFonts w:hint="eastAsia"/>
          <w:highlight w:val="none"/>
          <w:lang w:val="en-US" w:eastAsia="zh-CN"/>
        </w:rPr>
        <w:t>等</w:t>
      </w:r>
      <w:r>
        <w:rPr>
          <w:rFonts w:hint="default"/>
          <w:highlight w:val="none"/>
        </w:rPr>
        <w:t>公用经费。</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一般公共预算财政拨款支出决算具体情况，按支出功能分类类级科目逐类分析：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napToGrid w:val="0"/>
          <w:color w:val="000000"/>
          <w:spacing w:val="-6"/>
          <w:kern w:val="0"/>
          <w:sz w:val="32"/>
          <w:szCs w:val="21"/>
          <w:lang w:val="en-US" w:eastAsia="en-US" w:bidi="ar-SA"/>
        </w:rPr>
      </w:pPr>
      <w:r>
        <w:rPr>
          <w:rFonts w:hint="default" w:ascii="Times New Roman" w:hAnsi="Times New Roman" w:eastAsia="仿宋_GB2312" w:cs="Times New Roman"/>
          <w:snapToGrid w:val="0"/>
          <w:color w:val="000000"/>
          <w:spacing w:val="-3"/>
          <w:kern w:val="0"/>
          <w:sz w:val="32"/>
          <w:szCs w:val="21"/>
          <w:lang w:val="en-US" w:eastAsia="en-US" w:bidi="ar-SA"/>
        </w:rPr>
        <w:t>（1）教育支出（类）普通教育（款）小学教育（项）年初预算为1668.28万元，支出决算为1763.62万元，完成年初预算的106%，支出决算数大于年初预算数的主要原因：是有新招教师，</w:t>
      </w:r>
      <w:r>
        <w:rPr>
          <w:rFonts w:hint="default" w:ascii="Times New Roman" w:hAnsi="Times New Roman" w:eastAsia="仿宋_GB2312" w:cs="Times New Roman"/>
          <w:snapToGrid w:val="0"/>
          <w:color w:val="000000"/>
          <w:spacing w:val="-6"/>
          <w:kern w:val="0"/>
          <w:sz w:val="32"/>
          <w:szCs w:val="21"/>
          <w:lang w:val="en-US" w:eastAsia="en-US" w:bidi="ar-SA"/>
        </w:rPr>
        <w:t>人员经费有增长。</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snapToGrid w:val="0"/>
          <w:color w:val="000000"/>
          <w:spacing w:val="-6"/>
          <w:kern w:val="0"/>
          <w:sz w:val="32"/>
          <w:szCs w:val="21"/>
          <w:lang w:val="en-US" w:eastAsia="en-US" w:bidi="ar-SA"/>
        </w:rPr>
      </w:pPr>
      <w:r>
        <w:rPr>
          <w:rFonts w:hint="default" w:ascii="Times New Roman" w:hAnsi="Times New Roman" w:eastAsia="仿宋_GB2312" w:cs="Times New Roman"/>
          <w:snapToGrid w:val="0"/>
          <w:color w:val="000000"/>
          <w:spacing w:val="-6"/>
          <w:kern w:val="0"/>
          <w:sz w:val="32"/>
          <w:szCs w:val="21"/>
          <w:lang w:val="en-US" w:eastAsia="en-US" w:bidi="ar-SA"/>
        </w:rPr>
        <w:t>（</w:t>
      </w:r>
      <w:r>
        <w:rPr>
          <w:rFonts w:hint="eastAsia" w:ascii="Times New Roman" w:hAnsi="Times New Roman" w:eastAsia="仿宋_GB2312" w:cs="Times New Roman"/>
          <w:snapToGrid w:val="0"/>
          <w:color w:val="000000"/>
          <w:spacing w:val="-6"/>
          <w:kern w:val="0"/>
          <w:sz w:val="32"/>
          <w:szCs w:val="21"/>
          <w:lang w:val="en-US" w:eastAsia="zh-CN" w:bidi="ar-SA"/>
        </w:rPr>
        <w:t>2</w:t>
      </w:r>
      <w:r>
        <w:rPr>
          <w:rFonts w:hint="default" w:ascii="Times New Roman" w:hAnsi="Times New Roman" w:eastAsia="仿宋_GB2312" w:cs="Times New Roman"/>
          <w:snapToGrid w:val="0"/>
          <w:color w:val="000000"/>
          <w:spacing w:val="-6"/>
          <w:kern w:val="0"/>
          <w:sz w:val="32"/>
          <w:szCs w:val="21"/>
          <w:lang w:val="en-US" w:eastAsia="en-US" w:bidi="ar-SA"/>
        </w:rPr>
        <w:t>）社会保障和就业支出（类）行政事业单位养老支出（款）机关事业单位基本养老保险缴费支出（项）年初预算为140.74万元，支出决算为140.74万元，完成年初预算的100%，支出决算数等于年初预算数。</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2024年度一般公共预算财政拨款基本支出1857.33万元，其中：</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人员经费1707.66万元，主要包括：基本工资、津贴补贴、绩效工资、机关事业单位基本养老保险缴费、职工基本医疗保险缴费、公务员医疗补助缴费、其他社会保障缴费、住房公积金。</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公用经费149.67万元，主要包括：办公费、印刷费、水费、电费、邮电费、物业管理费、维修(护)费、租赁费、培训费、专用材料费、劳务费、委托业务费、工会经费、福利费、其他交通费用、其他商品和服务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本部门当年无政府性基金预算财政拨款收入支出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本部门当年无国有资本经营预算财政拨款支出</w:t>
      </w:r>
      <w:r>
        <w:rPr>
          <w:rFonts w:hint="eastAsia"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万元，支出决算为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万元，完成全年预算的</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%。较上年增加(减少)   0 万元，增长(下降)</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 xml:space="preserve"> %。决算数等于全年预算数的主要原因：主要原因是严格执行节约政策，无相关预算计划。</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1.因公出国</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境</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费</w:t>
      </w:r>
      <w:r>
        <w:rPr>
          <w:rFonts w:hint="eastAsia" w:ascii="Times New Roman" w:hAnsi="Times New Roman" w:eastAsia="仿宋_GB2312" w:cs="Times New Roman"/>
          <w:spacing w:val="-4"/>
          <w:lang w:eastAsia="zh-CN"/>
        </w:rPr>
        <w:t>全年</w:t>
      </w:r>
      <w:r>
        <w:rPr>
          <w:rFonts w:hint="default" w:ascii="Times New Roman" w:hAnsi="Times New Roman" w:eastAsia="仿宋_GB2312" w:cs="Times New Roman"/>
          <w:spacing w:val="-4"/>
        </w:rPr>
        <w:t>预算为</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4"/>
        </w:rPr>
        <w:t>万元，支出决算</w:t>
      </w:r>
      <w:r>
        <w:rPr>
          <w:rFonts w:hint="default" w:ascii="Times New Roman" w:hAnsi="Times New Roman" w:eastAsia="仿宋_GB2312" w:cs="Times New Roman"/>
          <w:spacing w:val="-5"/>
        </w:rPr>
        <w:t>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1"/>
        </w:rPr>
        <w:t>完成</w:t>
      </w:r>
      <w:r>
        <w:rPr>
          <w:rFonts w:hint="eastAsia" w:ascii="Times New Roman" w:hAnsi="Times New Roman" w:eastAsia="仿宋_GB2312" w:cs="Times New Roman"/>
          <w:spacing w:val="11"/>
          <w:lang w:eastAsia="zh-CN"/>
        </w:rPr>
        <w:t>全年</w:t>
      </w:r>
      <w:r>
        <w:rPr>
          <w:rFonts w:hint="default" w:ascii="Times New Roman" w:hAnsi="Times New Roman" w:eastAsia="仿宋_GB2312" w:cs="Times New Roman"/>
          <w:spacing w:val="11"/>
        </w:rPr>
        <w:t>预算的</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7"/>
          <w:u w:val="single" w:color="auto"/>
        </w:rPr>
        <w:t xml:space="preserve">  </w:t>
      </w:r>
      <w:r>
        <w:rPr>
          <w:rFonts w:hint="eastAsia" w:ascii="Times New Roman" w:hAnsi="Times New Roman" w:eastAsia="仿宋_GB2312" w:cs="Times New Roman"/>
          <w:spacing w:val="17"/>
          <w:u w:val="single" w:color="auto"/>
          <w:lang w:val="en-US" w:eastAsia="zh-CN"/>
        </w:rPr>
        <w:t>0</w:t>
      </w:r>
      <w:r>
        <w:rPr>
          <w:rFonts w:hint="default" w:ascii="Times New Roman" w:hAnsi="Times New Roman" w:eastAsia="仿宋_GB2312" w:cs="Times New Roman"/>
          <w:spacing w:val="17"/>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1"/>
        </w:rPr>
        <w:t>%，</w:t>
      </w:r>
      <w:r>
        <w:rPr>
          <w:rFonts w:hint="default" w:ascii="Times New Roman" w:hAnsi="Times New Roman" w:eastAsia="仿宋_GB2312" w:cs="Times New Roman"/>
          <w:spacing w:val="-78"/>
        </w:rPr>
        <w:t xml:space="preserve"> </w:t>
      </w:r>
      <w:r>
        <w:rPr>
          <w:rFonts w:hint="default" w:ascii="Times New Roman" w:hAnsi="Times New Roman" w:eastAsia="仿宋_GB2312" w:cs="Times New Roman"/>
          <w:spacing w:val="11"/>
        </w:rPr>
        <w:t>比</w:t>
      </w:r>
      <w:r>
        <w:rPr>
          <w:rFonts w:hint="eastAsia" w:ascii="Times New Roman" w:hAnsi="Times New Roman" w:eastAsia="仿宋_GB2312" w:cs="Times New Roman"/>
          <w:spacing w:val="11"/>
          <w:lang w:eastAsia="zh-CN"/>
        </w:rPr>
        <w:t>上年</w:t>
      </w:r>
      <w:r>
        <w:rPr>
          <w:rFonts w:hint="default" w:ascii="Times New Roman" w:hAnsi="Times New Roman" w:eastAsia="仿宋_GB2312" w:cs="Times New Roman"/>
          <w:spacing w:val="11"/>
        </w:rPr>
        <w:t>增加</w:t>
      </w:r>
      <w:r>
        <w:rPr>
          <w:rFonts w:hint="default" w:ascii="Times New Roman" w:hAnsi="Times New Roman" w:eastAsia="仿宋_GB2312" w:cs="Times New Roman"/>
          <w:spacing w:val="11"/>
          <w:u w:val="single" w:color="auto"/>
        </w:rPr>
        <w:t xml:space="preserve">   </w:t>
      </w:r>
      <w:r>
        <w:rPr>
          <w:rFonts w:hint="eastAsia" w:ascii="Times New Roman" w:hAnsi="Times New Roman" w:eastAsia="仿宋_GB2312" w:cs="Times New Roman"/>
          <w:spacing w:val="11"/>
          <w:u w:val="single" w:color="auto"/>
          <w:lang w:val="en-US" w:eastAsia="zh-CN"/>
        </w:rPr>
        <w:t>0</w:t>
      </w:r>
      <w:r>
        <w:rPr>
          <w:rFonts w:hint="default" w:ascii="Times New Roman" w:hAnsi="Times New Roman" w:eastAsia="仿宋_GB2312" w:cs="Times New Roman"/>
          <w:spacing w:val="11"/>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11"/>
        </w:rPr>
        <w:t>万</w:t>
      </w:r>
      <w:r>
        <w:rPr>
          <w:rFonts w:hint="default" w:ascii="Times New Roman" w:hAnsi="Times New Roman" w:eastAsia="仿宋_GB2312" w:cs="Times New Roman"/>
          <w:spacing w:val="10"/>
        </w:rPr>
        <w:t>元，</w:t>
      </w:r>
      <w:r>
        <w:rPr>
          <w:rFonts w:hint="eastAsia" w:ascii="仿宋_GB2312" w:hAnsi="仿宋_GB2312" w:eastAsia="仿宋_GB2312" w:cs="仿宋_GB2312"/>
          <w:sz w:val="32"/>
          <w:szCs w:val="32"/>
          <w:u w:val="none"/>
          <w:lang w:val="en-US" w:eastAsia="zh-CN"/>
        </w:rPr>
        <w:t>增</w:t>
      </w:r>
      <w:r>
        <w:rPr>
          <w:rFonts w:hint="eastAsia" w:ascii="仿宋_GB2312" w:hAnsi="仿宋_GB2312" w:eastAsia="仿宋_GB2312" w:cs="仿宋_GB2312"/>
          <w:sz w:val="32"/>
          <w:szCs w:val="32"/>
          <w:lang w:val="en-US" w:eastAsia="zh-CN"/>
        </w:rPr>
        <w:t>长</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pacing w:val="-108"/>
        </w:rPr>
        <w:t xml:space="preserve"> </w:t>
      </w:r>
      <w:r>
        <w:rPr>
          <w:rFonts w:hint="eastAsia" w:ascii="仿宋_GB2312" w:hAnsi="仿宋_GB2312" w:eastAsia="仿宋_GB2312" w:cs="仿宋_GB2312"/>
          <w:sz w:val="32"/>
          <w:szCs w:val="32"/>
          <w:lang w:val="en-US" w:eastAsia="zh-CN"/>
        </w:rPr>
        <w:t>决算数等于全年预算数的主要原因</w:t>
      </w:r>
      <w:r>
        <w:rPr>
          <w:rFonts w:hint="eastAsia" w:ascii="Times New Roman" w:hAnsi="Times New Roman" w:eastAsia="仿宋_GB2312" w:cs="Times New Roman"/>
          <w:spacing w:val="1"/>
          <w:lang w:val="en-US" w:eastAsia="zh-CN"/>
        </w:rPr>
        <w:t>严格执行节约政策，无相关预算计划。</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rPr>
      </w:pPr>
      <w:r>
        <w:rPr>
          <w:rFonts w:hint="default" w:ascii="Times New Roman" w:hAnsi="Times New Roman" w:eastAsia="仿宋_GB2312" w:cs="Times New Roman"/>
          <w:spacing w:val="-5"/>
        </w:rPr>
        <w:t>全年支出涉及出国（境）团组</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个，累计</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6"/>
        </w:rPr>
        <w:t>人次</w:t>
      </w:r>
      <w:r>
        <w:rPr>
          <w:rFonts w:hint="default" w:ascii="Times New Roman" w:hAnsi="Times New Roman" w:eastAsia="仿宋_GB2312" w:cs="Times New Roman"/>
          <w:spacing w:val="-7"/>
        </w:rPr>
        <w:t>。</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rPr>
      </w:pPr>
      <w:r>
        <w:rPr>
          <w:rFonts w:hint="default" w:ascii="Times New Roman" w:hAnsi="Times New Roman" w:eastAsia="仿宋_GB2312" w:cs="Times New Roman"/>
          <w:spacing w:val="-6"/>
        </w:rPr>
        <w:t>2.</w:t>
      </w:r>
      <w:r>
        <w:rPr>
          <w:rFonts w:hint="eastAsia" w:ascii="仿宋_GB2312" w:hAnsi="仿宋_GB2312" w:eastAsia="仿宋_GB2312" w:cs="仿宋_GB2312"/>
          <w:color w:val="000000"/>
          <w:sz w:val="32"/>
          <w:szCs w:val="32"/>
          <w:highlight w:val="none"/>
        </w:rPr>
        <w:t>公务用车购置及运行费</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lang w:eastAsia="zh-CN"/>
        </w:rPr>
        <w:t>预算为</w:t>
      </w:r>
      <w:r>
        <w:rPr>
          <w:rFonts w:hint="eastAsia" w:ascii="仿宋_GB2312" w:hAnsi="仿宋_GB2312" w:eastAsia="仿宋_GB2312" w:cs="仿宋_GB2312"/>
          <w:color w:val="000000"/>
          <w:sz w:val="32"/>
          <w:szCs w:val="32"/>
          <w:highlight w:val="none"/>
          <w:u w:val="single"/>
          <w:lang w:val="en-US" w:eastAsia="zh-CN"/>
        </w:rPr>
        <w:t xml:space="preserve"> 0  </w:t>
      </w:r>
      <w:r>
        <w:rPr>
          <w:rFonts w:hint="eastAsia" w:ascii="仿宋_GB2312" w:hAnsi="仿宋_GB2312" w:eastAsia="仿宋_GB2312" w:cs="仿宋_GB2312"/>
          <w:color w:val="000000"/>
          <w:sz w:val="32"/>
          <w:szCs w:val="32"/>
          <w:highlight w:val="none"/>
          <w:u w:val="none"/>
          <w:lang w:val="en-US" w:eastAsia="zh-CN"/>
        </w:rPr>
        <w:t>万元，</w:t>
      </w:r>
      <w:r>
        <w:rPr>
          <w:rFonts w:hint="eastAsia" w:ascii="仿宋_GB2312" w:hAnsi="仿宋_GB2312" w:eastAsia="仿宋_GB2312" w:cs="仿宋_GB2312"/>
          <w:color w:val="000000"/>
          <w:sz w:val="32"/>
          <w:szCs w:val="32"/>
          <w:highlight w:val="none"/>
        </w:rPr>
        <w:t>支出决算为</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0</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较上年增加</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万元，增长</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pacing w:val="-108"/>
        </w:rPr>
        <w:t xml:space="preserve"> </w:t>
      </w:r>
      <w:r>
        <w:rPr>
          <w:rFonts w:hint="eastAsia" w:ascii="仿宋_GB2312" w:hAnsi="仿宋_GB2312" w:eastAsia="仿宋_GB2312" w:cs="仿宋_GB2312"/>
          <w:sz w:val="32"/>
          <w:szCs w:val="32"/>
          <w:lang w:val="en-US" w:eastAsia="zh-CN"/>
        </w:rPr>
        <w:t>决算数等于全年预算数的主要原因</w:t>
      </w:r>
      <w:r>
        <w:rPr>
          <w:rFonts w:hint="eastAsia" w:ascii="Times New Roman" w:hAnsi="Times New Roman" w:eastAsia="仿宋_GB2312" w:cs="Times New Roman"/>
          <w:spacing w:val="1"/>
          <w:lang w:val="en-US" w:eastAsia="zh-CN"/>
        </w:rPr>
        <w:t>严格执行节约政策，无相关预算计划。</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1</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公务用车购置费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8"/>
        </w:rPr>
        <w:t>%，比年</w:t>
      </w:r>
      <w:r>
        <w:rPr>
          <w:rFonts w:hint="default" w:ascii="Times New Roman" w:hAnsi="Times New Roman" w:eastAsia="仿宋_GB2312" w:cs="Times New Roman"/>
          <w:spacing w:val="-2"/>
        </w:rPr>
        <w:t>初预算增加</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万元，本年度购置</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新</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公务用车</w:t>
      </w:r>
      <w:r>
        <w:rPr>
          <w:rFonts w:hint="default" w:ascii="Times New Roman" w:hAnsi="Times New Roman" w:eastAsia="仿宋_GB2312" w:cs="Times New Roman"/>
          <w:spacing w:val="-2"/>
          <w:u w:val="single" w:color="auto"/>
        </w:rPr>
        <w:t xml:space="preserve">  </w:t>
      </w:r>
      <w:r>
        <w:rPr>
          <w:rFonts w:hint="eastAsia" w:ascii="Times New Roman" w:hAnsi="Times New Roman" w:eastAsia="仿宋_GB2312" w:cs="Times New Roman"/>
          <w:spacing w:val="-2"/>
          <w:u w:val="single" w:color="auto"/>
          <w:lang w:val="en-US" w:eastAsia="zh-CN"/>
        </w:rPr>
        <w:t>0</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2"/>
        </w:rPr>
        <w:t>辆。</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2</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公务用车运行费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8"/>
        </w:rPr>
        <w:t>%，比年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7"/>
        </w:rPr>
        <w:t>初预算增加</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21"/>
        </w:rPr>
        <w:t xml:space="preserve"> </w:t>
      </w:r>
      <w:r>
        <w:rPr>
          <w:rFonts w:hint="default" w:ascii="Times New Roman" w:hAnsi="Times New Roman" w:eastAsia="仿宋_GB2312" w:cs="Times New Roman"/>
          <w:spacing w:val="-7"/>
        </w:rPr>
        <w:t>万元，主要原</w:t>
      </w:r>
      <w:r>
        <w:rPr>
          <w:rFonts w:hint="default" w:ascii="Times New Roman" w:hAnsi="Times New Roman" w:eastAsia="仿宋_GB2312" w:cs="Times New Roman"/>
          <w:spacing w:val="-2"/>
        </w:rPr>
        <w:t>因是</w:t>
      </w:r>
      <w:r>
        <w:rPr>
          <w:rFonts w:hint="eastAsia" w:ascii="Times New Roman" w:hAnsi="Times New Roman" w:eastAsia="仿宋_GB2312" w:cs="Times New Roman"/>
          <w:spacing w:val="-2"/>
          <w:lang w:val="en-US" w:eastAsia="zh-CN"/>
        </w:rPr>
        <w:t>本部门没有公务车</w:t>
      </w:r>
      <w:r>
        <w:rPr>
          <w:rFonts w:hint="default" w:ascii="Times New Roman" w:hAnsi="Times New Roman" w:eastAsia="仿宋_GB2312" w:cs="Times New Roman"/>
          <w:spacing w:val="-7"/>
        </w:rPr>
        <w:t>。</w:t>
      </w:r>
      <w:r>
        <w:rPr>
          <w:rFonts w:hint="default" w:ascii="Times New Roman" w:hAnsi="Times New Roman" w:eastAsia="仿宋_GB2312" w:cs="Times New Roman"/>
          <w:spacing w:val="9"/>
        </w:rPr>
        <w:t>截至</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9"/>
        </w:rPr>
        <w:t>202</w:t>
      </w:r>
      <w:r>
        <w:rPr>
          <w:rFonts w:hint="eastAsia" w:ascii="Times New Roman" w:hAnsi="Times New Roman" w:eastAsia="仿宋_GB2312" w:cs="Times New Roman"/>
          <w:spacing w:val="9"/>
          <w:lang w:val="en-US" w:eastAsia="zh-CN"/>
        </w:rPr>
        <w:t>4</w:t>
      </w:r>
      <w:r>
        <w:rPr>
          <w:rFonts w:hint="default" w:ascii="Times New Roman" w:hAnsi="Times New Roman" w:eastAsia="仿宋_GB2312" w:cs="Times New Roman"/>
          <w:spacing w:val="-39"/>
        </w:rPr>
        <w:t xml:space="preserve"> </w:t>
      </w:r>
      <w:r>
        <w:rPr>
          <w:rFonts w:hint="default" w:ascii="Times New Roman" w:hAnsi="Times New Roman" w:eastAsia="微软雅黑" w:cs="Times New Roman"/>
          <w:spacing w:val="9"/>
        </w:rPr>
        <w:t>年</w:t>
      </w:r>
      <w:r>
        <w:rPr>
          <w:rFonts w:hint="default" w:ascii="Times New Roman" w:hAnsi="Times New Roman" w:eastAsia="微软雅黑" w:cs="Times New Roman"/>
          <w:spacing w:val="49"/>
        </w:rPr>
        <w:t xml:space="preserve"> </w:t>
      </w:r>
      <w:r>
        <w:rPr>
          <w:rFonts w:hint="default" w:ascii="Times New Roman" w:hAnsi="Times New Roman" w:eastAsia="仿宋_GB2312" w:cs="Times New Roman"/>
          <w:spacing w:val="9"/>
        </w:rPr>
        <w:t>12</w:t>
      </w:r>
      <w:r>
        <w:rPr>
          <w:rFonts w:hint="default" w:ascii="Times New Roman" w:hAnsi="Times New Roman" w:eastAsia="仿宋_GB2312" w:cs="Times New Roman"/>
          <w:spacing w:val="-23"/>
        </w:rPr>
        <w:t xml:space="preserve"> </w:t>
      </w:r>
      <w:r>
        <w:rPr>
          <w:rFonts w:hint="default" w:ascii="Times New Roman" w:hAnsi="Times New Roman" w:eastAsia="仿宋_GB2312" w:cs="Times New Roman"/>
          <w:spacing w:val="9"/>
        </w:rPr>
        <w:t>月 31 日，开支财政拨款的公务用车保有量</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 xml:space="preserve"> </w:t>
      </w:r>
      <w:r>
        <w:rPr>
          <w:rFonts w:hint="default" w:ascii="Times New Roman" w:hAnsi="Times New Roman" w:eastAsia="仿宋_GB2312" w:cs="Times New Roman"/>
          <w:spacing w:val="-6"/>
        </w:rPr>
        <w:t>辆。</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4"/>
        </w:rPr>
      </w:pPr>
      <w:r>
        <w:rPr>
          <w:rFonts w:hint="default" w:ascii="Times New Roman" w:hAnsi="Times New Roman" w:eastAsia="仿宋_GB2312" w:cs="Times New Roman"/>
          <w:spacing w:val="-7"/>
        </w:rPr>
        <w:t>3.</w:t>
      </w:r>
      <w:r>
        <w:rPr>
          <w:rFonts w:hint="eastAsia" w:ascii="Times New Roman" w:hAnsi="Times New Roman" w:eastAsia="仿宋_GB2312" w:cs="Times New Roman"/>
          <w:spacing w:val="-7"/>
        </w:rPr>
        <w:t>公务接待费</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lang w:eastAsia="zh-CN"/>
        </w:rPr>
        <w:t>预算为</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rPr>
        <w:t>支出决算为</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完成</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rPr>
        <w:t>预算的</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 xml:space="preserve"> %</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较上年增加0万元，增长0</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lang w:val="en-US" w:eastAsia="zh-CN"/>
        </w:rPr>
        <w:t>%。</w:t>
      </w:r>
      <w:r>
        <w:rPr>
          <w:rFonts w:hint="default" w:ascii="Times New Roman" w:hAnsi="Times New Roman" w:eastAsia="仿宋_GB2312" w:cs="Times New Roman"/>
          <w:spacing w:val="-4"/>
        </w:rPr>
        <w:t>主要原因是</w:t>
      </w:r>
      <w:r>
        <w:rPr>
          <w:rFonts w:hint="eastAsia" w:ascii="Times New Roman" w:hAnsi="Times New Roman" w:eastAsia="仿宋_GB2312" w:cs="Times New Roman"/>
          <w:spacing w:val="-6"/>
          <w:lang w:val="en-US" w:eastAsia="zh-CN"/>
        </w:rPr>
        <w:t>严格执行节约政策，无相关预算计划</w:t>
      </w:r>
      <w:r>
        <w:rPr>
          <w:rFonts w:hint="default" w:ascii="Times New Roman" w:hAnsi="Times New Roman" w:eastAsia="仿宋_GB2312" w:cs="Times New Roman"/>
          <w:spacing w:val="-4"/>
        </w:rPr>
        <w:t>。其中：</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2"/>
        </w:rPr>
        <w:t>外宾接待支出</w:t>
      </w:r>
      <w:r>
        <w:rPr>
          <w:rFonts w:hint="default" w:ascii="Times New Roman" w:hAnsi="Times New Roman" w:eastAsia="仿宋_GB2312" w:cs="Times New Roman"/>
          <w:spacing w:val="-139"/>
        </w:rPr>
        <w:t xml:space="preserve"> </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万元。202</w:t>
      </w:r>
      <w:r>
        <w:rPr>
          <w:rFonts w:hint="eastAsia" w:ascii="Times New Roman" w:hAnsi="Times New Roman" w:eastAsia="仿宋_GB2312" w:cs="Times New Roman"/>
          <w:spacing w:val="-2"/>
          <w:lang w:val="en-US" w:eastAsia="zh-CN"/>
        </w:rPr>
        <w:t>4</w:t>
      </w:r>
      <w:r>
        <w:rPr>
          <w:rFonts w:hint="default" w:ascii="Times New Roman" w:hAnsi="Times New Roman" w:eastAsia="仿宋_GB2312" w:cs="Times New Roman"/>
          <w:spacing w:val="-2"/>
        </w:rPr>
        <w:t>年共</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0"/>
        </w:rPr>
        <w:t>接待来访团组</w:t>
      </w:r>
      <w:r>
        <w:rPr>
          <w:rFonts w:hint="default" w:ascii="Times New Roman" w:hAnsi="Times New Roman" w:eastAsia="仿宋_GB2312" w:cs="Times New Roman"/>
          <w:spacing w:val="-10"/>
          <w:u w:val="single" w:color="auto"/>
        </w:rPr>
        <w:t xml:space="preserve">  </w:t>
      </w:r>
      <w:r>
        <w:rPr>
          <w:rFonts w:hint="eastAsia" w:ascii="Times New Roman" w:hAnsi="Times New Roman" w:eastAsia="仿宋_GB2312" w:cs="Times New Roman"/>
          <w:spacing w:val="-10"/>
          <w:u w:val="single" w:color="auto"/>
          <w:lang w:val="en-US" w:eastAsia="zh-CN"/>
        </w:rPr>
        <w:t>0</w:t>
      </w:r>
      <w:r>
        <w:rPr>
          <w:rFonts w:hint="default" w:ascii="Times New Roman" w:hAnsi="Times New Roman" w:eastAsia="仿宋_GB2312" w:cs="Times New Roman"/>
          <w:spacing w:val="-10"/>
          <w:u w:val="single" w:color="auto"/>
        </w:rPr>
        <w:t xml:space="preserve"> </w:t>
      </w:r>
      <w:r>
        <w:rPr>
          <w:rFonts w:hint="eastAsia" w:ascii="Times New Roman" w:hAnsi="Times New Roman" w:eastAsia="仿宋_GB2312" w:cs="Times New Roman"/>
          <w:spacing w:val="-10"/>
          <w:u w:val="single" w:color="auto"/>
          <w:lang w:val="en-US" w:eastAsia="zh-CN"/>
        </w:rPr>
        <w:t xml:space="preserve">  </w:t>
      </w:r>
      <w:r>
        <w:rPr>
          <w:rFonts w:hint="default" w:ascii="Times New Roman" w:hAnsi="Times New Roman" w:eastAsia="仿宋_GB2312" w:cs="Times New Roman"/>
          <w:spacing w:val="-10"/>
          <w:u w:val="single" w:color="auto"/>
        </w:rPr>
        <w:t xml:space="preserve"> </w:t>
      </w:r>
      <w:r>
        <w:rPr>
          <w:rFonts w:hint="default" w:ascii="Times New Roman" w:hAnsi="Times New Roman" w:eastAsia="仿宋_GB2312" w:cs="Times New Roman"/>
          <w:spacing w:val="-132"/>
        </w:rPr>
        <w:t xml:space="preserve"> </w:t>
      </w:r>
      <w:r>
        <w:rPr>
          <w:rFonts w:hint="default" w:ascii="Times New Roman" w:hAnsi="Times New Roman" w:eastAsia="仿宋_GB2312" w:cs="Times New Roman"/>
          <w:spacing w:val="-10"/>
        </w:rPr>
        <w:t>个，</w:t>
      </w:r>
      <w:r>
        <w:rPr>
          <w:rFonts w:hint="default" w:ascii="Times New Roman" w:hAnsi="Times New Roman" w:eastAsia="仿宋_GB2312" w:cs="Times New Roman"/>
          <w:spacing w:val="-10"/>
          <w:u w:val="single" w:color="auto"/>
        </w:rPr>
        <w:t xml:space="preserve">  </w:t>
      </w:r>
      <w:r>
        <w:rPr>
          <w:rFonts w:hint="eastAsia" w:ascii="Times New Roman" w:hAnsi="Times New Roman" w:eastAsia="仿宋_GB2312" w:cs="Times New Roman"/>
          <w:spacing w:val="-10"/>
          <w:u w:val="single" w:color="auto"/>
          <w:lang w:val="en-US" w:eastAsia="zh-CN"/>
        </w:rPr>
        <w:t xml:space="preserve">  </w:t>
      </w:r>
      <w:r>
        <w:rPr>
          <w:rFonts w:hint="default" w:ascii="Times New Roman" w:hAnsi="Times New Roman" w:eastAsia="仿宋_GB2312" w:cs="Times New Roman"/>
          <w:spacing w:val="-10"/>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0"/>
        </w:rPr>
        <w:t>人次（不包括陪同人员）。</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1"/>
        </w:rPr>
        <w:t>国内公务接待支出</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 xml:space="preserve">0 </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1"/>
        </w:rPr>
        <w:t>万元，</w:t>
      </w: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年共接待国内来访团组</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45"/>
        </w:rPr>
        <w:t xml:space="preserve"> </w:t>
      </w:r>
      <w:r>
        <w:rPr>
          <w:rFonts w:hint="eastAsia" w:ascii="Times New Roman" w:hAnsi="Times New Roman" w:eastAsia="仿宋_GB2312" w:cs="Times New Roman"/>
          <w:spacing w:val="-145"/>
          <w:lang w:val="en-US" w:eastAsia="zh-CN"/>
        </w:rPr>
        <w:t>0</w:t>
      </w:r>
      <w:r>
        <w:rPr>
          <w:rFonts w:hint="default" w:ascii="Times New Roman" w:hAnsi="Times New Roman" w:eastAsia="仿宋_GB2312" w:cs="Times New Roman"/>
          <w:spacing w:val="-7"/>
        </w:rPr>
        <w:t>个，</w:t>
      </w:r>
      <w:r>
        <w:rPr>
          <w:rFonts w:hint="default" w:ascii="Times New Roman" w:hAnsi="Times New Roman" w:eastAsia="仿宋_GB2312" w:cs="Times New Roman"/>
        </w:rPr>
        <w:t xml:space="preserve"> </w:t>
      </w:r>
      <w:r>
        <w:rPr>
          <w:rFonts w:hint="eastAsia" w:ascii="Times New Roman" w:hAnsi="Times New Roman" w:eastAsia="仿宋_GB2312" w:cs="Times New Roman"/>
          <w:lang w:val="en-US" w:eastAsia="zh-CN"/>
        </w:rPr>
        <w:t>0</w:t>
      </w:r>
      <w:r>
        <w:rPr>
          <w:rFonts w:hint="default" w:ascii="Times New Roman" w:hAnsi="Times New Roman" w:eastAsia="仿宋_GB2312" w:cs="Times New Roman"/>
          <w:spacing w:val="-12"/>
        </w:rPr>
        <w:t>人次（不包括陪同人员）。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eastAsia" w:ascii="Times New Roman" w:hAnsi="Times New Roman" w:eastAsia="仿宋_GB2312" w:cs="Times New Roman"/>
          <w:u w:val="none" w:color="auto"/>
          <w:lang w:eastAsia="zh-C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u w:val="none" w:color="auto"/>
          <w:lang w:val="en-US" w:eastAsia="zh-CN"/>
        </w:rPr>
        <w:t>武汉市光谷豹子溪小学</w:t>
      </w:r>
      <w:r>
        <w:rPr>
          <w:rFonts w:hint="default" w:ascii="Times New Roman" w:hAnsi="Times New Roman" w:eastAsia="仿宋_GB2312" w:cs="Times New Roman"/>
          <w:u w:val="none" w:color="auto"/>
        </w:rPr>
        <w:t>机关运行经费支出</w:t>
      </w:r>
      <w:r>
        <w:rPr>
          <w:rFonts w:hint="eastAsia" w:ascii="Times New Roman" w:hAnsi="Times New Roman" w:eastAsia="仿宋_GB2312" w:cs="Times New Roman"/>
          <w:spacing w:val="50"/>
          <w:u w:val="none" w:color="auto"/>
          <w:lang w:val="en-US" w:eastAsia="zh-CN"/>
        </w:rPr>
        <w:t>0</w:t>
      </w:r>
      <w:r>
        <w:rPr>
          <w:rFonts w:hint="default" w:ascii="Times New Roman" w:hAnsi="Times New Roman" w:eastAsia="仿宋_GB2312" w:cs="Times New Roman"/>
          <w:u w:val="none" w:color="auto"/>
        </w:rPr>
        <w:t>万元</w:t>
      </w:r>
      <w:r>
        <w:rPr>
          <w:rFonts w:hint="default" w:ascii="Times New Roman" w:hAnsi="Times New Roman" w:eastAsia="仿宋_GB2312" w:cs="Times New Roman"/>
          <w:spacing w:val="-82"/>
          <w:u w:val="none" w:color="auto"/>
        </w:rPr>
        <w:t xml:space="preserve"> </w:t>
      </w:r>
      <w:r>
        <w:rPr>
          <w:rFonts w:hint="default" w:ascii="Times New Roman" w:hAnsi="Times New Roman" w:eastAsia="仿宋_GB2312" w:cs="Times New Roman"/>
          <w:spacing w:val="10"/>
          <w:u w:val="none" w:color="auto"/>
        </w:rPr>
        <w:t>比年初预算数增加</w:t>
      </w:r>
      <w:r>
        <w:rPr>
          <w:rFonts w:hint="eastAsia" w:ascii="Times New Roman" w:hAnsi="Times New Roman" w:eastAsia="仿宋_GB2312" w:cs="Times New Roman"/>
          <w:u w:val="none" w:color="auto"/>
          <w:lang w:val="en-US" w:eastAsia="zh-CN"/>
        </w:rPr>
        <w:t>0</w:t>
      </w:r>
      <w:r>
        <w:rPr>
          <w:rFonts w:hint="default" w:ascii="Times New Roman" w:hAnsi="Times New Roman" w:eastAsia="仿宋_GB2312" w:cs="Times New Roman"/>
          <w:spacing w:val="1"/>
          <w:u w:val="none" w:color="auto"/>
        </w:rPr>
        <w:t>万元，增长</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
          <w:u w:val="none" w:color="auto"/>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eastAsia" w:ascii="Times New Roman" w:hAnsi="Times New Roman" w:eastAsia="仿宋_GB2312" w:cs="Times New Roman"/>
          <w:spacing w:val="-1"/>
          <w:lang w:eastAsia="zh-CN"/>
        </w:rPr>
      </w:pPr>
      <w:r>
        <w:rPr>
          <w:rFonts w:hint="default" w:ascii="Times New Roman" w:hAnsi="Times New Roman" w:eastAsia="仿宋_GB2312" w:cs="Times New Roman"/>
          <w:spacing w:val="-1"/>
        </w:rPr>
        <w:t>本部门 2024年度政府采购支出总额33.99万元，其中：政府采购货物支出4.00万元、政府采购工程支出万元、政府采购服务支出29.99万元。授予中小企业合同金额33.99万元，占政府采购支出总额的100.0%，其中：授予小微企业合同金额33.99万元，占授予中小企业合同金额的100.0%；货物采购授予中小企业合同金额占货物支出金额的100%，工程采购授予中小企业合同金额占工程支出金额的0%，服务采购授予中小企业合同金额占服务支出金额的100%。</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3"/>
        </w:rPr>
      </w:pPr>
      <w:r>
        <w:rPr>
          <w:rFonts w:hint="default" w:ascii="Times New Roman" w:hAnsi="Times New Roman" w:eastAsia="仿宋_GB2312" w:cs="Times New Roman"/>
          <w:spacing w:val="-3"/>
        </w:rPr>
        <w:t>截至 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 12 月 31 日，武汉市光谷豹子溪小学共有车辆0辆，其中，副省级及以上领导干部用车0辆、主要负责人用车0 辆、机要通信用车0 辆、应急保障用车0辆、执法执勤用车0辆、特种专业技术用车0辆、离退休干部服务用车0辆、其他用车0辆，；单位价值 100万元以上设备0 台（套）。</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3"/>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1</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47.03</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eastAsia" w:ascii="Times New Roman" w:hAnsi="Times New Roman" w:eastAsia="仿宋_GB2312" w:cs="Times New Roman"/>
          <w:spacing w:val="-3"/>
          <w:lang w:val="en-US" w:eastAsia="zh-CN"/>
        </w:rPr>
        <w:t>100</w:t>
      </w:r>
      <w:r>
        <w:rPr>
          <w:rFonts w:hint="default" w:ascii="Times New Roman" w:hAnsi="Times New Roman" w:eastAsia="仿宋_GB2312" w:cs="Times New Roman"/>
          <w:spacing w:val="-3"/>
        </w:rPr>
        <w:t xml:space="preserve"> %。从 绩效评价情况来看较好地满足了日常教育教学工作需要，完善了学校办学条件，提高了学校办学水平及社会满意度。</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3"/>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3"/>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1</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2035.78</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万元，从评价情况来看，</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年度部门支出管理及绩效较好。预算资金全部到位，预算执行率较高，资金使用合规。在产出方面，绩效目标完成率较高。在效益方面，整体工作具有较好的社会效益，服务对象满意度高。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rPr>
      </w:pPr>
      <w:r>
        <w:rPr>
          <w:rFonts w:hint="default" w:ascii="Times New Roman" w:hAnsi="Times New Roman" w:eastAsia="仿宋_GB2312" w:cs="Times New Roman"/>
          <w:spacing w:val="-8"/>
        </w:rPr>
        <w:t>1.</w:t>
      </w:r>
      <w:r>
        <w:rPr>
          <w:rFonts w:hint="eastAsia"/>
          <w:highlight w:val="none"/>
          <w:lang w:val="en-US" w:eastAsia="zh-CN"/>
        </w:rPr>
        <w:t>公用经费类</w:t>
      </w:r>
      <w:r>
        <w:rPr>
          <w:rFonts w:hint="default" w:ascii="Times New Roman" w:hAnsi="Times New Roman" w:eastAsia="仿宋_GB2312" w:cs="Times New Roman"/>
          <w:spacing w:val="-8"/>
        </w:rPr>
        <w:t>项目绩效自评综述：项目全年预算数为</w:t>
      </w:r>
      <w:r>
        <w:rPr>
          <w:rFonts w:hint="eastAsia" w:ascii="Times New Roman" w:hAnsi="Times New Roman" w:eastAsia="仿宋_GB2312" w:cs="Times New Roman"/>
          <w:spacing w:val="-8"/>
          <w:lang w:val="en-US" w:eastAsia="zh-CN"/>
        </w:rPr>
        <w:t>47.03</w:t>
      </w:r>
      <w:bookmarkStart w:id="0" w:name="_GoBack"/>
      <w:bookmarkEnd w:id="0"/>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47.03</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eastAsia" w:ascii="Times New Roman" w:hAnsi="Times New Roman" w:eastAsia="仿宋_GB2312" w:cs="Times New Roman"/>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w:t>
      </w:r>
      <w:r>
        <w:rPr>
          <w:rFonts w:hint="default" w:ascii="Times New Roman" w:hAnsi="Times New Roman" w:eastAsia="仿宋_GB2312" w:cs="Times New Roman"/>
          <w:kern w:val="2"/>
          <w:sz w:val="32"/>
          <w:szCs w:val="32"/>
          <w:lang w:val="en-US" w:eastAsia="zh-CN" w:bidi="ar-SA"/>
        </w:rPr>
        <w:t>主要产出和效益是：更好的补充了学校日常公用经费，保障学校基本运转。</w:t>
      </w:r>
      <w:r>
        <w:rPr>
          <w:rFonts w:hint="eastAsia" w:ascii="Times New Roman" w:hAnsi="Times New Roman" w:cs="Times New Roman"/>
          <w:kern w:val="2"/>
          <w:sz w:val="32"/>
          <w:szCs w:val="32"/>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textAlignment w:val="auto"/>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自评结果将应用到我校各类项目绩效管理工作中，汲取经验进一步做好我校绩效管理工作，在年初预算前加强项目规划、绩效目标管理，完善项目分配和管理办法、加强项目管理、结果与预算安排相结合。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pacing w:val="-2"/>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pPr>
        <w:spacing w:line="249" w:lineRule="auto"/>
        <w:rPr>
          <w:rFonts w:hint="default" w:ascii="Times New Roman" w:hAnsi="Times New Roman" w:cs="Times New Roman"/>
          <w:sz w:val="21"/>
        </w:rPr>
      </w:pPr>
    </w:p>
    <w:p>
      <w:pPr>
        <w:pStyle w:val="4"/>
        <w:numPr>
          <w:ilvl w:val="0"/>
          <w:numId w:val="2"/>
        </w:numPr>
        <w:spacing w:before="104" w:line="283" w:lineRule="auto"/>
        <w:ind w:left="1471" w:right="4738" w:hanging="705"/>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pPr>
        <w:pStyle w:val="4"/>
        <w:numPr>
          <w:ilvl w:val="0"/>
          <w:numId w:val="0"/>
        </w:numPr>
        <w:spacing w:before="104" w:line="283" w:lineRule="auto"/>
        <w:ind w:left="766" w:leftChars="0" w:right="4738" w:rightChars="0"/>
        <w:rPr>
          <w:rFonts w:hint="eastAsia" w:ascii="Times New Roman" w:hAnsi="Times New Roman" w:eastAsia="黑体" w:cs="Times New Roman"/>
          <w:spacing w:val="8"/>
          <w:lang w:eastAsia="zh-CN"/>
        </w:rPr>
      </w:pPr>
      <w:r>
        <w:rPr>
          <w:rFonts w:hint="eastAsia" w:ascii="Times New Roman" w:hAnsi="Times New Roman" w:eastAsia="黑体" w:cs="Times New Roman"/>
          <w:spacing w:val="8"/>
          <w:lang w:eastAsia="zh-CN"/>
        </w:rPr>
        <w:t>1、完善顶层设计</w:t>
      </w:r>
    </w:p>
    <w:p>
      <w:pPr>
        <w:pStyle w:val="4"/>
        <w:numPr>
          <w:ilvl w:val="0"/>
          <w:numId w:val="0"/>
        </w:numPr>
        <w:spacing w:before="104" w:line="283" w:lineRule="auto"/>
        <w:ind w:left="766" w:leftChars="0" w:right="4738" w:rightChars="0"/>
        <w:rPr>
          <w:rFonts w:hint="eastAsia" w:ascii="Times New Roman" w:hAnsi="Times New Roman" w:eastAsia="黑体" w:cs="Times New Roman"/>
          <w:spacing w:val="8"/>
          <w:lang w:eastAsia="zh-CN"/>
        </w:rPr>
      </w:pPr>
      <w:r>
        <w:rPr>
          <w:rFonts w:hint="eastAsia" w:ascii="Times New Roman" w:hAnsi="Times New Roman" w:eastAsia="黑体" w:cs="Times New Roman"/>
          <w:spacing w:val="8"/>
          <w:lang w:eastAsia="zh-CN"/>
        </w:rPr>
        <w:t>2、关注学生成长</w:t>
      </w:r>
    </w:p>
    <w:p>
      <w:pPr>
        <w:pStyle w:val="4"/>
        <w:numPr>
          <w:ilvl w:val="0"/>
          <w:numId w:val="0"/>
        </w:numPr>
        <w:spacing w:before="104" w:line="283" w:lineRule="auto"/>
        <w:ind w:left="766" w:leftChars="0" w:right="4738" w:rightChars="0"/>
        <w:rPr>
          <w:rFonts w:hint="eastAsia" w:ascii="Times New Roman" w:hAnsi="Times New Roman" w:eastAsia="黑体" w:cs="Times New Roman"/>
          <w:spacing w:val="8"/>
          <w:lang w:eastAsia="zh-CN"/>
        </w:rPr>
      </w:pPr>
      <w:r>
        <w:rPr>
          <w:rFonts w:hint="eastAsia" w:ascii="Times New Roman" w:hAnsi="Times New Roman" w:eastAsia="黑体" w:cs="Times New Roman"/>
          <w:spacing w:val="8"/>
          <w:lang w:eastAsia="zh-CN"/>
        </w:rPr>
        <w:t>3、助力教师发展</w:t>
      </w:r>
    </w:p>
    <w:p>
      <w:pPr>
        <w:pStyle w:val="4"/>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10"/>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3439"/>
        <w:gridCol w:w="2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3439" w:type="dxa"/>
            <w:vAlign w:val="center"/>
          </w:tcPr>
          <w:p>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013"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pPr>
              <w:spacing w:before="159" w:line="181" w:lineRule="auto"/>
              <w:ind w:left="60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1</w:t>
            </w:r>
          </w:p>
        </w:tc>
        <w:tc>
          <w:tcPr>
            <w:tcW w:w="1838" w:type="dxa"/>
            <w:vAlign w:val="top"/>
          </w:tcPr>
          <w:p>
            <w:pPr>
              <w:spacing w:before="104" w:line="224" w:lineRule="auto"/>
              <w:jc w:val="center"/>
              <w:rPr>
                <w:rFonts w:hint="default" w:ascii="Times New Roman" w:hAnsi="Times New Roman" w:cs="Times New Roman"/>
              </w:rPr>
            </w:pPr>
            <w:r>
              <w:rPr>
                <w:rFonts w:hint="eastAsia" w:ascii="Times New Roman" w:hAnsi="Times New Roman" w:eastAsia="仿宋_GB2312" w:cs="Times New Roman"/>
                <w:spacing w:val="-8"/>
                <w:sz w:val="32"/>
                <w:szCs w:val="32"/>
                <w:lang w:val="en-US" w:eastAsia="zh-CN"/>
              </w:rPr>
              <w:t>完善顶层设计</w:t>
            </w:r>
          </w:p>
        </w:tc>
        <w:tc>
          <w:tcPr>
            <w:tcW w:w="3439" w:type="dxa"/>
            <w:vAlign w:val="top"/>
          </w:tcPr>
          <w:p>
            <w:pPr>
              <w:spacing w:before="104" w:line="224" w:lineRule="auto"/>
              <w:jc w:val="left"/>
              <w:rPr>
                <w:rFonts w:hint="default" w:ascii="Times New Roman" w:hAnsi="Times New Roman" w:eastAsia="仿宋_GB2312" w:cs="Times New Roman"/>
                <w:spacing w:val="-8"/>
                <w:sz w:val="28"/>
                <w:szCs w:val="28"/>
                <w:lang w:val="en-US" w:eastAsia="zh-CN"/>
              </w:rPr>
            </w:pPr>
            <w:r>
              <w:rPr>
                <w:rFonts w:hint="eastAsia" w:ascii="Times New Roman" w:hAnsi="Times New Roman" w:eastAsia="仿宋_GB2312" w:cs="Times New Roman"/>
                <w:spacing w:val="-8"/>
                <w:sz w:val="28"/>
                <w:szCs w:val="28"/>
                <w:lang w:val="en-US" w:eastAsia="zh-CN"/>
              </w:rPr>
              <w:t>1、完善若水教育理念及办学文化体系，打造若水课程体系</w:t>
            </w:r>
          </w:p>
          <w:p>
            <w:pPr>
              <w:spacing w:before="104" w:line="224" w:lineRule="auto"/>
              <w:jc w:val="left"/>
              <w:rPr>
                <w:rFonts w:hint="default" w:ascii="Times New Roman" w:hAnsi="Times New Roman" w:cs="Times New Roman"/>
              </w:rPr>
            </w:pPr>
            <w:r>
              <w:rPr>
                <w:rFonts w:hint="eastAsia" w:ascii="Times New Roman" w:hAnsi="Times New Roman" w:eastAsia="仿宋_GB2312" w:cs="Times New Roman"/>
                <w:spacing w:val="-8"/>
                <w:sz w:val="28"/>
                <w:szCs w:val="28"/>
                <w:lang w:val="en-US" w:eastAsia="zh-CN"/>
              </w:rPr>
              <w:t>2、聚焦课堂微变革</w:t>
            </w:r>
          </w:p>
        </w:tc>
        <w:tc>
          <w:tcPr>
            <w:tcW w:w="2013" w:type="dxa"/>
            <w:vAlign w:val="top"/>
          </w:tcPr>
          <w:p>
            <w:pPr>
              <w:spacing w:before="104" w:line="224" w:lineRule="auto"/>
              <w:jc w:val="center"/>
              <w:rPr>
                <w:rFonts w:hint="default" w:ascii="Times New Roman" w:hAnsi="Times New Roman" w:cs="Times New Roman"/>
              </w:rPr>
            </w:pPr>
            <w:r>
              <w:rPr>
                <w:rFonts w:hint="eastAsia" w:ascii="Times New Roman" w:hAnsi="Times New Roman" w:eastAsia="仿宋_GB2312" w:cs="Times New Roman"/>
                <w:spacing w:val="-8"/>
                <w:sz w:val="32"/>
                <w:szCs w:val="32"/>
                <w:lang w:val="en-US" w:eastAsia="zh-CN"/>
              </w:rPr>
              <w:t>进行中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pPr>
              <w:spacing w:before="162" w:line="180" w:lineRule="auto"/>
              <w:ind w:left="586"/>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2</w:t>
            </w:r>
          </w:p>
        </w:tc>
        <w:tc>
          <w:tcPr>
            <w:tcW w:w="1838" w:type="dxa"/>
            <w:vAlign w:val="top"/>
          </w:tcPr>
          <w:p>
            <w:pPr>
              <w:spacing w:before="104" w:line="224" w:lineRule="auto"/>
              <w:jc w:val="center"/>
              <w:rPr>
                <w:rFonts w:hint="default" w:ascii="Times New Roman" w:hAnsi="Times New Roman" w:cs="Times New Roman"/>
              </w:rPr>
            </w:pPr>
            <w:r>
              <w:rPr>
                <w:rFonts w:hint="eastAsia" w:ascii="Times New Roman" w:hAnsi="Times New Roman" w:eastAsia="仿宋_GB2312" w:cs="Times New Roman"/>
                <w:spacing w:val="-8"/>
                <w:sz w:val="32"/>
                <w:szCs w:val="32"/>
                <w:lang w:val="en-US" w:eastAsia="zh-CN"/>
              </w:rPr>
              <w:t>关注学生成长</w:t>
            </w:r>
          </w:p>
        </w:tc>
        <w:tc>
          <w:tcPr>
            <w:tcW w:w="3439" w:type="dxa"/>
            <w:vAlign w:val="top"/>
          </w:tcPr>
          <w:p>
            <w:pPr>
              <w:spacing w:before="104" w:line="224" w:lineRule="auto"/>
              <w:jc w:val="left"/>
              <w:rPr>
                <w:rFonts w:hint="default" w:ascii="Times New Roman" w:hAnsi="Times New Roman" w:eastAsia="仿宋_GB2312" w:cs="Times New Roman"/>
                <w:spacing w:val="-8"/>
                <w:sz w:val="28"/>
                <w:szCs w:val="28"/>
              </w:rPr>
            </w:pPr>
            <w:r>
              <w:rPr>
                <w:rFonts w:hint="eastAsia" w:ascii="Times New Roman" w:hAnsi="Times New Roman" w:eastAsia="仿宋_GB2312" w:cs="Times New Roman"/>
                <w:spacing w:val="-8"/>
                <w:sz w:val="28"/>
                <w:szCs w:val="28"/>
                <w:lang w:val="en-US" w:eastAsia="zh-CN"/>
              </w:rPr>
              <w:t>1、</w:t>
            </w:r>
            <w:r>
              <w:rPr>
                <w:rFonts w:hint="default" w:ascii="Times New Roman" w:hAnsi="Times New Roman" w:eastAsia="仿宋_GB2312" w:cs="Times New Roman"/>
                <w:spacing w:val="-8"/>
                <w:sz w:val="28"/>
                <w:szCs w:val="28"/>
              </w:rPr>
              <w:t>展融合课程及学科活动，让学习更有趣。</w:t>
            </w:r>
          </w:p>
          <w:p>
            <w:pPr>
              <w:spacing w:before="104" w:line="224" w:lineRule="auto"/>
              <w:jc w:val="left"/>
              <w:rPr>
                <w:rFonts w:hint="default" w:ascii="Times New Roman" w:hAnsi="Times New Roman" w:eastAsia="仿宋_GB2312" w:cs="Times New Roman"/>
                <w:spacing w:val="-8"/>
                <w:sz w:val="28"/>
                <w:szCs w:val="28"/>
              </w:rPr>
            </w:pPr>
            <w:r>
              <w:rPr>
                <w:rFonts w:hint="eastAsia" w:ascii="Times New Roman" w:hAnsi="Times New Roman" w:eastAsia="仿宋_GB2312" w:cs="Times New Roman"/>
                <w:spacing w:val="-8"/>
                <w:sz w:val="28"/>
                <w:szCs w:val="28"/>
                <w:lang w:val="en-US" w:eastAsia="zh-CN"/>
              </w:rPr>
              <w:t>2、</w:t>
            </w:r>
            <w:r>
              <w:rPr>
                <w:rFonts w:hint="default" w:ascii="Times New Roman" w:hAnsi="Times New Roman" w:eastAsia="仿宋_GB2312" w:cs="Times New Roman"/>
                <w:spacing w:val="-8"/>
                <w:sz w:val="28"/>
                <w:szCs w:val="28"/>
              </w:rPr>
              <w:t>鼓励学生发展兴趣特长，提供展示平台。</w:t>
            </w:r>
          </w:p>
          <w:p>
            <w:pPr>
              <w:spacing w:before="104" w:line="224" w:lineRule="auto"/>
              <w:jc w:val="left"/>
              <w:rPr>
                <w:rFonts w:hint="default" w:ascii="Times New Roman" w:hAnsi="Times New Roman" w:eastAsia="仿宋_GB2312" w:cs="Times New Roman"/>
                <w:spacing w:val="-8"/>
                <w:sz w:val="28"/>
                <w:szCs w:val="28"/>
              </w:rPr>
            </w:pPr>
            <w:r>
              <w:rPr>
                <w:rFonts w:hint="eastAsia" w:ascii="Times New Roman" w:hAnsi="Times New Roman" w:eastAsia="仿宋_GB2312" w:cs="Times New Roman"/>
                <w:spacing w:val="-8"/>
                <w:sz w:val="28"/>
                <w:szCs w:val="28"/>
                <w:lang w:val="en-US" w:eastAsia="zh-CN"/>
              </w:rPr>
              <w:t>3、</w:t>
            </w:r>
            <w:r>
              <w:rPr>
                <w:rFonts w:hint="default" w:ascii="Times New Roman" w:hAnsi="Times New Roman" w:eastAsia="仿宋_GB2312" w:cs="Times New Roman"/>
                <w:spacing w:val="-8"/>
                <w:sz w:val="28"/>
                <w:szCs w:val="28"/>
              </w:rPr>
              <w:t>重视学生全面发展，加强劳动教育与身心健康关注。</w:t>
            </w:r>
          </w:p>
          <w:p>
            <w:pPr>
              <w:spacing w:before="104" w:line="224" w:lineRule="auto"/>
              <w:jc w:val="left"/>
              <w:rPr>
                <w:rFonts w:hint="default" w:ascii="Times New Roman" w:hAnsi="Times New Roman" w:eastAsia="仿宋_GB2312" w:cs="Times New Roman"/>
                <w:spacing w:val="-8"/>
                <w:sz w:val="28"/>
                <w:szCs w:val="28"/>
              </w:rPr>
            </w:pPr>
            <w:r>
              <w:rPr>
                <w:rFonts w:hint="eastAsia" w:ascii="Times New Roman" w:hAnsi="Times New Roman" w:eastAsia="仿宋_GB2312" w:cs="Times New Roman"/>
                <w:spacing w:val="-8"/>
                <w:sz w:val="28"/>
                <w:szCs w:val="28"/>
                <w:lang w:val="en-US" w:eastAsia="zh-CN"/>
              </w:rPr>
              <w:t>4、</w:t>
            </w:r>
            <w:r>
              <w:rPr>
                <w:rFonts w:hint="default" w:ascii="Times New Roman" w:hAnsi="Times New Roman" w:eastAsia="仿宋_GB2312" w:cs="Times New Roman"/>
                <w:spacing w:val="-8"/>
                <w:sz w:val="28"/>
                <w:szCs w:val="28"/>
              </w:rPr>
              <w:t>注重家校联动，开展多种活动。</w:t>
            </w:r>
          </w:p>
          <w:p>
            <w:pPr>
              <w:spacing w:before="104" w:line="224" w:lineRule="auto"/>
              <w:jc w:val="left"/>
              <w:rPr>
                <w:rFonts w:hint="default" w:ascii="Times New Roman" w:hAnsi="Times New Roman" w:eastAsia="仿宋_GB2312" w:cs="Times New Roman"/>
                <w:spacing w:val="-8"/>
                <w:sz w:val="28"/>
                <w:szCs w:val="28"/>
              </w:rPr>
            </w:pPr>
            <w:r>
              <w:rPr>
                <w:rFonts w:hint="eastAsia" w:ascii="Times New Roman" w:hAnsi="Times New Roman" w:eastAsia="仿宋_GB2312" w:cs="Times New Roman"/>
                <w:spacing w:val="-8"/>
                <w:sz w:val="28"/>
                <w:szCs w:val="28"/>
                <w:lang w:val="en-US" w:eastAsia="zh-CN"/>
              </w:rPr>
              <w:t>5、</w:t>
            </w:r>
            <w:r>
              <w:rPr>
                <w:rFonts w:hint="default" w:ascii="Times New Roman" w:hAnsi="Times New Roman" w:eastAsia="仿宋_GB2312" w:cs="Times New Roman"/>
                <w:spacing w:val="-8"/>
                <w:sz w:val="28"/>
                <w:szCs w:val="28"/>
              </w:rPr>
              <w:t>倾听学生声音，营造关爱氛围。</w:t>
            </w:r>
          </w:p>
          <w:p>
            <w:pPr>
              <w:spacing w:before="104" w:line="224" w:lineRule="auto"/>
              <w:jc w:val="left"/>
              <w:rPr>
                <w:rFonts w:hint="default" w:ascii="Times New Roman" w:hAnsi="Times New Roman" w:cs="Times New Roman"/>
              </w:rPr>
            </w:pPr>
          </w:p>
        </w:tc>
        <w:tc>
          <w:tcPr>
            <w:tcW w:w="2013" w:type="dxa"/>
            <w:vAlign w:val="top"/>
          </w:tcPr>
          <w:p>
            <w:pPr>
              <w:spacing w:before="104" w:line="224" w:lineRule="auto"/>
              <w:jc w:val="center"/>
              <w:rPr>
                <w:rFonts w:hint="eastAsia" w:ascii="Times New Roman" w:hAnsi="Times New Roman" w:eastAsia="仿宋_GB2312" w:cs="Times New Roman"/>
                <w:spacing w:val="-8"/>
                <w:sz w:val="32"/>
                <w:szCs w:val="32"/>
                <w:lang w:val="en-US" w:eastAsia="zh-CN"/>
              </w:rPr>
            </w:pPr>
            <w:r>
              <w:rPr>
                <w:rFonts w:hint="eastAsia" w:ascii="Times New Roman" w:hAnsi="Times New Roman" w:eastAsia="仿宋_GB2312" w:cs="Times New Roman"/>
                <w:spacing w:val="-8"/>
                <w:sz w:val="32"/>
                <w:szCs w:val="32"/>
                <w:lang w:val="en-US" w:eastAsia="zh-CN"/>
              </w:rPr>
              <w:t>进行中</w:t>
            </w:r>
          </w:p>
          <w:p>
            <w:pPr>
              <w:spacing w:before="104" w:line="224" w:lineRule="auto"/>
              <w:jc w:val="center"/>
              <w:rPr>
                <w:rFonts w:hint="default" w:ascii="Times New Roman" w:hAnsi="Times New Roman" w:cs="Times New Roma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pPr>
              <w:spacing w:before="162" w:line="180" w:lineRule="auto"/>
              <w:ind w:left="588"/>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3</w:t>
            </w:r>
          </w:p>
        </w:tc>
        <w:tc>
          <w:tcPr>
            <w:tcW w:w="1838" w:type="dxa"/>
            <w:vAlign w:val="top"/>
          </w:tcPr>
          <w:p>
            <w:pPr>
              <w:spacing w:before="104" w:line="224" w:lineRule="auto"/>
              <w:jc w:val="center"/>
              <w:rPr>
                <w:rFonts w:hint="default" w:ascii="Times New Roman" w:hAnsi="Times New Roman" w:cs="Times New Roman"/>
              </w:rPr>
            </w:pPr>
            <w:r>
              <w:rPr>
                <w:rFonts w:hint="default" w:ascii="Times New Roman" w:hAnsi="Times New Roman" w:eastAsia="仿宋_GB2312" w:cs="Times New Roman"/>
                <w:spacing w:val="-8"/>
                <w:sz w:val="32"/>
                <w:szCs w:val="32"/>
                <w:lang w:val="en-US" w:eastAsia="zh-CN"/>
              </w:rPr>
              <w:t>助力教师发展</w:t>
            </w:r>
          </w:p>
        </w:tc>
        <w:tc>
          <w:tcPr>
            <w:tcW w:w="3439" w:type="dxa"/>
            <w:vAlign w:val="top"/>
          </w:tcPr>
          <w:p>
            <w:pPr>
              <w:numPr>
                <w:ilvl w:val="0"/>
                <w:numId w:val="3"/>
              </w:numPr>
              <w:spacing w:before="104" w:line="224" w:lineRule="auto"/>
              <w:jc w:val="left"/>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以书更新教育思想，开展读书交流与推荐活动。</w:t>
            </w:r>
          </w:p>
          <w:p>
            <w:pPr>
              <w:numPr>
                <w:ilvl w:val="0"/>
                <w:numId w:val="3"/>
              </w:numPr>
              <w:spacing w:before="104" w:line="224" w:lineRule="auto"/>
              <w:jc w:val="left"/>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推进教育写作，记录教育故事。</w:t>
            </w:r>
          </w:p>
          <w:p>
            <w:pPr>
              <w:numPr>
                <w:ilvl w:val="0"/>
                <w:numId w:val="3"/>
              </w:numPr>
              <w:spacing w:before="104" w:line="224" w:lineRule="auto"/>
              <w:ind w:left="0" w:leftChars="0" w:firstLine="0" w:firstLineChars="0"/>
              <w:jc w:val="left"/>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提升综合素养，开展多项培训与关爱活动。</w:t>
            </w:r>
          </w:p>
          <w:p>
            <w:pPr>
              <w:numPr>
                <w:ilvl w:val="0"/>
                <w:numId w:val="3"/>
              </w:numPr>
              <w:spacing w:before="104" w:line="224" w:lineRule="auto"/>
              <w:ind w:left="0" w:leftChars="0" w:firstLine="0" w:firstLineChars="0"/>
              <w:jc w:val="left"/>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实现专业成长，开展全员赛课、制定指南、升级教研、邀请专家指导共建、领导示范讲座等。</w:t>
            </w:r>
          </w:p>
          <w:p>
            <w:pPr>
              <w:spacing w:before="104" w:line="224" w:lineRule="auto"/>
              <w:jc w:val="left"/>
              <w:rPr>
                <w:rFonts w:hint="default" w:ascii="Times New Roman" w:hAnsi="Times New Roman" w:eastAsia="仿宋_GB2312" w:cs="Times New Roman"/>
                <w:spacing w:val="-8"/>
                <w:sz w:val="28"/>
                <w:szCs w:val="28"/>
              </w:rPr>
            </w:pPr>
            <w:r>
              <w:rPr>
                <w:rFonts w:hint="eastAsia" w:ascii="Times New Roman" w:hAnsi="Times New Roman" w:eastAsia="仿宋_GB2312" w:cs="Times New Roman"/>
                <w:spacing w:val="-8"/>
                <w:sz w:val="28"/>
                <w:szCs w:val="28"/>
                <w:lang w:val="en-US" w:eastAsia="zh-CN"/>
              </w:rPr>
              <w:t>5、</w:t>
            </w:r>
            <w:r>
              <w:rPr>
                <w:rFonts w:hint="default" w:ascii="Times New Roman" w:hAnsi="Times New Roman" w:eastAsia="仿宋_GB2312" w:cs="Times New Roman"/>
                <w:spacing w:val="-8"/>
                <w:sz w:val="28"/>
                <w:szCs w:val="28"/>
              </w:rPr>
              <w:t>打造骨干队伍，管理精细化，教师赛课获奖。</w:t>
            </w:r>
          </w:p>
          <w:p>
            <w:pPr>
              <w:spacing w:before="104" w:line="224" w:lineRule="auto"/>
              <w:jc w:val="left"/>
              <w:rPr>
                <w:rFonts w:hint="default" w:ascii="Times New Roman" w:hAnsi="Times New Roman" w:cs="Times New Roman"/>
              </w:rPr>
            </w:pPr>
          </w:p>
        </w:tc>
        <w:tc>
          <w:tcPr>
            <w:tcW w:w="2013" w:type="dxa"/>
            <w:vAlign w:val="top"/>
          </w:tcPr>
          <w:p>
            <w:pPr>
              <w:spacing w:before="104" w:line="224" w:lineRule="auto"/>
              <w:jc w:val="center"/>
              <w:rPr>
                <w:rFonts w:hint="default" w:ascii="Times New Roman" w:hAnsi="Times New Roman" w:cs="Times New Roman"/>
              </w:rPr>
            </w:pPr>
            <w:r>
              <w:rPr>
                <w:rFonts w:hint="eastAsia" w:ascii="Times New Roman" w:hAnsi="Times New Roman" w:eastAsia="仿宋_GB2312" w:cs="Times New Roman"/>
                <w:spacing w:val="-8"/>
                <w:sz w:val="32"/>
                <w:szCs w:val="32"/>
                <w:lang w:val="en-US" w:eastAsia="zh-CN"/>
              </w:rPr>
              <w:t>进行中</w:t>
            </w: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pPr>
        <w:spacing w:line="398" w:lineRule="auto"/>
        <w:rPr>
          <w:rFonts w:hint="default" w:ascii="Times New Roman" w:hAnsi="Times New Roman" w:cs="Times New Roman"/>
          <w:sz w:val="21"/>
        </w:rPr>
      </w:pP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其他收入：指单位取得的除一般公共预算财政拨</w:t>
      </w:r>
      <w:r>
        <w:rPr>
          <w:rFonts w:hint="default" w:ascii="Times New Roman" w:hAnsi="Times New Roman" w:eastAsia="仿宋_GB2312" w:cs="Times New Roman"/>
          <w:spacing w:val="-16"/>
        </w:rPr>
        <w:t>款收入</w:t>
      </w:r>
      <w:r>
        <w:rPr>
          <w:rFonts w:hint="default" w:ascii="Times New Roman" w:hAnsi="Times New Roman" w:eastAsia="仿宋_GB2312" w:cs="Times New Roman"/>
          <w:spacing w:val="-1"/>
        </w:rPr>
        <w:t>以外的各项收入。</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w:t>
      </w:r>
      <w:r>
        <w:rPr>
          <w:rFonts w:hint="eastAsia" w:ascii="Times New Roman" w:hAnsi="Times New Roman" w:eastAsia="仿宋_GB2312" w:cs="Times New Roman"/>
          <w:spacing w:val="-2"/>
          <w:lang w:val="en-US" w:eastAsia="zh-CN"/>
        </w:rPr>
        <w:t>2050202小学教育支出</w:t>
      </w:r>
      <w:r>
        <w:rPr>
          <w:rFonts w:hint="default" w:ascii="Times New Roman" w:hAnsi="Times New Roman" w:eastAsia="仿宋_GB2312" w:cs="Times New Roman"/>
          <w:spacing w:val="18"/>
        </w:rPr>
        <w:t xml:space="preserve"> </w:t>
      </w:r>
    </w:p>
    <w:p>
      <w:pPr>
        <w:pStyle w:val="4"/>
        <w:keepNext w:val="0"/>
        <w:keepLines w:val="0"/>
        <w:pageBreakBefore w:val="0"/>
        <w:widowControl w:val="0"/>
        <w:numPr>
          <w:ilvl w:val="0"/>
          <w:numId w:val="4"/>
        </w:numPr>
        <w:kinsoku/>
        <w:wordWrap/>
        <w:overflowPunct/>
        <w:topLinePunct w:val="0"/>
        <w:autoSpaceDE w:val="0"/>
        <w:autoSpaceDN w:val="0"/>
        <w:bidi w:val="0"/>
        <w:adjustRightInd w:val="0"/>
        <w:snapToGrid w:val="0"/>
        <w:spacing w:line="580" w:lineRule="exact"/>
        <w:ind w:right="0" w:firstLine="624" w:firstLineChars="200"/>
        <w:textAlignment w:val="baseline"/>
        <w:rPr>
          <w:rFonts w:hint="default" w:ascii="Times New Roman" w:hAnsi="Times New Roman" w:eastAsia="仿宋_GB2312" w:cs="Times New Roman"/>
          <w:lang w:eastAsia="zh-CN"/>
        </w:rPr>
      </w:pPr>
      <w:r>
        <w:rPr>
          <w:rFonts w:hint="eastAsia" w:ascii="Times New Roman" w:hAnsi="Times New Roman" w:eastAsia="仿宋_GB2312" w:cs="Times New Roman"/>
          <w:spacing w:val="-4"/>
          <w:lang w:val="en-US" w:eastAsia="zh-CN"/>
        </w:rPr>
        <w:t>2080505机关事业单位基本养老保险缴费支出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pPr>
        <w:spacing w:line="334" w:lineRule="auto"/>
        <w:rPr>
          <w:rFonts w:hint="default" w:ascii="Times New Roman" w:hAnsi="Times New Roman" w:cs="Times New Roman"/>
          <w:sz w:val="21"/>
        </w:rPr>
      </w:pPr>
    </w:p>
    <w:p>
      <w:pPr>
        <w:spacing w:line="335" w:lineRule="auto"/>
        <w:rPr>
          <w:rFonts w:hint="default" w:ascii="Times New Roman" w:hAnsi="Times New Roman" w:cs="Times New Roman"/>
          <w:sz w:val="21"/>
        </w:rPr>
      </w:pPr>
    </w:p>
    <w:p>
      <w:pPr>
        <w:rPr>
          <w:rFonts w:hint="default" w:ascii="Times New Roman" w:hAnsi="Times New Roman" w:cs="Times New Roman"/>
          <w:lang w:val="en-US" w:eastAsia="zh-CN"/>
        </w:rPr>
      </w:pPr>
      <w:r>
        <w:rPr>
          <w:rFonts w:hint="eastAsia" w:ascii="Times New Roman" w:hAnsi="Times New Roman" w:cs="Times New Roman"/>
          <w:lang w:val="en-US" w:eastAsia="zh-CN"/>
        </w:rPr>
        <w:t>无</w:t>
      </w:r>
    </w:p>
    <w:sectPr>
      <w:footerReference r:id="rId3"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5E3CCB"/>
    <w:multiLevelType w:val="singleLevel"/>
    <w:tmpl w:val="D35E3CCB"/>
    <w:lvl w:ilvl="0" w:tentative="0">
      <w:start w:val="1"/>
      <w:numFmt w:val="decimal"/>
      <w:suff w:val="nothing"/>
      <w:lvlText w:val="%1、"/>
      <w:lvlJc w:val="left"/>
    </w:lvl>
  </w:abstractNum>
  <w:abstractNum w:abstractNumId="1">
    <w:nsid w:val="D59C7962"/>
    <w:multiLevelType w:val="singleLevel"/>
    <w:tmpl w:val="D59C7962"/>
    <w:lvl w:ilvl="0" w:tentative="0">
      <w:start w:val="1"/>
      <w:numFmt w:val="chineseCounting"/>
      <w:suff w:val="nothing"/>
      <w:lvlText w:val="%1、"/>
      <w:lvlJc w:val="left"/>
      <w:rPr>
        <w:rFonts w:hint="eastAsia"/>
      </w:rPr>
    </w:lvl>
  </w:abstractNum>
  <w:abstractNum w:abstractNumId="2">
    <w:nsid w:val="2BFB8C96"/>
    <w:multiLevelType w:val="singleLevel"/>
    <w:tmpl w:val="2BFB8C96"/>
    <w:lvl w:ilvl="0" w:tentative="0">
      <w:start w:val="2"/>
      <w:numFmt w:val="decimal"/>
      <w:suff w:val="space"/>
      <w:lvlText w:val="%1."/>
      <w:lvlJc w:val="left"/>
    </w:lvl>
  </w:abstractNum>
  <w:abstractNum w:abstractNumId="3">
    <w:nsid w:val="426097B3"/>
    <w:multiLevelType w:val="singleLevel"/>
    <w:tmpl w:val="426097B3"/>
    <w:lvl w:ilvl="0" w:tentative="0">
      <w:start w:val="3"/>
      <w:numFmt w:val="chineseCounting"/>
      <w:suff w:val="space"/>
      <w:lvlText w:val="第%1部分"/>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68838C2"/>
    <w:rsid w:val="07180E92"/>
    <w:rsid w:val="089839BA"/>
    <w:rsid w:val="0B3D667F"/>
    <w:rsid w:val="0B492353"/>
    <w:rsid w:val="117A5E54"/>
    <w:rsid w:val="12FE3B58"/>
    <w:rsid w:val="13747DAA"/>
    <w:rsid w:val="16797D08"/>
    <w:rsid w:val="172355D3"/>
    <w:rsid w:val="17A355BA"/>
    <w:rsid w:val="1B2466E5"/>
    <w:rsid w:val="1C0E2A35"/>
    <w:rsid w:val="1C817790"/>
    <w:rsid w:val="1DCD7D00"/>
    <w:rsid w:val="1EE21DA7"/>
    <w:rsid w:val="1F3C5B49"/>
    <w:rsid w:val="20017382"/>
    <w:rsid w:val="21676B90"/>
    <w:rsid w:val="21961EB7"/>
    <w:rsid w:val="21A05F7E"/>
    <w:rsid w:val="28A65FBE"/>
    <w:rsid w:val="2A857986"/>
    <w:rsid w:val="2BE83F94"/>
    <w:rsid w:val="2BF42D02"/>
    <w:rsid w:val="2BF7779C"/>
    <w:rsid w:val="2F8119D0"/>
    <w:rsid w:val="34EA2EB6"/>
    <w:rsid w:val="34F62908"/>
    <w:rsid w:val="353B695E"/>
    <w:rsid w:val="389261A6"/>
    <w:rsid w:val="390037A2"/>
    <w:rsid w:val="39F72424"/>
    <w:rsid w:val="3C411FBF"/>
    <w:rsid w:val="3C4F2C50"/>
    <w:rsid w:val="3D131988"/>
    <w:rsid w:val="3DA60130"/>
    <w:rsid w:val="40166363"/>
    <w:rsid w:val="40586425"/>
    <w:rsid w:val="40D368B0"/>
    <w:rsid w:val="4268313C"/>
    <w:rsid w:val="42CE606B"/>
    <w:rsid w:val="43DA5B87"/>
    <w:rsid w:val="44C60C63"/>
    <w:rsid w:val="467E1CDE"/>
    <w:rsid w:val="4787624B"/>
    <w:rsid w:val="4C746661"/>
    <w:rsid w:val="4C8C3F07"/>
    <w:rsid w:val="4D555CB1"/>
    <w:rsid w:val="5304430E"/>
    <w:rsid w:val="542F756E"/>
    <w:rsid w:val="54777E46"/>
    <w:rsid w:val="57327F9E"/>
    <w:rsid w:val="57B26443"/>
    <w:rsid w:val="57B31914"/>
    <w:rsid w:val="5DE402B6"/>
    <w:rsid w:val="604A5C2C"/>
    <w:rsid w:val="60D47907"/>
    <w:rsid w:val="62C17492"/>
    <w:rsid w:val="62F51C0D"/>
    <w:rsid w:val="639835A3"/>
    <w:rsid w:val="65937BEB"/>
    <w:rsid w:val="67F325A0"/>
    <w:rsid w:val="687B3694"/>
    <w:rsid w:val="6B6066A7"/>
    <w:rsid w:val="6B8342AA"/>
    <w:rsid w:val="6BB34631"/>
    <w:rsid w:val="6D745521"/>
    <w:rsid w:val="6DA422E5"/>
    <w:rsid w:val="6FA755CF"/>
    <w:rsid w:val="70846AFD"/>
    <w:rsid w:val="70E57BE1"/>
    <w:rsid w:val="72614EAD"/>
    <w:rsid w:val="73F15019"/>
    <w:rsid w:val="749073E1"/>
    <w:rsid w:val="767D6EE6"/>
    <w:rsid w:val="77CA6886"/>
    <w:rsid w:val="7CCD2CAE"/>
    <w:rsid w:val="7EE1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1"/>
    <w:qFormat/>
    <w:uiPriority w:val="0"/>
    <w:pPr>
      <w:snapToGrid w:val="0"/>
      <w:jc w:val="left"/>
    </w:pPr>
    <w:rPr>
      <w:sz w:val="32"/>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13754</Words>
  <Characters>14625</Characters>
  <Lines>0</Lines>
  <Paragraphs>0</Paragraphs>
  <TotalTime>1</TotalTime>
  <ScaleCrop>false</ScaleCrop>
  <LinksUpToDate>false</LinksUpToDate>
  <CharactersWithSpaces>16246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甜sean</cp:lastModifiedBy>
  <cp:lastPrinted>2025-08-20T07:46:00Z</cp:lastPrinted>
  <dcterms:modified xsi:type="dcterms:W3CDTF">2025-09-12T02:00:41Z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DADA2B326901443B9B9AC7B4645F762D_13</vt:lpwstr>
  </property>
</Properties>
</file>