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6" w:lineRule="auto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附件 1</w:t>
      </w: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56" w:line="221" w:lineRule="auto"/>
        <w:ind w:right="20"/>
        <w:jc w:val="center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 年度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部门</w:t>
      </w:r>
    </w:p>
    <w:p>
      <w:pPr>
        <w:spacing w:before="156" w:line="221" w:lineRule="auto"/>
        <w:ind w:right="20"/>
        <w:jc w:val="center"/>
        <w:rPr>
          <w:rFonts w:hint="default" w:ascii="Times New Roman" w:hAnsi="Times New Roman" w:eastAsia="黑体" w:cs="Times New Roman"/>
          <w:spacing w:val="0"/>
          <w:w w:val="100"/>
          <w:position w:val="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决算公开</w:t>
      </w: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  <w:bookmarkStart w:id="0" w:name="_GoBack"/>
      <w:bookmarkEnd w:id="0"/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4"/>
        <w:spacing w:before="104" w:line="224" w:lineRule="auto"/>
        <w:ind w:left="316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202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年9月29日</w:t>
      </w:r>
    </w:p>
    <w:p>
      <w:pPr>
        <w:spacing w:line="280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pStyle w:val="7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before="143" w:line="222" w:lineRule="auto"/>
        <w:ind w:left="3361"/>
        <w:outlineLvl w:val="0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lang w:val="en-US" w:eastAsia="zh-CN"/>
        </w:rPr>
        <w:t xml:space="preserve">    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录</w:t>
      </w: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spacing w:line="251" w:lineRule="auto"/>
        <w:rPr>
          <w:rFonts w:hint="default" w:ascii="Times New Roman" w:hAnsi="Times New Roman" w:cs="Times New Roman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第一部分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概况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一、部门主要职责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4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二、机构设置情况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第二部分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六、一般公共预算财政拨款基本支出决算明细表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八、国有资本经营预算财政拨款支出决算表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397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 xml:space="preserve">第三部分  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年度部门决算情况说明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一、收入支出决算总体情况说明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二、收入决算情况说明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三、支出决算情况说明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四、财政拨款收入支出决算总体情况说明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五、一般公共预算财政拨款支出决算情况说明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六、一般公共预算财政拨款基本支出决算情况说明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七、政府性基金预算财政拨款收入支出决算情况说明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八、国有资本经营预算财政拨款支出决算情况说明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九、财政拨款“三公”经费支出决算情况说明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十、机关运行经费支出说明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十一、政府采购支出说明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十二、国有资产占用情况说明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417"/>
        <w:rPr>
          <w:rFonts w:hint="default" w:ascii="Times New Roman" w:hAnsi="Times New Roman" w:eastAsia="仿宋_GB2312" w:cs="Times New Roman"/>
          <w:spacing w:val="0"/>
          <w:w w:val="100"/>
          <w:position w:val="0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第四部分  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年重点工作完成情况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第五部分  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320" w:firstLineChars="10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</w:rPr>
        <w:t>第六部分  附件</w:t>
      </w: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7"/>
        <w:rPr>
          <w:rFonts w:hint="default" w:ascii="Times New Roman" w:hAnsi="Times New Roman" w:cs="Times New Roman"/>
        </w:rPr>
      </w:pPr>
    </w:p>
    <w:p>
      <w:pPr>
        <w:spacing w:before="143" w:line="222" w:lineRule="auto"/>
        <w:jc w:val="center"/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 xml:space="preserve">第一部分 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</w:rPr>
        <w:t xml:space="preserve"> </w:t>
      </w:r>
      <w:r>
        <w:rPr>
          <w:rFonts w:hint="eastAsia" w:ascii="Times New Roman" w:hAnsi="Times New Roman" w:eastAsia="方正小标宋简体" w:cs="Times New Roman"/>
          <w:spacing w:val="0"/>
          <w:w w:val="100"/>
          <w:position w:val="0"/>
          <w:sz w:val="44"/>
          <w:szCs w:val="44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方正小标宋简体" w:cs="Times New Roman"/>
          <w:spacing w:val="0"/>
          <w:w w:val="100"/>
          <w:position w:val="0"/>
          <w:sz w:val="44"/>
          <w:szCs w:val="44"/>
        </w:rPr>
        <w:t>概况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一、部门主要职责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贯彻落实党和国家的教育方针、法律法规，根据上级批示精神，全面贯彻落实党和国家的教育方针政策、法律法规，根据上级指示精神，结合我校实际情况，全面实施义务教育，促进基础教育发展和初中学历教育。努力办好人民满意的光谷教育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left="634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二、机构设置情况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right="10" w:firstLine="637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从单位构成看，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部门决算由实行独立核算的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本级决算和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 xml:space="preserve"> 个下属单位决算组成。</w:t>
      </w: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b/>
          <w:bCs/>
          <w:spacing w:val="0"/>
          <w:w w:val="100"/>
          <w:position w:val="0"/>
          <w:sz w:val="32"/>
          <w:szCs w:val="32"/>
          <w:lang w:eastAsia="zh-CN"/>
        </w:rPr>
      </w:pPr>
    </w:p>
    <w:p>
      <w:pPr>
        <w:pStyle w:val="7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 xml:space="preserve">第二部分  </w:t>
      </w:r>
      <w:r>
        <w:rPr>
          <w:rFonts w:hint="default" w:ascii="Times New Roman" w:hAnsi="Times New Roman" w:eastAsia="方正小标宋_GBK" w:cs="Times New Roman"/>
          <w:spacing w:val="-193"/>
          <w:sz w:val="44"/>
          <w:szCs w:val="44"/>
          <w:u w:val="single" w:color="auto"/>
        </w:rPr>
        <w:t xml:space="preserve"> 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96"/>
          <w:sz w:val="44"/>
          <w:szCs w:val="44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3"/>
          <w:sz w:val="44"/>
          <w:szCs w:val="44"/>
        </w:rPr>
        <w:t>年度部门决算表</w:t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</w:rPr>
        <w:t>年度收入支出决算总表</w:t>
      </w:r>
    </w:p>
    <w:p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公开01表</w:t>
      </w:r>
    </w:p>
    <w:p>
      <w:pPr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武汉市光谷第三初级中学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金额单位：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万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元</w:t>
      </w:r>
    </w:p>
    <w:tbl>
      <w:tblPr>
        <w:tblStyle w:val="10"/>
        <w:tblW w:w="90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6"/>
        <w:gridCol w:w="480"/>
        <w:gridCol w:w="975"/>
        <w:gridCol w:w="2820"/>
        <w:gridCol w:w="538"/>
        <w:gridCol w:w="103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621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4395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4,596.79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190.00</w:t>
            </w: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4,950.68</w:t>
            </w: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4,948.68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3.00</w:t>
            </w: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6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8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4,953.68</w:t>
            </w:r>
          </w:p>
        </w:tc>
        <w:tc>
          <w:tcPr>
            <w:tcW w:w="28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3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3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4,953.68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注：1.本表反映部门本年度的总收支和年末结转结余情况。     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2.本套报表金额单位转换时可能存在尾数误差。   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年度收入决算表</w:t>
      </w:r>
    </w:p>
    <w:p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公开02表</w:t>
      </w:r>
    </w:p>
    <w:p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武汉市光谷第三初级中学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单位：万元</w:t>
      </w:r>
    </w:p>
    <w:tbl>
      <w:tblPr>
        <w:tblStyle w:val="10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1923"/>
        <w:gridCol w:w="1064"/>
        <w:gridCol w:w="1050"/>
        <w:gridCol w:w="539"/>
        <w:gridCol w:w="881"/>
        <w:gridCol w:w="881"/>
        <w:gridCol w:w="882"/>
        <w:gridCol w:w="88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96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106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105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53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881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881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882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882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3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923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06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3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3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96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06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696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6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4,950.68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5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73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2050203</w:t>
            </w:r>
          </w:p>
        </w:tc>
        <w:tc>
          <w:tcPr>
            <w:tcW w:w="1923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初中教育</w:t>
            </w:r>
          </w:p>
        </w:tc>
        <w:tc>
          <w:tcPr>
            <w:tcW w:w="106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4,598.79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4,408.79</w:t>
            </w:r>
          </w:p>
        </w:tc>
        <w:tc>
          <w:tcPr>
            <w:tcW w:w="5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73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1923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06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321.14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321.14</w:t>
            </w:r>
          </w:p>
        </w:tc>
        <w:tc>
          <w:tcPr>
            <w:tcW w:w="5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73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1923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06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30.75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30.75</w:t>
            </w:r>
          </w:p>
        </w:tc>
        <w:tc>
          <w:tcPr>
            <w:tcW w:w="5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75" w:type="dxa"/>
            <w:gridSpan w:val="9"/>
            <w:tcBorders>
              <w:top w:val="single" w:color="D4D4D4" w:sz="4" w:space="0"/>
              <w:left w:val="nil"/>
              <w:bottom w:val="single" w:color="D4D4D4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注：本表反映部门本年度取得的各项收入情况。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75" w:type="dxa"/>
            <w:gridSpan w:val="9"/>
            <w:tcBorders>
              <w:top w:val="single" w:color="D4D4D4" w:sz="4" w:space="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注：本表反映部门本年度取得的各项收入情况。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年度支出决算表</w:t>
      </w:r>
    </w:p>
    <w:p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公开03表</w:t>
      </w:r>
    </w:p>
    <w:p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武汉市光谷第三初级中学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单位：万元</w:t>
      </w:r>
    </w:p>
    <w:tbl>
      <w:tblPr>
        <w:tblStyle w:val="10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9"/>
        <w:gridCol w:w="2160"/>
        <w:gridCol w:w="989"/>
        <w:gridCol w:w="989"/>
        <w:gridCol w:w="989"/>
        <w:gridCol w:w="990"/>
        <w:gridCol w:w="989"/>
        <w:gridCol w:w="9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39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98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98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8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99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98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99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16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39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39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4,948.68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4,800.79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147.89</w:t>
            </w: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2050203</w:t>
            </w:r>
          </w:p>
        </w:tc>
        <w:tc>
          <w:tcPr>
            <w:tcW w:w="21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初中教育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4,596.79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4,448.90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147.89</w:t>
            </w: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21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321.14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321.14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7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21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30.75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30.75</w:t>
            </w: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75" w:type="dxa"/>
            <w:gridSpan w:val="8"/>
            <w:tcBorders>
              <w:top w:val="single" w:color="D4D4D4" w:sz="4" w:space="0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注：本表反映部门本年度各项支出情况。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注：本表反映部门本年度各项支出情况。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年度财政拨款收入支出决算总表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公开04表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武汉市光谷第三初级中学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             </w:t>
      </w:r>
      <w:r>
        <w:rPr>
          <w:rFonts w:hint="default" w:ascii="Times New Roman" w:hAnsi="Times New Roman" w:eastAsia="微软雅黑" w:cs="Times New Roman"/>
          <w:sz w:val="16"/>
          <w:szCs w:val="16"/>
          <w:lang w:val="en-US" w:eastAsia="zh-CN"/>
        </w:rPr>
        <w:t xml:space="preserve">                     </w:t>
      </w:r>
      <w:r>
        <w:rPr>
          <w:rFonts w:hint="default" w:ascii="Times New Roman" w:hAnsi="Times New Roman" w:eastAsia="微软雅黑" w:cs="Times New Roman"/>
          <w:sz w:val="16"/>
          <w:szCs w:val="16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 ：万元</w:t>
      </w:r>
    </w:p>
    <w:tbl>
      <w:tblPr>
        <w:tblStyle w:val="10"/>
        <w:tblW w:w="89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9"/>
        <w:gridCol w:w="435"/>
        <w:gridCol w:w="1065"/>
        <w:gridCol w:w="348"/>
        <w:gridCol w:w="1377"/>
        <w:gridCol w:w="510"/>
        <w:gridCol w:w="1050"/>
        <w:gridCol w:w="960"/>
        <w:gridCol w:w="240"/>
        <w:gridCol w:w="301"/>
        <w:gridCol w:w="6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3" w:type="dxa"/>
          <w:trHeight w:val="300" w:hRule="atLeast"/>
        </w:trPr>
        <w:tc>
          <w:tcPr>
            <w:tcW w:w="4437" w:type="dxa"/>
            <w:gridSpan w:val="4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4438" w:type="dxa"/>
            <w:gridSpan w:val="6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58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35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065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25" w:type="dxa"/>
            <w:gridSpan w:val="2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1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105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6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4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364" w:type="dxa"/>
            <w:gridSpan w:val="2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8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4,408.79</w:t>
            </w: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4,408.79</w:t>
            </w: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351.89</w:t>
            </w: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351.89</w:t>
            </w: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年初财政拨款结转和结余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年末财政拨款结转和结余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8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43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1725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5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96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2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注 ：本表反映部门本年度一般公共预算财政拨款 、政府性基金预算财政拨款和国有资本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经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营预算财政拨款的总收支和年末结转结余情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2"/>
          <w:szCs w:val="22"/>
          <w:lang w:val="en-US" w:eastAsia="zh-CN" w:bidi="ar-SA"/>
        </w:rPr>
        <w:t>况。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年度一般公共预算财政拨款支出决算表</w:t>
      </w:r>
    </w:p>
    <w:p>
      <w:pPr>
        <w:pStyle w:val="7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公开05表</w:t>
      </w:r>
    </w:p>
    <w:p>
      <w:pPr>
        <w:pStyle w:val="7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武汉市光谷第三初级中学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10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988"/>
        <w:gridCol w:w="1710"/>
        <w:gridCol w:w="1710"/>
        <w:gridCol w:w="166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788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5087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988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71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71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67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0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8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8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788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788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4,760.68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4,654.07</w:t>
            </w:r>
          </w:p>
        </w:tc>
        <w:tc>
          <w:tcPr>
            <w:tcW w:w="166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2050203</w:t>
            </w:r>
          </w:p>
        </w:tc>
        <w:tc>
          <w:tcPr>
            <w:tcW w:w="298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初中教育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4,408.79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4,302.18</w:t>
            </w:r>
          </w:p>
        </w:tc>
        <w:tc>
          <w:tcPr>
            <w:tcW w:w="166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2080505</w:t>
            </w:r>
          </w:p>
        </w:tc>
        <w:tc>
          <w:tcPr>
            <w:tcW w:w="298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机关事业单位基本养老保险缴费支出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321.14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321.14</w:t>
            </w:r>
          </w:p>
        </w:tc>
        <w:tc>
          <w:tcPr>
            <w:tcW w:w="166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0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2080506</w:t>
            </w:r>
          </w:p>
        </w:tc>
        <w:tc>
          <w:tcPr>
            <w:tcW w:w="2988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机关事业单位职业年金缴费支出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30.75</w:t>
            </w:r>
          </w:p>
        </w:tc>
        <w:tc>
          <w:tcPr>
            <w:tcW w:w="171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30.75</w:t>
            </w:r>
          </w:p>
        </w:tc>
        <w:tc>
          <w:tcPr>
            <w:tcW w:w="166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注：本表反映部门本年度一般公共预算财政拨款支出情况。 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年度一般公共预算财政拨款基本支出决算明细表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公开06表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武汉市光谷第三初级中学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微软雅黑" w:cs="Times New Roman"/>
          <w:spacing w:val="-1"/>
          <w:sz w:val="18"/>
          <w:szCs w:val="18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 万元</w:t>
      </w:r>
    </w:p>
    <w:tbl>
      <w:tblPr>
        <w:tblStyle w:val="10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545"/>
        <w:gridCol w:w="925"/>
        <w:gridCol w:w="695"/>
        <w:gridCol w:w="1041"/>
        <w:gridCol w:w="714"/>
        <w:gridCol w:w="720"/>
        <w:gridCol w:w="1770"/>
        <w:gridCol w:w="81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124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5751" w:type="dxa"/>
            <w:gridSpan w:val="6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545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25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695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041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71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72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77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811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5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4,136.11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353.62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732.27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25.52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国内债务付息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148.02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印刷费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5.05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国外债务付息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奖金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伙食补助费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手续费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房屋建筑物购建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2,214.13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10.77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办公设备购置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321.14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24.82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专用设备购置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30.76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邮电费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基础设施建设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210.66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取暖费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大型修缮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公务员医疗补助缴费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130.97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82.30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信息网络及软件购置更新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20.95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物资储备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327.21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因公出国（境）费用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土地补偿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10.28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安置补助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地上附着物和青苗补偿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164.34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拆迁补偿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离休费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11.65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137.64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其他交通工具购置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退职（役）费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专用材料费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7.09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文物和陈列品购置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抚恤金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被装购置费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无形资产购置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生活补助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专用燃料费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其他资本性支出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救济费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劳务费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100.93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医疗费补助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21.20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7.02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国家赔偿费用支出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助学金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工会经费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17.27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对民间非营利组织和群众性自治组织补贴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福利费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20.20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经常性赠与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个人农业生产补贴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资本性赠与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代缴社会保险费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1.72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其他对个人和家庭的补助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5.50</w:t>
            </w: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税金及附加费用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5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104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其他商品和服务支出</w:t>
            </w:r>
          </w:p>
        </w:tc>
        <w:tc>
          <w:tcPr>
            <w:tcW w:w="71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25.44</w:t>
            </w:r>
          </w:p>
        </w:tc>
        <w:tc>
          <w:tcPr>
            <w:tcW w:w="72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199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9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4,300.45</w:t>
            </w:r>
          </w:p>
        </w:tc>
        <w:tc>
          <w:tcPr>
            <w:tcW w:w="4940" w:type="dxa"/>
            <w:gridSpan w:val="5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811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353.62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：本表反映部门本年度一般公共预算财政拨款基本支出明细情况。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年度政府性基金预算财政拨款收入支出决算表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公开07表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部门：武汉市光谷第三初级中学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单位：万元</w:t>
      </w:r>
    </w:p>
    <w:tbl>
      <w:tblPr>
        <w:tblStyle w:val="10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325"/>
        <w:gridCol w:w="994"/>
        <w:gridCol w:w="994"/>
        <w:gridCol w:w="994"/>
        <w:gridCol w:w="994"/>
        <w:gridCol w:w="994"/>
        <w:gridCol w:w="99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11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99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99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982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99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325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9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994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11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11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6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5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4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：本表反映部门本年度政府性基金预算财政拨款收入、支出及结转和结余情况。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本部门2024年度无政府性基金预算财政拨款收入支出。 </w:t>
      </w:r>
    </w:p>
    <w:p>
      <w:pP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年度国有资本经营预算财政拨款支出决算表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公开08表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</w:t>
      </w:r>
      <w:r>
        <w:rPr>
          <w:rFonts w:hint="eastAsia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武汉市光谷第三初级中学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 xml:space="preserve"> 单位：万元</w:t>
      </w:r>
    </w:p>
    <w:tbl>
      <w:tblPr>
        <w:tblStyle w:val="10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3502"/>
        <w:gridCol w:w="1497"/>
        <w:gridCol w:w="1497"/>
        <w:gridCol w:w="14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8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4491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2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502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1497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97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497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2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8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384" w:type="dxa"/>
            <w:gridSpan w:val="2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2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注：本表反映部门本年度国有资本经营预算财政拨款支出情况。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本部门2024年度无国有资本经营预算财政拨款支出。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</w:pPr>
      <w:r>
        <w:rPr>
          <w:rFonts w:hint="default" w:ascii="Times New Roman" w:hAnsi="Times New Roman" w:eastAsia="微软雅黑" w:cs="Times New Roman"/>
          <w:b/>
          <w:bCs/>
          <w:spacing w:val="-13"/>
          <w:w w:val="96"/>
          <w:sz w:val="33"/>
          <w:szCs w:val="33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pacing w:val="0"/>
          <w:w w:val="100"/>
          <w:position w:val="0"/>
          <w:sz w:val="32"/>
          <w:szCs w:val="32"/>
          <w:lang w:val="en-US" w:eastAsia="zh-CN"/>
        </w:rPr>
        <w:t>年度财政拨款“ 三公 ”经费支出决算表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公开09表</w:t>
      </w:r>
    </w:p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leftChars="0" w:firstLine="0" w:firstLineChars="0"/>
        <w:jc w:val="right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部门：武汉市光谷第三初级中学                          单位：万元</w:t>
      </w:r>
    </w:p>
    <w:tbl>
      <w:tblPr>
        <w:tblStyle w:val="10"/>
        <w:tblW w:w="8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39"/>
        <w:gridCol w:w="740"/>
        <w:gridCol w:w="739"/>
        <w:gridCol w:w="740"/>
        <w:gridCol w:w="740"/>
        <w:gridCol w:w="740"/>
        <w:gridCol w:w="739"/>
        <w:gridCol w:w="740"/>
        <w:gridCol w:w="739"/>
        <w:gridCol w:w="740"/>
        <w:gridCol w:w="739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438" w:type="dxa"/>
            <w:gridSpan w:val="6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4437" w:type="dxa"/>
            <w:gridSpan w:val="6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4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219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74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40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219" w:type="dxa"/>
            <w:gridSpan w:val="3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739" w:type="dxa"/>
            <w:vMerge w:val="restart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4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39" w:type="dxa"/>
            <w:vMerge w:val="continue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tcBorders>
              <w:top w:val="single" w:color="D4D4D4" w:sz="4" w:space="0"/>
              <w:left w:val="single" w:color="D4D4D4" w:sz="4" w:space="0"/>
              <w:bottom w:val="single" w:color="D4D4D4" w:sz="4" w:space="0"/>
              <w:right w:val="single" w:color="D4D4D4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firstLine="0" w:firstLineChars="0"/>
        <w:textAlignment w:val="baseline"/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注 ：本表反映部门本年度财政拨款“三公 ”经费支出预决算情况 。其中，预算数为“三公 ”经费全年预算数，反映按规定程序调整后的预算数 ；决算数是包括当年财政拨款和以前年度结转资金安排的实际支出。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t>本部门2024年度无财政拨款三公经费支出。</w:t>
      </w:r>
    </w:p>
    <w:p>
      <w:pP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000000"/>
          <w:spacing w:val="0"/>
          <w:w w:val="100"/>
          <w:kern w:val="0"/>
          <w:position w:val="0"/>
          <w:sz w:val="28"/>
          <w:szCs w:val="2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1225" w:right="0" w:hanging="1225"/>
        <w:jc w:val="center"/>
        <w:textAlignment w:val="baseline"/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  <w:u w:val="single" w:color="auto"/>
        </w:rPr>
        <w:t xml:space="preserve"> 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pacing w:val="-2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pacing w:val="-23"/>
          <w:sz w:val="44"/>
          <w:szCs w:val="44"/>
        </w:rPr>
        <w:t>年度 部门决算情况说明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spacing w:before="10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一、收入支出决算总体情况说明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0" w:firstLineChars="200"/>
        <w:textAlignment w:val="baseline"/>
        <w:rPr>
          <w:rFonts w:hint="eastAsia" w:ascii="Times New Roman" w:hAnsi="Times New Roman" w:eastAsia="仿宋_GB2312" w:cs="Times New Roman"/>
          <w:spacing w:val="-14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5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年度收、支总计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4953.68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万元。与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202</w:t>
      </w:r>
      <w:r>
        <w:rPr>
          <w:rFonts w:hint="eastAsia" w:ascii="Times New Roman" w:hAnsi="Times New Roman" w:eastAsia="仿宋_GB2312" w:cs="Times New Roman"/>
          <w:spacing w:val="-5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6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年度相比，收、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支总计各增加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282.81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万元，增长</w:t>
      </w:r>
      <w:r>
        <w:rPr>
          <w:rFonts w:hint="default" w:ascii="Times New Roman" w:hAnsi="Times New Roman" w:eastAsia="仿宋_GB2312" w:cs="Times New Roman"/>
          <w:spacing w:val="-158"/>
        </w:rPr>
        <w:t xml:space="preserve"> 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6.1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43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%，主要原</w:t>
      </w:r>
      <w:r>
        <w:rPr>
          <w:rFonts w:hint="default" w:ascii="Times New Roman" w:hAnsi="Times New Roman" w:eastAsia="仿宋_GB2312" w:cs="Times New Roman"/>
          <w:spacing w:val="-14"/>
        </w:rPr>
        <w:t>因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: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textAlignment w:val="baseline"/>
        <w:rPr>
          <w:rFonts w:hint="default" w:ascii="Times New Roman" w:hAnsi="Times New Roman" w:eastAsia="仿宋_GB2312" w:cs="Times New Roman"/>
          <w:spacing w:val="-14"/>
        </w:rPr>
      </w:pP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、教师人数增加，人员经费小幅度增加；2、学生人数增加，公用经费相应增加。</w:t>
      </w:r>
    </w:p>
    <w:p>
      <w:pPr>
        <w:pStyle w:val="4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</w:t>
      </w:r>
      <w:r>
        <w:rPr>
          <w:rFonts w:hint="default" w:ascii="Times New Roman" w:hAnsi="Times New Roman" w:eastAsia="楷体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1：收、支决算总计变动情况</w:t>
      </w:r>
    </w:p>
    <w:p>
      <w:pPr>
        <w:pStyle w:val="4"/>
        <w:spacing w:before="74" w:line="224" w:lineRule="auto"/>
        <w:jc w:val="center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>
      <w:pPr>
        <w:pStyle w:val="4"/>
        <w:spacing w:before="74" w:line="224" w:lineRule="auto"/>
        <w:jc w:val="center"/>
        <w:rPr>
          <w:rFonts w:hint="eastAsia" w:ascii="Times New Roman" w:hAnsi="Times New Roman" w:eastAsia="楷体_GB2312" w:cs="Times New Roman"/>
          <w:spacing w:val="3"/>
          <w:sz w:val="32"/>
          <w:szCs w:val="32"/>
          <w:lang w:val="en-US" w:eastAsia="zh-CN"/>
        </w:rPr>
      </w:pPr>
    </w:p>
    <w:p>
      <w:pPr>
        <w:spacing w:before="60" w:line="3586" w:lineRule="exact"/>
        <w:jc w:val="center"/>
        <w:rPr>
          <w:rFonts w:hint="default" w:ascii="Times New Roman" w:hAnsi="Times New Roman" w:cs="Times New Roman"/>
        </w:rPr>
      </w:pPr>
      <w:r>
        <w:drawing>
          <wp:inline distT="0" distB="0" distL="114300" distR="114300">
            <wp:extent cx="4105910" cy="2191385"/>
            <wp:effectExtent l="4445" t="4445" r="23495" b="1397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before="294" w:line="222" w:lineRule="auto"/>
        <w:ind w:left="643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二、收入决算情况说明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 w:firstLine="640" w:firstLineChars="200"/>
        <w:textAlignment w:val="baseline"/>
        <w:rPr>
          <w:rFonts w:hint="eastAsia" w:ascii="仿宋" w:hAnsi="仿宋" w:eastAsia="仿宋" w:cs="仿宋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年度收入合计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4950.68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与2023年度相比，收入合计增加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 357.16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万元，增长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u w:val="single"/>
          <w:lang w:val="en-US" w:eastAsia="zh-CN"/>
        </w:rPr>
        <w:t xml:space="preserve">7.8  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主要原因是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>、</w:t>
      </w:r>
      <w:r>
        <w:rPr>
          <w:rFonts w:hint="eastAsia" w:ascii="仿宋" w:hAnsi="仿宋" w:eastAsia="仿宋" w:cs="仿宋"/>
          <w:spacing w:val="-1"/>
          <w:lang w:val="en-US" w:eastAsia="zh-CN"/>
        </w:rPr>
        <w:t>教师人数增加，人员经费小幅度增加；2、学生人数增加，公用经费相应增加。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其中：财政拨款收入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4760.68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96.2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%；上级补助收入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%；事业收入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%；经营收入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%；其他收入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190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万元，占本年收入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3.8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>
      <w:pPr>
        <w:pStyle w:val="4"/>
        <w:spacing w:before="220" w:line="223" w:lineRule="auto"/>
        <w:jc w:val="center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2：收入决算结构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jc w:val="center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>
      <w:pPr>
        <w:spacing w:line="269" w:lineRule="auto"/>
        <w:jc w:val="center"/>
        <w:rPr>
          <w:rFonts w:hint="default" w:ascii="Times New Roman" w:hAnsi="Times New Roman" w:cs="Times New Roman"/>
          <w:sz w:val="21"/>
        </w:rPr>
      </w:pPr>
    </w:p>
    <w:p>
      <w:pPr>
        <w:rPr>
          <w:rFonts w:hint="default" w:ascii="Times New Roman" w:hAnsi="Times New Roman" w:cs="Times New Roman"/>
          <w:sz w:val="21"/>
        </w:rPr>
      </w:pPr>
    </w:p>
    <w:p>
      <w:pPr>
        <w:spacing w:line="241" w:lineRule="auto"/>
        <w:jc w:val="center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4913630" cy="3342640"/>
            <wp:effectExtent l="4445" t="4445" r="15875" b="5715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before="104" w:line="222" w:lineRule="auto"/>
        <w:ind w:left="642"/>
        <w:rPr>
          <w:rFonts w:hint="default" w:ascii="Times New Roman" w:hAnsi="Times New Roman" w:eastAsia="黑体" w:cs="Times New Roman"/>
          <w:spacing w:val="-2"/>
          <w:sz w:val="32"/>
          <w:szCs w:val="32"/>
        </w:rPr>
      </w:pPr>
    </w:p>
    <w:p>
      <w:pPr>
        <w:spacing w:before="104" w:line="222" w:lineRule="auto"/>
        <w:ind w:left="642"/>
        <w:rPr>
          <w:rFonts w:hint="default" w:ascii="Times New Roman" w:hAnsi="Times New Roman" w:eastAsia="黑体" w:cs="Times New Roman"/>
          <w:spacing w:val="-2"/>
          <w:sz w:val="32"/>
          <w:szCs w:val="32"/>
        </w:rPr>
      </w:pPr>
    </w:p>
    <w:p>
      <w:pPr>
        <w:spacing w:before="104" w:line="222" w:lineRule="auto"/>
        <w:ind w:left="64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三、支出决算情况说明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年度支出合计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4948.68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与2023年度相比，支出合计增加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280.81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6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%，主要原因是1、教师人数增加，人员经费小幅度增加；2、学生人数增加，公用经费相应增加。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其中：基本支出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4800.79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%；项目支出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147.9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%；上缴上级支出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%；经营支出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4"/>
        <w:spacing w:before="220" w:line="223" w:lineRule="auto"/>
        <w:jc w:val="both"/>
        <w:outlineLvl w:val="1"/>
        <w:rPr>
          <w:rFonts w:hint="default" w:ascii="Times New Roman" w:hAnsi="Times New Roman" w:eastAsia="仿宋_GB2312" w:cs="Times New Roman"/>
          <w:b/>
          <w:bCs/>
          <w:spacing w:val="-6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2934" w:firstLineChars="900"/>
        <w:jc w:val="both"/>
        <w:textAlignment w:val="baseline"/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3：支出决算结构</w:t>
      </w:r>
    </w:p>
    <w:p>
      <w:pPr>
        <w:spacing w:before="223" w:line="4723" w:lineRule="exact"/>
        <w:ind w:firstLine="819"/>
        <w:rPr>
          <w:rFonts w:hint="default" w:ascii="Times New Roman" w:hAnsi="Times New Roman" w:cs="Times New Roman"/>
          <w:sz w:val="21"/>
        </w:rPr>
      </w:pPr>
      <w:r>
        <w:drawing>
          <wp:inline distT="0" distB="0" distL="114300" distR="114300">
            <wp:extent cx="4819015" cy="2523490"/>
            <wp:effectExtent l="4445" t="4445" r="15240" b="5715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textAlignment w:val="baseline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四、财政拨款收入支出决算总体情况说明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年度财政拨款收、支总计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4760.68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相比，财政拨款收、支总计各增加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225.12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%。主要原因是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1、教师人数增加，人员经费小幅度增加；2、学生人数增加，公用经费相应增加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2024年度财政拨款收入中，一般公共预算财政拨款收入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4760.68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225.12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1、教师人数增加，人员经费小幅度增加；2、学生人数增加，公用经费相应增加。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国有资本经营预算财政拨款收入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2023年度决算数增加(减少)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default" w:ascii="Times New Roman" w:hAnsi="Times New Roman" w:eastAsia="楷体_GB2312" w:cs="Times New Roman"/>
          <w:spacing w:val="3"/>
          <w:sz w:val="32"/>
          <w:szCs w:val="32"/>
        </w:rPr>
      </w:pPr>
    </w:p>
    <w:p>
      <w:pPr>
        <w:ind w:firstLine="978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图 4：财政拨款收、支决算总计变动情况</w:t>
      </w:r>
    </w:p>
    <w:p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五、一般公共预算财政拨款支出决算情况说明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0"/>
          <w:sz w:val="32"/>
          <w:szCs w:val="32"/>
        </w:rPr>
        <w:t>一般公共预算财政拨款支出决算总体情况</w:t>
      </w:r>
    </w:p>
    <w:p>
      <w:pPr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4760.68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万元，占本年支出合计的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96.2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%。与20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相比，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225.12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万元，增长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 xml:space="preserve"> %。主要原因是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1、教师人数增加，人员经费小幅度增加；2、学生人数增加，公用经费相应增加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(二)一般公共预算财政拨款支出决算结构情况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lang w:eastAsia="zh-CN"/>
        </w:rPr>
        <w:t>一般公共预算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财政拨款支出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  <w:lang w:val="en-US" w:eastAsia="zh-CN"/>
        </w:rPr>
        <w:t>4760.68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Cs/>
          <w:kern w:val="44"/>
          <w:sz w:val="32"/>
          <w:szCs w:val="32"/>
          <w:highlight w:val="none"/>
        </w:rPr>
        <w:t>万元，主要用于以下方面：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教育支出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类</w:t>
      </w:r>
      <w:r>
        <w:rPr>
          <w:rFonts w:hint="default" w:ascii="Times New Roman" w:hAnsi="Times New Roman" w:eastAsia="仿宋_GB2312" w:cs="Times New Roman"/>
          <w:spacing w:val="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0"/>
          <w:sz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u w:val="single" w:color="auto"/>
          <w:lang w:val="en-US" w:eastAsia="zh-CN"/>
        </w:rPr>
        <w:t>4408.79</w:t>
      </w:r>
      <w:r>
        <w:rPr>
          <w:rFonts w:hint="default" w:ascii="Times New Roman" w:hAnsi="Times New Roman" w:eastAsia="仿宋_GB2312" w:cs="Times New Roman"/>
          <w:spacing w:val="0"/>
          <w:sz w:val="32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 xml:space="preserve"> 万元，占</w:t>
      </w:r>
      <w:r>
        <w:rPr>
          <w:rFonts w:hint="default" w:ascii="Times New Roman" w:hAnsi="Times New Roman" w:eastAsia="仿宋_GB2312" w:cs="Times New Roman"/>
          <w:spacing w:val="0"/>
          <w:sz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u w:val="single" w:color="auto"/>
          <w:lang w:val="en-US" w:eastAsia="zh-CN"/>
        </w:rPr>
        <w:t>92.6</w:t>
      </w:r>
      <w:r>
        <w:rPr>
          <w:rFonts w:hint="default" w:ascii="Times New Roman" w:hAnsi="Times New Roman" w:eastAsia="仿宋_GB2312" w:cs="Times New Roman"/>
          <w:spacing w:val="0"/>
          <w:sz w:val="32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 xml:space="preserve"> %。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</w:rPr>
        <w:t>主要是用于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eastAsia="zh-CN"/>
        </w:rPr>
        <w:t>基本支出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u w:val="single"/>
          <w:lang w:val="en-US" w:eastAsia="zh-CN"/>
        </w:rPr>
        <w:t xml:space="preserve">4302.18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 xml:space="preserve">万元，主要用于工资福利支出、离退休的退休费及医疗费补助、公用经费的使用（办公费、水电费、校聘教师劳务费、政采项目物业管理费等）；项目支出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u w:val="single"/>
          <w:lang w:val="en-US" w:eastAsia="zh-CN"/>
        </w:rPr>
        <w:t xml:space="preserve">106.61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atLeas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.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 xml:space="preserve"> 社会保障和就业支出 </w:t>
      </w:r>
      <w:r>
        <w:rPr>
          <w:rFonts w:hint="eastAsia" w:ascii="Times New Roman" w:hAnsi="Times New Roman" w:cs="Times New Roman"/>
          <w:spacing w:val="0"/>
          <w:sz w:val="32"/>
          <w:u w:val="single"/>
          <w:lang w:val="en-US" w:eastAsia="zh-CN"/>
        </w:rPr>
        <w:t xml:space="preserve">351.89 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占</w:t>
      </w:r>
      <w:r>
        <w:rPr>
          <w:rFonts w:hint="default" w:ascii="Times New Roman" w:hAnsi="Times New Roman" w:eastAsia="仿宋_GB2312" w:cs="Times New Roman"/>
          <w:spacing w:val="0"/>
          <w:sz w:val="32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u w:val="single" w:color="auto"/>
          <w:lang w:val="en-US" w:eastAsia="zh-CN"/>
        </w:rPr>
        <w:t>7.4</w:t>
      </w:r>
      <w:r>
        <w:rPr>
          <w:rFonts w:hint="default" w:ascii="Times New Roman" w:hAnsi="Times New Roman" w:eastAsia="仿宋_GB2312" w:cs="Times New Roman"/>
          <w:spacing w:val="0"/>
          <w:sz w:val="32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 xml:space="preserve"> %。</w:t>
      </w:r>
      <w:r>
        <w:rPr>
          <w:rFonts w:hint="default" w:ascii="Times New Roman" w:hAnsi="Times New Roman" w:eastAsia="仿宋_GB2312" w:cs="Times New Roman"/>
          <w:spacing w:val="0"/>
          <w:sz w:val="32"/>
          <w:highlight w:val="none"/>
        </w:rPr>
        <w:t>主要是用于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eastAsia="zh-CN"/>
        </w:rPr>
        <w:t>机关事业单位基本养老保险缴费支出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u w:val="single"/>
          <w:lang w:val="en-US" w:eastAsia="zh-CN"/>
        </w:rPr>
        <w:t xml:space="preserve">321.14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 xml:space="preserve">万元，占社会保障和就业支出 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u w:val="single"/>
          <w:lang w:val="en-US" w:eastAsia="zh-CN"/>
        </w:rPr>
        <w:t xml:space="preserve">91.3 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%；机关事业单位职业年金缴费支出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u w:val="single"/>
          <w:lang w:val="en-US" w:eastAsia="zh-CN"/>
        </w:rPr>
        <w:t>30.75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 xml:space="preserve">万元，占社会保障和就业支出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u w:val="single"/>
          <w:lang w:val="en-US" w:eastAsia="zh-CN"/>
        </w:rPr>
        <w:t xml:space="preserve">8.7 </w:t>
      </w:r>
      <w:r>
        <w:rPr>
          <w:rFonts w:hint="eastAsia" w:ascii="Times New Roman" w:hAnsi="Times New Roman" w:eastAsia="仿宋_GB2312" w:cs="Times New Roman"/>
          <w:spacing w:val="0"/>
          <w:sz w:val="32"/>
          <w:highlight w:val="none"/>
          <w:lang w:val="en-US" w:eastAsia="zh-CN"/>
        </w:rPr>
        <w:t>%。</w:t>
      </w:r>
    </w:p>
    <w:p>
      <w:pPr>
        <w:rPr>
          <w:rFonts w:hint="default" w:ascii="Times New Roman" w:hAnsi="Times New Roman" w:cs="Times New Roman"/>
          <w:spacing w:val="0"/>
          <w:sz w:val="32"/>
        </w:rPr>
      </w:pPr>
      <w:r>
        <w:rPr>
          <w:rFonts w:hint="default" w:ascii="Times New Roman" w:hAnsi="Times New Roman" w:cs="Times New Roman"/>
          <w:spacing w:val="0"/>
          <w:sz w:val="32"/>
        </w:rPr>
        <w:br w:type="page"/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320" w:firstLineChars="100"/>
        <w:rPr>
          <w:rFonts w:hint="eastAsia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（三）一般公共预算财政拨款支出决算具体情况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eastAsia" w:ascii="Times New Roman" w:hAnsi="Times New Roman" w:eastAsia="仿宋_GB2312" w:cs="Times New Roman"/>
          <w:spacing w:val="-6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"/>
        </w:rPr>
        <w:t>年度一般公共预算财政拨款支出年初预算为</w:t>
      </w:r>
      <w:r>
        <w:rPr>
          <w:rFonts w:hint="eastAsia" w:ascii="Times New Roman" w:hAnsi="Times New Roman" w:eastAsia="仿宋_GB2312" w:cs="Times New Roman"/>
          <w:spacing w:val="-3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54"/>
          <w:u w:val="single" w:color="auto"/>
          <w:lang w:val="en-US" w:eastAsia="zh-CN"/>
        </w:rPr>
        <w:t>4730.14</w:t>
      </w:r>
      <w:r>
        <w:rPr>
          <w:rFonts w:hint="default" w:ascii="Times New Roman" w:hAnsi="Times New Roman" w:eastAsia="仿宋_GB2312" w:cs="Times New Roman"/>
          <w:spacing w:val="54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支出决算为</w:t>
      </w:r>
      <w:r>
        <w:rPr>
          <w:rFonts w:hint="eastAsia" w:ascii="Times New Roman" w:hAnsi="Times New Roman" w:eastAsia="仿宋_GB2312" w:cs="Times New Roman"/>
          <w:spacing w:val="-1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1"/>
          <w:u w:val="single"/>
          <w:lang w:val="en-US" w:eastAsia="zh-CN"/>
        </w:rPr>
        <w:t>4760.68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15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万元，完成年初预算的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100.6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%。其中：基本支出</w:t>
      </w:r>
      <w:r>
        <w:rPr>
          <w:rFonts w:hint="eastAsia" w:ascii="Times New Roman" w:hAnsi="Times New Roman" w:eastAsia="仿宋_GB2312" w:cs="Times New Roman"/>
          <w:spacing w:val="-1"/>
          <w:u w:val="single"/>
          <w:lang w:val="en-US" w:eastAsia="zh-CN"/>
        </w:rPr>
        <w:t>4654.07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万元，项目支出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106.61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万元。项目支出主要用于</w:t>
      </w:r>
      <w:r>
        <w:rPr>
          <w:rFonts w:hint="eastAsia" w:ascii="Times New Roman" w:hAnsi="Times New Roman" w:eastAsia="仿宋_GB2312" w:cs="Times New Roman"/>
          <w:spacing w:val="-6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6" w:firstLineChars="200"/>
        <w:rPr>
          <w:rFonts w:hint="default" w:ascii="Times New Roman" w:hAnsi="Times New Roman" w:eastAsia="仿宋_GB2312" w:cs="Times New Roman"/>
          <w:spacing w:val="-16"/>
        </w:rPr>
      </w:pP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6"/>
          <w:u w:val="none" w:color="auto"/>
          <w:lang w:val="en-US" w:eastAsia="zh-CN"/>
        </w:rPr>
        <w:t xml:space="preserve"> 1、</w:t>
      </w: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 xml:space="preserve">42010823035T000000272教育事业发展专项 </w:t>
      </w:r>
      <w:r>
        <w:rPr>
          <w:rFonts w:hint="default" w:ascii="Times New Roman" w:hAnsi="Times New Roman" w:eastAsia="仿宋_GB2312" w:cs="Times New Roman"/>
          <w:spacing w:val="-1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6"/>
          <w:u w:val="single" w:color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-1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16"/>
        </w:rPr>
        <w:t>万元，主要</w:t>
      </w:r>
      <w:r>
        <w:rPr>
          <w:rFonts w:hint="eastAsia" w:ascii="Times New Roman" w:hAnsi="Times New Roman" w:eastAsia="仿宋_GB2312" w:cs="Times New Roman"/>
          <w:spacing w:val="-16"/>
          <w:lang w:eastAsia="zh-CN"/>
        </w:rPr>
        <w:t>用于支持招生考试工作支出</w:t>
      </w:r>
      <w:r>
        <w:rPr>
          <w:rFonts w:hint="default" w:ascii="Times New Roman" w:hAnsi="Times New Roman" w:eastAsia="仿宋_GB2312" w:cs="Times New Roman"/>
          <w:spacing w:val="-16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864" w:firstLineChars="300"/>
        <w:rPr>
          <w:rFonts w:hint="default" w:ascii="Times New Roman" w:hAnsi="Times New Roman" w:eastAsia="仿宋_GB2312" w:cs="Times New Roman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pacing w:val="-16"/>
        </w:rPr>
        <w:t>42010823035T000000310城乡义务教育补助经费</w:t>
      </w: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16"/>
          <w:u w:val="single"/>
          <w:lang w:val="en-US" w:eastAsia="zh-CN"/>
        </w:rPr>
        <w:t xml:space="preserve">96.61 </w:t>
      </w:r>
      <w:r>
        <w:rPr>
          <w:rFonts w:hint="eastAsia" w:ascii="Times New Roman" w:hAnsi="Times New Roman" w:eastAsia="仿宋_GB2312" w:cs="Times New Roman"/>
          <w:spacing w:val="-16"/>
          <w:u w:val="none"/>
          <w:lang w:val="en-US" w:eastAsia="zh-CN"/>
        </w:rPr>
        <w:t>万元，主要用于办公费、水电费、印刷费、物业管理费、差旅费、维修维护费、委托业务费等维持学校正常运行的费用。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六、一般公共预算财政拨款基本支出决算情况说明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</w:rPr>
        <w:t>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7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年度一般公共预算财政拨款基本支出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 4654.07    </w:t>
      </w:r>
      <w:r>
        <w:rPr>
          <w:rFonts w:hint="default" w:ascii="Times New Roman" w:hAnsi="Times New Roman" w:eastAsia="仿宋_GB2312" w:cs="Times New Roman"/>
          <w:spacing w:val="-7"/>
        </w:rPr>
        <w:t>万元，其中：</w:t>
      </w:r>
      <w:r>
        <w:rPr>
          <w:rFonts w:hint="default" w:ascii="Times New Roman" w:hAnsi="Times New Roman" w:eastAsia="仿宋_GB2312" w:cs="Times New Roman"/>
          <w:spacing w:val="-13"/>
        </w:rPr>
        <w:t>人员经费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 xml:space="preserve">   4300.45    </w:t>
      </w:r>
      <w:r>
        <w:rPr>
          <w:rFonts w:hint="default" w:ascii="Times New Roman" w:hAnsi="Times New Roman" w:eastAsia="仿宋_GB2312" w:cs="Times New Roman"/>
          <w:spacing w:val="-13"/>
        </w:rPr>
        <w:t>万元，主要包括：基本工资、津贴补贴、</w:t>
      </w:r>
      <w:r>
        <w:rPr>
          <w:rFonts w:hint="default" w:ascii="Times New Roman" w:hAnsi="Times New Roman" w:eastAsia="仿宋_GB2312" w:cs="Times New Roman"/>
          <w:spacing w:val="-14"/>
        </w:rPr>
        <w:t>奖金、</w:t>
      </w:r>
      <w:r>
        <w:rPr>
          <w:rFonts w:hint="default" w:ascii="Times New Roman" w:hAnsi="Times New Roman" w:eastAsia="仿宋_GB2312" w:cs="Times New Roman"/>
          <w:spacing w:val="-5"/>
        </w:rPr>
        <w:t>伙食补助费、绩效工资、机关事业单位基本养老保险缴费、职业年金缴费、职工基本医疗保险缴费、公务员医疗补助缴费、其他社会保障缴费、住房公积金、医疗费、其他工资福利支出、退休费、生活补助</w:t>
      </w:r>
      <w:r>
        <w:rPr>
          <w:rFonts w:hint="default" w:ascii="Times New Roman" w:hAnsi="Times New Roman" w:eastAsia="仿宋_GB2312" w:cs="Times New Roman"/>
          <w:spacing w:val="-6"/>
        </w:rPr>
        <w:t>、医疗费</w:t>
      </w:r>
      <w:r>
        <w:rPr>
          <w:rFonts w:hint="default" w:ascii="Times New Roman" w:hAnsi="Times New Roman" w:eastAsia="仿宋_GB2312" w:cs="Times New Roman"/>
          <w:spacing w:val="-3"/>
        </w:rPr>
        <w:t>补助、代缴社会保险费、</w:t>
      </w:r>
      <w:r>
        <w:rPr>
          <w:rFonts w:hint="default" w:ascii="Times New Roman" w:hAnsi="Times New Roman" w:eastAsia="仿宋_GB2312" w:cs="Times New Roman"/>
          <w:spacing w:val="1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其他对个人和家庭的补助。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公用经费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353.62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2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万元，主要包括：办公费、</w:t>
      </w:r>
      <w:r>
        <w:rPr>
          <w:rFonts w:hint="default" w:ascii="Times New Roman" w:hAnsi="Times New Roman" w:eastAsia="仿宋_GB2312" w:cs="Times New Roman"/>
          <w:spacing w:val="-93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印刷费、</w:t>
      </w:r>
      <w:r>
        <w:rPr>
          <w:rFonts w:hint="default" w:ascii="Times New Roman" w:hAnsi="Times New Roman" w:eastAsia="仿宋_GB2312" w:cs="Times New Roman"/>
          <w:spacing w:val="-3"/>
        </w:rPr>
        <w:t>水费、电费、邮电费、物业管理费、差旅费、</w:t>
      </w:r>
      <w:r>
        <w:rPr>
          <w:rFonts w:hint="default" w:ascii="Times New Roman" w:hAnsi="Times New Roman" w:eastAsia="仿宋_GB2312" w:cs="Times New Roman"/>
          <w:spacing w:val="-7"/>
        </w:rPr>
        <w:t>维修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护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费、培训费、</w:t>
      </w:r>
      <w:r>
        <w:rPr>
          <w:rFonts w:hint="default" w:ascii="Times New Roman" w:hAnsi="Times New Roman" w:eastAsia="仿宋_GB2312" w:cs="Times New Roman"/>
          <w:spacing w:val="-5"/>
        </w:rPr>
        <w:t>专用材料费、劳务费、委托业务费、工会经费、福利费、其他交通</w:t>
      </w:r>
      <w:r>
        <w:rPr>
          <w:rFonts w:hint="default" w:ascii="Times New Roman" w:hAnsi="Times New Roman" w:eastAsia="仿宋_GB2312" w:cs="Times New Roman"/>
          <w:spacing w:val="-3"/>
        </w:rPr>
        <w:t>费用、税金及附加费用、其他商品和服务支出、办公设备购置、</w:t>
      </w:r>
      <w:r>
        <w:rPr>
          <w:rFonts w:hint="default" w:ascii="Times New Roman" w:hAnsi="Times New Roman" w:eastAsia="仿宋_GB2312" w:cs="Times New Roman"/>
          <w:spacing w:val="-5"/>
        </w:rPr>
        <w:t>专用设备购置、</w:t>
      </w:r>
      <w:r>
        <w:rPr>
          <w:rFonts w:hint="default" w:ascii="Times New Roman" w:hAnsi="Times New Roman" w:eastAsia="仿宋_GB2312" w:cs="Times New Roman"/>
          <w:spacing w:val="-1"/>
        </w:rPr>
        <w:t>其他资本性支出。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七、政府性基金预算财政拨款收入支出决算情</w:t>
      </w: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况说明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08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8"/>
        </w:rPr>
        <w:t>本部门当年无政</w:t>
      </w:r>
      <w:r>
        <w:rPr>
          <w:rFonts w:hint="default" w:ascii="Times New Roman" w:hAnsi="Times New Roman" w:eastAsia="仿宋_GB2312" w:cs="Times New Roman"/>
          <w:b w:val="0"/>
          <w:bCs w:val="0"/>
          <w:spacing w:val="-11"/>
        </w:rPr>
        <w:t>府性基金预算财政拨款收入支出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国有资本经营预算财政拨款支出决算情况说明</w:t>
      </w:r>
    </w:p>
    <w:p>
      <w:pPr>
        <w:pStyle w:val="2"/>
        <w:numPr>
          <w:ilvl w:val="0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>本部门当年无国有资本经营预算财政拨款支出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九、财政拨款“三公”经费支出决算情况说明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4" w:firstLineChars="200"/>
        <w:rPr>
          <w:rFonts w:hint="default" w:ascii="Times New Roman" w:hAnsi="Times New Roman" w:eastAsia="仿宋_GB2312" w:cs="Times New Roman"/>
          <w:spacing w:val="1"/>
          <w:lang w:eastAsia="zh-CN"/>
        </w:rPr>
      </w:pP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2024年度“三公”经费财政拨款支出全年预算为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万元，支出决算为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万元，完成全年预算的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 xml:space="preserve">%。较上年增加(减少) </w:t>
      </w:r>
      <w:r>
        <w:rPr>
          <w:rFonts w:hint="eastAsia" w:ascii="Times New Roman" w:hAnsi="Times New Roman" w:eastAsia="仿宋_GB2312" w:cs="Times New Roman"/>
          <w:spacing w:val="1"/>
          <w:u w:val="single"/>
          <w:lang w:val="en-US" w:eastAsia="zh-CN"/>
        </w:rPr>
        <w:t xml:space="preserve">  0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>万元，增长(下降)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1"/>
          <w:lang w:val="en-US" w:eastAsia="zh-CN"/>
        </w:rPr>
        <w:t xml:space="preserve"> 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outlineLvl w:val="1"/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0"/>
          <w:sz w:val="32"/>
          <w:szCs w:val="32"/>
          <w:lang w:eastAsia="zh-CN"/>
        </w:rPr>
        <w:t>（二）“三公”经费财政拨款支出决算具体情况说明。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1.因公出国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境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费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-4"/>
        </w:rPr>
        <w:t>预算为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4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万元，支出决算</w:t>
      </w:r>
      <w:r>
        <w:rPr>
          <w:rFonts w:hint="default" w:ascii="Times New Roman" w:hAnsi="Times New Roman" w:eastAsia="仿宋_GB2312" w:cs="Times New Roman"/>
          <w:spacing w:val="-5"/>
        </w:rPr>
        <w:t>为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万元，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完成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pacing w:val="11"/>
        </w:rPr>
        <w:t>预算的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17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7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%，</w:t>
      </w:r>
      <w:r>
        <w:rPr>
          <w:rFonts w:hint="default" w:ascii="Times New Roman" w:hAnsi="Times New Roman" w:eastAsia="仿宋_GB2312" w:cs="Times New Roman"/>
          <w:spacing w:val="-78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比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上年</w:t>
      </w:r>
      <w:r>
        <w:rPr>
          <w:rFonts w:hint="default" w:ascii="Times New Roman" w:hAnsi="Times New Roman" w:eastAsia="仿宋_GB2312" w:cs="Times New Roman"/>
          <w:spacing w:val="11"/>
        </w:rPr>
        <w:t>增加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11"/>
        </w:rPr>
        <w:t>减少</w:t>
      </w:r>
      <w:r>
        <w:rPr>
          <w:rFonts w:hint="eastAsia" w:ascii="Times New Roman" w:hAnsi="Times New Roman" w:eastAsia="仿宋_GB2312" w:cs="Times New Roman"/>
          <w:spacing w:val="1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1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1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11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11"/>
        </w:rPr>
        <w:t>万</w:t>
      </w:r>
      <w:r>
        <w:rPr>
          <w:rFonts w:hint="default" w:ascii="Times New Roman" w:hAnsi="Times New Roman" w:eastAsia="仿宋_GB2312" w:cs="Times New Roman"/>
          <w:spacing w:val="10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长(下降)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0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spacing w:val="-108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5"/>
        </w:rPr>
        <w:t>全年支出涉及出国（境）团组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4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个，累计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5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人次</w:t>
      </w:r>
      <w:r>
        <w:rPr>
          <w:rFonts w:hint="eastAsia" w:ascii="Times New Roman" w:hAnsi="Times New Roman" w:eastAsia="仿宋_GB2312" w:cs="Times New Roman"/>
          <w:spacing w:val="-6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0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支出决算为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万元，完成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较上年增加(减少)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万元，增长(下降)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1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公务用车购置费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万元，完成年</w:t>
      </w:r>
      <w:r>
        <w:rPr>
          <w:rFonts w:hint="default" w:ascii="Times New Roman" w:hAnsi="Times New Roman" w:eastAsia="仿宋_GB2312" w:cs="Times New Roman"/>
          <w:spacing w:val="-8"/>
        </w:rPr>
        <w:t>初预算的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%，比年</w:t>
      </w:r>
      <w:r>
        <w:rPr>
          <w:rFonts w:hint="default" w:ascii="Times New Roman" w:hAnsi="Times New Roman" w:eastAsia="仿宋_GB2312" w:cs="Times New Roman"/>
          <w:spacing w:val="-2"/>
        </w:rPr>
        <w:t>初预算增加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减少</w:t>
      </w:r>
      <w:r>
        <w:rPr>
          <w:rFonts w:hint="eastAsia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58"/>
        </w:rPr>
        <w:t xml:space="preserve"> 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万元。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2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公务用车运行费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万元，完成年</w:t>
      </w:r>
      <w:r>
        <w:rPr>
          <w:rFonts w:hint="default" w:ascii="Times New Roman" w:hAnsi="Times New Roman" w:eastAsia="仿宋_GB2312" w:cs="Times New Roman"/>
          <w:spacing w:val="-8"/>
        </w:rPr>
        <w:t>初预算的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</w:rPr>
        <w:t>%，比年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初预算增加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减少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1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万元。</w:t>
      </w:r>
      <w:r>
        <w:rPr>
          <w:rFonts w:hint="default" w:ascii="Times New Roman" w:hAnsi="Times New Roman" w:eastAsia="仿宋_GB2312" w:cs="Times New Roman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6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9"/>
        </w:rPr>
        <w:t>截至</w:t>
      </w:r>
      <w:r>
        <w:rPr>
          <w:rFonts w:hint="default" w:ascii="Times New Roman" w:hAnsi="Times New Roman" w:eastAsia="仿宋_GB2312" w:cs="Times New Roman"/>
          <w:spacing w:val="-9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202</w:t>
      </w:r>
      <w:r>
        <w:rPr>
          <w:rFonts w:hint="eastAsia" w:ascii="Times New Roman" w:hAnsi="Times New Roman" w:eastAsia="仿宋_GB2312" w:cs="Times New Roman"/>
          <w:spacing w:val="9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39"/>
        </w:rPr>
        <w:t xml:space="preserve"> </w:t>
      </w:r>
      <w:r>
        <w:rPr>
          <w:rFonts w:hint="default" w:ascii="Times New Roman" w:hAnsi="Times New Roman" w:eastAsia="微软雅黑" w:cs="Times New Roman"/>
          <w:spacing w:val="9"/>
        </w:rPr>
        <w:t>年</w:t>
      </w:r>
      <w:r>
        <w:rPr>
          <w:rFonts w:hint="default" w:ascii="Times New Roman" w:hAnsi="Times New Roman" w:eastAsia="微软雅黑" w:cs="Times New Roman"/>
          <w:spacing w:val="49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12</w:t>
      </w:r>
      <w:r>
        <w:rPr>
          <w:rFonts w:hint="default" w:ascii="Times New Roman" w:hAnsi="Times New Roman" w:eastAsia="仿宋_GB2312" w:cs="Times New Roman"/>
          <w:spacing w:val="-23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</w:rPr>
        <w:t>月 31 日，开支财政拨款的公务用车保有量</w:t>
      </w:r>
      <w:r>
        <w:rPr>
          <w:rFonts w:hint="default" w:ascii="Times New Roman" w:hAnsi="Times New Roman" w:eastAsia="仿宋_GB2312" w:cs="Times New Roman"/>
          <w:spacing w:val="-8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8"/>
          <w:u w:val="single" w:color="auto"/>
          <w:lang w:val="en-US" w:eastAsia="zh-CN"/>
        </w:rPr>
        <w:t xml:space="preserve">0 </w:t>
      </w:r>
      <w:r>
        <w:rPr>
          <w:rFonts w:hint="default" w:ascii="Times New Roman" w:hAnsi="Times New Roman" w:eastAsia="仿宋_GB2312" w:cs="Times New Roman"/>
          <w:spacing w:val="-6"/>
        </w:rPr>
        <w:t>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仿宋_GB2312" w:cs="Times New Roman"/>
          <w:spacing w:val="-7"/>
        </w:rPr>
      </w:pPr>
      <w:r>
        <w:rPr>
          <w:rFonts w:hint="default" w:ascii="Times New Roman" w:hAnsi="Times New Roman" w:eastAsia="仿宋_GB2312" w:cs="Times New Roman"/>
          <w:spacing w:val="-7"/>
        </w:rPr>
        <w:t>3.</w:t>
      </w:r>
      <w:r>
        <w:rPr>
          <w:rFonts w:hint="eastAsia" w:ascii="Times New Roman" w:hAnsi="Times New Roman" w:eastAsia="仿宋_GB2312" w:cs="Times New Roman"/>
          <w:spacing w:val="-7"/>
        </w:rPr>
        <w:t>公务接待费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预算为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</w:rPr>
        <w:t>万元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</w:rPr>
        <w:t>支出决算为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</w:rPr>
        <w:t>万元，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完成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spacing w:val="-7"/>
        </w:rPr>
        <w:t>预算的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</w:rPr>
        <w:t xml:space="preserve"> %</w:t>
      </w:r>
      <w:r>
        <w:rPr>
          <w:rFonts w:hint="eastAsia" w:ascii="Times New Roman" w:hAnsi="Times New Roman" w:eastAsia="仿宋_GB2312" w:cs="Times New Roman"/>
          <w:spacing w:val="-7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 xml:space="preserve">较上年增加(减少) 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万元，增长(下降)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%。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外宾接待支出</w:t>
      </w:r>
      <w:r>
        <w:rPr>
          <w:rFonts w:hint="default" w:ascii="Times New Roman" w:hAnsi="Times New Roman" w:eastAsia="仿宋_GB2312" w:cs="Times New Roman"/>
          <w:spacing w:val="-139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5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5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2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万元。202</w:t>
      </w:r>
      <w:r>
        <w:rPr>
          <w:rFonts w:hint="eastAsia" w:ascii="Times New Roman" w:hAnsi="Times New Roman" w:eastAsia="仿宋_GB2312" w:cs="Times New Roman"/>
          <w:spacing w:val="-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2"/>
        </w:rPr>
        <w:t>年共</w:t>
      </w:r>
      <w:r>
        <w:rPr>
          <w:rFonts w:hint="default" w:ascii="Times New Roman" w:hAnsi="Times New Roman" w:eastAsia="仿宋_GB2312" w:cs="Times New Roman"/>
          <w:spacing w:val="-10"/>
        </w:rPr>
        <w:t>接待来访团组</w:t>
      </w:r>
      <w:r>
        <w:rPr>
          <w:rFonts w:hint="default" w:ascii="Times New Roman" w:hAnsi="Times New Roman" w:eastAsia="仿宋_GB2312" w:cs="Times New Roman"/>
          <w:spacing w:val="-10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-10"/>
          <w:u w:val="single" w:color="auto"/>
          <w:lang w:val="en-US" w:eastAsia="zh-CN"/>
        </w:rPr>
        <w:t xml:space="preserve">0  </w:t>
      </w:r>
      <w:r>
        <w:rPr>
          <w:rFonts w:hint="default" w:ascii="Times New Roman" w:hAnsi="Times New Roman" w:eastAsia="仿宋_GB2312" w:cs="Times New Roman"/>
          <w:spacing w:val="-10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2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</w:rPr>
        <w:t>个，</w:t>
      </w:r>
      <w:r>
        <w:rPr>
          <w:rFonts w:hint="default" w:ascii="Times New Roman" w:hAnsi="Times New Roman" w:eastAsia="仿宋_GB2312" w:cs="Times New Roman"/>
          <w:spacing w:val="-10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10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0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10"/>
        </w:rPr>
        <w:t>人次（不包括陪同人员）。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"/>
        </w:rPr>
        <w:t>国内公务接待支出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3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万元</w:t>
      </w:r>
      <w:r>
        <w:rPr>
          <w:rFonts w:hint="default" w:ascii="Times New Roman" w:hAnsi="Times New Roman" w:eastAsia="仿宋_GB2312" w:cs="Times New Roman"/>
          <w:spacing w:val="-7"/>
        </w:rPr>
        <w:t>。202</w:t>
      </w:r>
      <w:r>
        <w:rPr>
          <w:rFonts w:hint="eastAsia" w:ascii="Times New Roman" w:hAnsi="Times New Roman" w:eastAsia="仿宋_GB2312" w:cs="Times New Roman"/>
          <w:spacing w:val="-7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7"/>
        </w:rPr>
        <w:t>年共接待国内来访团组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个，</w:t>
      </w:r>
      <w:r>
        <w:rPr>
          <w:rFonts w:hint="eastAsia" w:ascii="Times New Roman" w:hAnsi="Times New Roman" w:eastAsia="仿宋_GB2312" w:cs="Times New Roman"/>
          <w:spacing w:val="-7"/>
          <w:u w:val="singl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</w:rPr>
        <w:t>人次（不包括陪同人员）。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pacing w:val="-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十、机关运行经费支出说明</w:t>
      </w:r>
    </w:p>
    <w:p>
      <w:pPr>
        <w:pStyle w:val="2"/>
        <w:ind w:firstLine="640" w:firstLineChars="20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十一、政府采购支出说明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6" w:firstLineChars="200"/>
        <w:jc w:val="both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6"/>
        </w:rPr>
        <w:t>202</w:t>
      </w:r>
      <w:r>
        <w:rPr>
          <w:rFonts w:hint="eastAsia" w:ascii="Times New Roman" w:hAnsi="Times New Roman" w:eastAsia="仿宋_GB2312" w:cs="Times New Roman"/>
          <w:spacing w:val="-6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"/>
        </w:rPr>
        <w:t>年度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仿宋_GB2312" w:cs="Times New Roman"/>
          <w:spacing w:val="-6"/>
        </w:rPr>
        <w:t>政府采购支出总额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91.93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万元，其中：政府采购货物支出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15.99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5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万元、政府采购服务支出</w:t>
      </w:r>
      <w:r>
        <w:rPr>
          <w:rFonts w:hint="eastAsia" w:ascii="Times New Roman" w:hAnsi="Times New Roman" w:eastAsia="仿宋_GB2312" w:cs="Times New Roman"/>
          <w:spacing w:val="-6"/>
          <w:u w:val="single"/>
          <w:lang w:val="en-US" w:eastAsia="zh-CN"/>
        </w:rPr>
        <w:t>75.94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万元。授予中小企业合同金额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6"/>
          <w:u w:val="single" w:color="auto"/>
          <w:lang w:val="en-US" w:eastAsia="zh-CN"/>
        </w:rPr>
        <w:t>91.93</w:t>
      </w:r>
      <w:r>
        <w:rPr>
          <w:rFonts w:hint="default" w:ascii="Times New Roman" w:hAnsi="Times New Roman" w:eastAsia="仿宋_GB2312" w:cs="Times New Roman"/>
          <w:spacing w:val="-6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29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万元，占政府采购</w:t>
      </w:r>
      <w:r>
        <w:rPr>
          <w:rFonts w:hint="default" w:ascii="Times New Roman" w:hAnsi="Times New Roman" w:eastAsia="仿宋_GB2312" w:cs="Times New Roman"/>
          <w:spacing w:val="-3"/>
        </w:rPr>
        <w:t>支出总额的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%，</w:t>
      </w:r>
      <w:r>
        <w:rPr>
          <w:rFonts w:hint="default" w:ascii="Times New Roman" w:hAnsi="Times New Roman" w:eastAsia="仿宋_GB2312" w:cs="Times New Roman"/>
          <w:spacing w:val="1"/>
        </w:rPr>
        <w:t>货物采购授予中小企业合同金额占货物支出金额的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1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1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%，服务采购授予中小企业合同金额占</w:t>
      </w:r>
      <w:r>
        <w:rPr>
          <w:rFonts w:hint="default" w:ascii="Times New Roman" w:hAnsi="Times New Roman" w:eastAsia="仿宋_GB2312" w:cs="Times New Roman"/>
        </w:rPr>
        <w:t xml:space="preserve">服务 </w:t>
      </w:r>
      <w:r>
        <w:rPr>
          <w:rFonts w:hint="default" w:ascii="Times New Roman" w:hAnsi="Times New Roman" w:eastAsia="仿宋_GB2312" w:cs="Times New Roman"/>
          <w:spacing w:val="-2"/>
        </w:rPr>
        <w:t>支出金额的</w:t>
      </w:r>
      <w:r>
        <w:rPr>
          <w:rFonts w:hint="default" w:ascii="Times New Roman" w:hAnsi="Times New Roman" w:eastAsia="仿宋_GB2312" w:cs="Times New Roman"/>
          <w:spacing w:val="-2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2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2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"/>
          <w:sz w:val="32"/>
          <w:szCs w:val="32"/>
        </w:rPr>
        <w:t>十二、国有资产占用情况说明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8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14"/>
        </w:rPr>
        <w:t>截至</w:t>
      </w:r>
      <w:r>
        <w:rPr>
          <w:rFonts w:hint="default" w:ascii="Times New Roman" w:hAnsi="Times New Roman" w:eastAsia="仿宋_GB2312" w:cs="Times New Roman"/>
          <w:spacing w:val="-43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202</w:t>
      </w:r>
      <w:r>
        <w:rPr>
          <w:rFonts w:hint="eastAsia" w:ascii="Times New Roman" w:hAnsi="Times New Roman" w:eastAsia="仿宋_GB2312" w:cs="Times New Roman"/>
          <w:spacing w:val="-1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14"/>
        </w:rPr>
        <w:t>年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12</w:t>
      </w:r>
      <w:r>
        <w:rPr>
          <w:rFonts w:hint="default" w:ascii="Times New Roman" w:hAnsi="Times New Roman" w:eastAsia="仿宋_GB2312" w:cs="Times New Roman"/>
          <w:spacing w:val="-52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月</w:t>
      </w:r>
      <w:r>
        <w:rPr>
          <w:rFonts w:hint="default" w:ascii="Times New Roman" w:hAnsi="Times New Roman" w:eastAsia="仿宋_GB2312" w:cs="Times New Roman"/>
          <w:spacing w:val="-46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31 日，</w:t>
      </w:r>
      <w:r>
        <w:rPr>
          <w:rFonts w:hint="eastAsia" w:ascii="Times New Roman" w:hAnsi="Times New Roman" w:eastAsia="仿宋_GB2312" w:cs="Times New Roman"/>
          <w:spacing w:val="-14"/>
          <w:u w:val="single" w:color="auto"/>
          <w:lang w:eastAsia="zh-CN"/>
        </w:rPr>
        <w:t>武汉市光谷第三初级中学</w:t>
      </w:r>
      <w:r>
        <w:rPr>
          <w:rFonts w:hint="default" w:ascii="Times New Roman" w:hAnsi="Times New Roman" w:eastAsia="仿宋_GB2312" w:cs="Times New Roman"/>
          <w:spacing w:val="-14"/>
        </w:rPr>
        <w:t>共有车辆</w:t>
      </w:r>
      <w:r>
        <w:rPr>
          <w:rFonts w:hint="eastAsia" w:ascii="Times New Roman" w:hAnsi="Times New Roman" w:eastAsia="仿宋_GB2312" w:cs="Times New Roman"/>
          <w:spacing w:val="-14"/>
          <w:u w:val="singl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pacing w:val="-148"/>
        </w:rPr>
        <w:t xml:space="preserve"> </w:t>
      </w:r>
      <w:r>
        <w:rPr>
          <w:rFonts w:hint="default" w:ascii="Times New Roman" w:hAnsi="Times New Roman" w:eastAsia="仿宋_GB2312" w:cs="Times New Roman"/>
          <w:spacing w:val="-14"/>
        </w:rPr>
        <w:t>辆</w:t>
      </w:r>
      <w:r>
        <w:rPr>
          <w:rFonts w:hint="default" w:ascii="Times New Roman" w:hAnsi="Times New Roman" w:eastAsia="仿宋_GB2312" w:cs="Times New Roman"/>
          <w:spacing w:val="-2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2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2"/>
          <w:sz w:val="32"/>
          <w:szCs w:val="32"/>
        </w:rPr>
        <w:t>十三、预算绩效情况说明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outlineLvl w:val="1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一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预算绩效管理工作开展情况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根据预算绩效管理要求，我部门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60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年度一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般公共预算项目支出全面开展绩效自评，共</w:t>
      </w:r>
      <w:r>
        <w:rPr>
          <w:rFonts w:hint="default" w:ascii="Times New Roman" w:hAnsi="Times New Roman" w:eastAsia="仿宋_GB2312" w:cs="Times New Roman"/>
          <w:spacing w:val="-4"/>
        </w:rPr>
        <w:t>涉及项目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4"/>
          <w:u w:val="single" w:color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4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45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个，</w:t>
      </w:r>
      <w:r>
        <w:rPr>
          <w:rFonts w:hint="default" w:ascii="Times New Roman" w:hAnsi="Times New Roman" w:eastAsia="仿宋_GB2312" w:cs="Times New Roman"/>
          <w:spacing w:val="-3"/>
        </w:rPr>
        <w:t>资金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106.61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23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万元，</w:t>
      </w:r>
      <w:r>
        <w:rPr>
          <w:rFonts w:hint="default" w:ascii="Times New Roman" w:hAnsi="Times New Roman" w:eastAsia="仿宋_GB2312" w:cs="Times New Roman"/>
          <w:spacing w:val="-89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占一般公共预算项目支出总额的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-3"/>
          <w:u w:val="single" w:color="auto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pacing w:val="-3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7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%。从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6"/>
        </w:rPr>
        <w:t>绩效评价情况来看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武汉市光谷第三初级中学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2024年度部门支出管理及绩效较好。在产出方面，绩效目标完成率较高。在效益方面，整体工作具有较好的社会效益，服务对象满意度高</w:t>
      </w:r>
      <w:r>
        <w:rPr>
          <w:rFonts w:hint="default" w:ascii="Times New Roman" w:hAnsi="Times New Roman" w:eastAsia="仿宋_GB2312" w:cs="Times New Roman"/>
          <w:spacing w:val="-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二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部门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单位</w:t>
      </w:r>
      <w:r>
        <w:rPr>
          <w:rFonts w:hint="eastAsia" w:ascii="Times New Roman" w:hAnsi="Times New Roman" w:eastAsia="楷体_GB2312" w:cs="Times New Roman"/>
          <w:spacing w:val="-5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5"/>
          <w:sz w:val="32"/>
          <w:szCs w:val="32"/>
        </w:rPr>
        <w:t>整体支出自评结果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我部门</w:t>
      </w:r>
      <w:r>
        <w:rPr>
          <w:rFonts w:hint="default" w:ascii="Times New Roman" w:hAnsi="Times New Roman" w:eastAsia="仿宋_GB2312" w:cs="Times New Roman"/>
          <w:spacing w:val="-70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组织对</w:t>
      </w:r>
      <w:r>
        <w:rPr>
          <w:rFonts w:hint="default" w:ascii="Times New Roman" w:hAnsi="Times New Roman" w:eastAsia="仿宋_GB2312" w:cs="Times New Roman"/>
          <w:spacing w:val="-151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7"/>
          <w:u w:val="single" w:color="auto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7"/>
          <w:u w:val="single" w:color="auto"/>
        </w:rPr>
        <w:t xml:space="preserve">   </w:t>
      </w:r>
      <w:r>
        <w:rPr>
          <w:rFonts w:hint="default" w:ascii="Times New Roman" w:hAnsi="Times New Roman" w:eastAsia="仿宋_GB2312" w:cs="Times New Roman"/>
          <w:spacing w:val="-143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个部门</w:t>
      </w:r>
      <w:r>
        <w:rPr>
          <w:rFonts w:hint="default" w:ascii="Times New Roman" w:hAnsi="Times New Roman" w:eastAsia="仿宋_GB2312" w:cs="Times New Roman"/>
          <w:spacing w:val="-75"/>
        </w:rPr>
        <w:t xml:space="preserve"> 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单位</w:t>
      </w:r>
      <w:r>
        <w:rPr>
          <w:rFonts w:hint="eastAsia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3"/>
        </w:rPr>
        <w:t>开展整体支出绩</w:t>
      </w:r>
      <w:r>
        <w:rPr>
          <w:rFonts w:hint="default" w:ascii="Times New Roman" w:hAnsi="Times New Roman" w:eastAsia="仿宋_GB2312" w:cs="Times New Roman"/>
          <w:spacing w:val="-7"/>
        </w:rPr>
        <w:t>效自评，资金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 </w:t>
      </w:r>
      <w:r>
        <w:rPr>
          <w:rFonts w:hint="eastAsia" w:ascii="Times New Roman" w:hAnsi="Times New Roman" w:eastAsia="仿宋_GB2312" w:cs="Times New Roman"/>
          <w:spacing w:val="-7"/>
          <w:u w:val="single" w:color="auto"/>
          <w:lang w:val="en-US" w:eastAsia="zh-CN"/>
        </w:rPr>
        <w:t>4953.68</w:t>
      </w:r>
      <w:r>
        <w:rPr>
          <w:rFonts w:hint="default" w:ascii="Times New Roman" w:hAnsi="Times New Roman" w:eastAsia="仿宋_GB2312" w:cs="Times New Roman"/>
          <w:spacing w:val="-7"/>
          <w:u w:val="single" w:color="auto"/>
        </w:rPr>
        <w:t xml:space="preserve">   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</w:rPr>
        <w:t>万元，从评价情况来看，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武汉市光谷第三初级中学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2024年度部门支出管理及绩效较好。在产出方面，绩效目标完成率较高。在效益方面，整体工作具有较好的社会效益，服务对象满意度高</w:t>
      </w:r>
      <w:r>
        <w:rPr>
          <w:rFonts w:hint="default" w:ascii="Times New Roman" w:hAnsi="Times New Roman" w:eastAsia="仿宋_GB2312" w:cs="Times New Roman"/>
          <w:spacing w:val="-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2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三</w:t>
      </w:r>
      <w:r>
        <w:rPr>
          <w:rFonts w:hint="eastAsia" w:ascii="Times New Roman" w:hAnsi="Times New Roman" w:eastAsia="楷体_GB2312" w:cs="Times New Roman"/>
          <w:spacing w:val="-7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-7"/>
          <w:sz w:val="32"/>
          <w:szCs w:val="32"/>
        </w:rPr>
        <w:t>项目支出自评结果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4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4"/>
        </w:rPr>
        <w:t>我部门</w:t>
      </w:r>
      <w:r>
        <w:rPr>
          <w:rFonts w:hint="default" w:ascii="Times New Roman" w:hAnsi="Times New Roman" w:eastAsia="仿宋_GB2312" w:cs="Times New Roman"/>
          <w:spacing w:val="-68"/>
        </w:rPr>
        <w:t xml:space="preserve"> 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单位</w:t>
      </w:r>
      <w:r>
        <w:rPr>
          <w:rFonts w:hint="eastAsia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在</w:t>
      </w:r>
      <w:r>
        <w:rPr>
          <w:rFonts w:hint="default" w:ascii="Times New Roman" w:hAnsi="Times New Roman" w:eastAsia="仿宋_GB2312" w:cs="Times New Roman"/>
          <w:spacing w:val="-54"/>
        </w:rPr>
        <w:t xml:space="preserve"> </w:t>
      </w:r>
      <w:r>
        <w:rPr>
          <w:rFonts w:hint="default" w:ascii="Times New Roman" w:hAnsi="Times New Roman" w:eastAsia="仿宋_GB2312" w:cs="Times New Roman"/>
          <w:spacing w:val="-4"/>
        </w:rPr>
        <w:t>202</w:t>
      </w:r>
      <w:r>
        <w:rPr>
          <w:rFonts w:hint="eastAsia" w:ascii="Times New Roman" w:hAnsi="Times New Roman" w:eastAsia="仿宋_GB2312" w:cs="Times New Roman"/>
          <w:spacing w:val="-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-4"/>
        </w:rPr>
        <w:t>年度部门决算中反映所有项目绩效自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评结果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不包括涉密项目</w:t>
      </w:r>
      <w:r>
        <w:rPr>
          <w:rFonts w:hint="eastAsia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，共涉及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eastAsia" w:ascii="Times New Roman" w:hAnsi="Times New Roman" w:eastAsia="仿宋_GB2312" w:cs="Times New Roman"/>
          <w:spacing w:val="-1"/>
          <w:u w:val="single" w:color="auto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pacing w:val="-1"/>
          <w:u w:val="single" w:color="auto"/>
        </w:rPr>
        <w:t xml:space="preserve">  </w:t>
      </w:r>
      <w:r>
        <w:rPr>
          <w:rFonts w:hint="default" w:ascii="Times New Roman" w:hAnsi="Times New Roman" w:eastAsia="仿宋_GB2312" w:cs="Times New Roman"/>
          <w:spacing w:val="-142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个一级项目。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576" w:firstLineChars="200"/>
        <w:rPr>
          <w:rFonts w:hint="default" w:ascii="Times New Roman" w:hAnsi="Times New Roman" w:eastAsia="仿宋_GB2312" w:cs="Times New Roman"/>
          <w:spacing w:val="-16"/>
        </w:rPr>
      </w:pP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6"/>
          <w:u w:val="none" w:color="auto"/>
          <w:lang w:val="en-US" w:eastAsia="zh-CN"/>
        </w:rPr>
        <w:t xml:space="preserve"> 1、</w:t>
      </w:r>
      <w:r>
        <w:rPr>
          <w:rFonts w:hint="default" w:ascii="Times New Roman" w:hAnsi="Times New Roman" w:eastAsia="仿宋_GB2312" w:cs="Times New Roman"/>
          <w:spacing w:val="-16"/>
          <w:u w:val="none" w:color="auto"/>
        </w:rPr>
        <w:t xml:space="preserve">42010823035T000000272教育事业发展专项 </w:t>
      </w:r>
      <w:r>
        <w:rPr>
          <w:rFonts w:hint="default" w:ascii="Times New Roman" w:hAnsi="Times New Roman" w:eastAsia="仿宋_GB2312" w:cs="Times New Roman"/>
          <w:spacing w:val="-16"/>
          <w:u w:val="single" w:color="auto"/>
        </w:rPr>
        <w:t xml:space="preserve"> </w:t>
      </w:r>
      <w:r>
        <w:rPr>
          <w:rFonts w:hint="eastAsia" w:ascii="Times New Roman" w:hAnsi="Times New Roman" w:eastAsia="仿宋_GB2312" w:cs="Times New Roman"/>
          <w:spacing w:val="-16"/>
          <w:u w:val="single" w:color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-16"/>
          <w:u w:val="single" w:color="auto"/>
        </w:rPr>
        <w:t xml:space="preserve"> </w:t>
      </w:r>
      <w:r>
        <w:rPr>
          <w:rFonts w:hint="default" w:ascii="Times New Roman" w:hAnsi="Times New Roman" w:eastAsia="仿宋_GB2312" w:cs="Times New Roman"/>
          <w:spacing w:val="-130"/>
        </w:rPr>
        <w:t xml:space="preserve"> </w:t>
      </w:r>
      <w:r>
        <w:rPr>
          <w:rFonts w:hint="default" w:ascii="Times New Roman" w:hAnsi="Times New Roman" w:eastAsia="仿宋_GB2312" w:cs="Times New Roman"/>
          <w:spacing w:val="-16"/>
        </w:rPr>
        <w:t>万元，主要</w:t>
      </w:r>
      <w:r>
        <w:rPr>
          <w:rFonts w:hint="eastAsia" w:ascii="Times New Roman" w:hAnsi="Times New Roman" w:eastAsia="仿宋_GB2312" w:cs="Times New Roman"/>
          <w:spacing w:val="-16"/>
          <w:lang w:eastAsia="zh-CN"/>
        </w:rPr>
        <w:t>用于支持招生考试工作支出</w:t>
      </w:r>
      <w:r>
        <w:rPr>
          <w:rFonts w:hint="default" w:ascii="Times New Roman" w:hAnsi="Times New Roman" w:eastAsia="仿宋_GB2312" w:cs="Times New Roman"/>
          <w:spacing w:val="-16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864" w:firstLineChars="300"/>
        <w:rPr>
          <w:rFonts w:hint="default"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spacing w:val="-16"/>
        </w:rPr>
        <w:t>42010823035T000000310城乡义务教育补助经费</w:t>
      </w:r>
      <w:r>
        <w:rPr>
          <w:rFonts w:hint="eastAsia" w:ascii="Times New Roman" w:hAnsi="Times New Roman" w:eastAsia="仿宋_GB2312" w:cs="Times New Roman"/>
          <w:spacing w:val="-16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-16"/>
          <w:u w:val="single"/>
          <w:lang w:val="en-US" w:eastAsia="zh-CN"/>
        </w:rPr>
        <w:t xml:space="preserve">96.61 </w:t>
      </w:r>
      <w:r>
        <w:rPr>
          <w:rFonts w:hint="eastAsia" w:ascii="Times New Roman" w:hAnsi="Times New Roman" w:eastAsia="仿宋_GB2312" w:cs="Times New Roman"/>
          <w:spacing w:val="-16"/>
          <w:u w:val="none"/>
          <w:lang w:val="en-US" w:eastAsia="zh-CN"/>
        </w:rPr>
        <w:t>万元，主要用于办公费、水电费、印刷费、物业管理费、差旅费、维修维护费、委托业务费等维持学校正常运行的费用。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四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绩效自评结果应用情况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结合绩效评价结果，本单位下一步将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加强项目规划、绩效目标管理，完善项目分配和管理办法、加强项目管理、结果与预算安排相结合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财政专项支出、专项转移支付支出的部门(单位)参照部门预算公开的范围、体例和内容进行公开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 xml:space="preserve">第四部分  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</w:rPr>
        <w:t>202</w:t>
      </w:r>
      <w:r>
        <w:rPr>
          <w:rFonts w:hint="eastAsia" w:ascii="Times New Roman" w:hAnsi="方正小标宋_GBK" w:eastAsia="方正小标宋_GBK" w:cs="方正小标宋_GBK"/>
          <w:spacing w:val="-2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pacing w:val="-82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spacing w:val="-2"/>
          <w:sz w:val="44"/>
          <w:szCs w:val="44"/>
        </w:rPr>
        <w:t>年重点工作完成情况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本年，在上级教育主管部门的正确领导下，在全体教职工的共同努力下，学校始终秉持教育初心，以高度的责任感和使命感投入学校管理工作。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  <w:lang w:val="en-US" w:eastAsia="zh-CN"/>
        </w:rPr>
        <w:t>去年学校汇报的题目是《追光而行，共生共长》，围绕“顺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</w:rPr>
        <w:t>势而为，向内扎根，向上生长，追光同行</w:t>
      </w:r>
      <w:r>
        <w:rPr>
          <w:rFonts w:ascii="仿宋" w:hAnsi="仿宋" w:eastAsia="仿宋" w:cs="方正仿宋_GB2312"/>
          <w:b w:val="0"/>
          <w:bCs w:val="0"/>
          <w:sz w:val="32"/>
          <w:szCs w:val="32"/>
        </w:rPr>
        <w:t>,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</w:rPr>
        <w:t>共生共长”的思路，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  <w:lang w:val="en-US" w:eastAsia="zh-CN"/>
        </w:rPr>
        <w:t>赋能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</w:rPr>
        <w:t>三初管理团队，优化教师队伍，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  <w:lang w:val="en-US" w:eastAsia="zh-CN"/>
        </w:rPr>
        <w:t>不断提升办学水平。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</w:rPr>
        <w:t>曾经的“三初现象”早已是过去式，新的低进高出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  <w:lang w:val="en-US" w:eastAsia="zh-CN"/>
        </w:rPr>
        <w:t>不断跨越发展</w:t>
      </w:r>
      <w:r>
        <w:rPr>
          <w:rFonts w:hint="eastAsia" w:ascii="仿宋" w:hAnsi="仿宋" w:eastAsia="仿宋" w:cs="方正仿宋_GB2312"/>
          <w:b w:val="0"/>
          <w:bCs w:val="0"/>
          <w:sz w:val="32"/>
          <w:szCs w:val="32"/>
        </w:rPr>
        <w:t>的“三初现象”正在进行。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一、坚持德育为先，培养时代新人主导向​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德育是教育的灵魂，是培养时代新人的重要基石。本学年，学校以“以德为先，崇德修行”的宗旨，构建全方位、多层次的德育体系，引导学生健康、快乐、全面成长。​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（一）构建德育体系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完善管理机制：学校构建了完善的德育管理体系，在校长领导的德育工作小组带领下，形成校长—分管副校长—学生成长中心—年级组—班主任的层级管理机制。形成全员育人、全程育人的良好氛围。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进课程思政：充分发挥道德与法治课的主阵地作用，深入挖掘其他学科的思政资源，积极探索“思政+课程”融合育人模式。万惠敏主任带领班主任尝试开发适合德育微课堂，培养学生的合作意识及社会能力。倾听、鼓励、尊重、非暴力沟通、情绪管理、认识错误，一系列微课深受学生欢迎。倾听、鼓励、尊重，教会学生做一个真诚而友善、能尊重自己尊重他人、内心充满力量的人；非暴力沟通教会学生沟通的技巧，讲事实、不评判、反映情感、表达需求、专注于问题的解决。情绪管理，揭秘情绪的面纱，接纳情绪，学会情绪急救。认识错误，让学生积极认同犯错误是学习的好机会，接纳自己的不完美即是完美的表现。角色扮演、小游戏、头脑风暴让学生感受班会系列课程的魅力所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（二）丰富德育活动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法治教育：开展法治宣传周活动，邀请东湖高新人民法院法官举办法治讲座，以真实案例剖析《未成年人保护法》《预防未成年人犯罪法》等法律法规，增强学生的法治意识。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安全教育：举办消防安全演练活动，制定详细的演练方案，明确各岗位教师职责和学生疏散路线。演练后，消防官兵进行点评总结，并现场演示消防器材的使用方法，让学生亲身体验，提升师生的应急能力和消防安全意识。开展主题班会、知识讲座等活动，普及消防安全、交通安全、防溺水等安全知识，为学生的健康成长保驾护航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文体活动：举办运动会和美育节，运动会设置田径、球类、趣味运动等项目，吸引师生广泛参与，培养学生的团队精神和竞争意识；美育节开展绘画、书法、声乐、舞蹈、剪纸等艺术项目比赛与展示活动，提升学生的审美情趣和艺术素养。这些活动丰富了校园文化生活，促进了学生的全面发展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学与劳动教育：组织各年级开展研学活动，让学生走出校园，投身劳动实践。在农业园区、乡村劳作基地，学生参与农事操作，体验农耕艰辛与收获喜悦；在传统手工艺工坊，学习非遗技艺，感悟劳动智慧与文化传承力量。通过研学活动，培养了学生的劳动技能和习惯，增强了学生对劳动价值的认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三）拓展德育渠道，注重家校融合教育。组织开学典礼暨家长会、家长委员会会议、期中家长访校活动和期末结业典礼等多项活动，为家长提供了解孩子在校学习与生活的机会。通过面对面的沟通，加强了家校之间的联系与合作，共同为孩子的成长和发展提供支持。建立家校沟通平台，如班级微信群、QQ群等，及时向家长反馈学生的学习情况和在校表现，听取家长的意见和建议，形成家校教育合力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二、坚持心理教育，筑牢安全防护网​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学生的心理健康是学校安全工作的重要组成部分，关系到学生的身心健康和全面发展。本学年，学校高度重视心理教育工作，采取多种措施，为学生的心理健康保驾护航。​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们加强了心理教育师资队伍建设，配备了专职心理教师，并组织教师参加心理教育培训，提高教师的心理辅导能力。同时，完善心理咨询室建设，配备了专业的心理辅导设备和书籍，为学生提供温馨、舒适的心理咨询环境。学校开设了心理健康教育课程，通过课堂教学，向学生普及心理健康知识，帮助学生了解自己的心理特点，掌握调节情绪、应对压力的方法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及时发现和解决学生的心理问题，学校们建立了心理危机预警机制。通过问卷调查、谈心谈话等方式，定期对学生进行心理筛查，对存在心理问题的学生建立档案，进行跟踪辅导。同时，加强与家长的沟通，及时反馈学生的心理状况，指导家长正确对待孩子的心理问题，共同做好学生的心理疏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学校还开展了丰富多彩的心理健康教育活动，如心理健康知识讲座、心理拓展训练、松树林班会等，让学生在活动中释放压力，增强心理调适能力。​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三、坚持科研驱动，激活教学质量动力源​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（一）课题研究有序推进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重视科研工作，积极鼓励教师开展课题研究，以科研促教学。2024年，学校共有9项课题在研，涵盖多个学科领域和教育教学的各个方面。其中，湖北省教育科学“十四五”规划专项课题《TPACK理论下初中信息技术与学科教学的深度融合实践研究》顺利通过中期评审。该课题聚焦信息技术与学科教学的融合，探索如何利用TPACK理论提升教师的信息技术应用能力和学科教学水平，通过课题研究，总结出了一系列有效的融合策略和教学模式，为学校的教育信息化发展提供了理论支持和实践经验。市级课题《适合教育理念下五项管理实践研究》2024年12月9日立项。对准棘手问题，探索五项管理策略，提升教育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（二）科研成果转化应用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注重科研成果的转化应用，将课题研究成果推广到日常教学中，推动教学改革和创新。例如，在《基于项目式学习的初中数学教学实践研究》课题研究中，探索出了一套适合初中数学教学的项目式学习模式，通过创设真实的项目情境，让学生在解决实际问题的过程中学习数学知识，培养学生的综合素养和创新能力。学校将这一成果在数学学科中进行推广应用，教师们根据不同的教学内容和学生的实际情况，灵活运用项目式学习模式，激发了学生的学习兴趣，提高了教学效果。同时，开展科研成果交流活动，分享课题研究经验和成果，促进相互学习和共同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四、坚持发展导向，打造品牌闪光点​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的发展需要有特色和品牌。本学年学校以学科工作室建设为龙头，撬动学科建设，带动教师专业发展。陈玉玲道法工作室、叶长青物理工作室、丁洁语文工作室、石义武化学工作室开展多方式研修活动，通过主题研修、专家讲座、师徒结对、追光论坛、结对读书等活动。形成骨干教师引领、中坚教师支撑、青年教师助力、新进教师合作良性发展生态，让学校校教师的专业成长道路更具有目标性、针对性、有效性、多元性。如今陈玉玲道法工作室、叶长青物理工作室、丁洁语文工作室、石义武化学工作室都在市区活动中小有名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五、坚持反思改进，踏上教育整改新起点​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回顾本学年的工作，虽然取得了一定的成绩，但也存在一些不足之处。在德育工作方面，部分德育活动的实效性有待提高，学生的参与度和积极性还需要进一步调动；在教科研工作方面，教师的教科研能力发展不均衡，部分教师参与课题研究的积极性不高；在心理教育方面，心理辅导的覆盖面还不够广，对一些特殊学生群体的关注还不够细致；在品牌建设方面，品牌的影响力还不够大，特色还不够鲜明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以上问题，学校将在今后的工作中采取有效措施加以改进。在德育工作中，加强对德育活动的策划和设计，注重活动的针对性和实效性，充分调动学生的参与热情；在教研工作中，建立健全激励机制，鼓励教师积极参与课题研究和教学改革，加强对教师的专业指导和培训，提高教师的教研能力；在心理教育工作中，进一步扩大心理辅导的覆盖面，加强对特殊学生群体的关注和帮扶，建立更加完善的心理危机干预机制；在品牌建设方面，深入挖掘学校特色，加大宣传推广力度，不断提升学校品牌的知名度和影响力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之，本学年的工作既有收获，也有挑战。在今后的工作中，学校将以更加更加严谨的态度、更加务实的作风，不断改进工作方法，提高工作效率，推动学校各项工作再上新台阶，为培养更多优秀的时代新人贡献自己的力量。</w:t>
      </w:r>
      <w:r>
        <w:rPr>
          <w:rFonts w:hint="default" w:ascii="Times New Roman" w:hAnsi="Times New Roman" w:cs="Times New Roman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第五部分  名词解释</w:t>
      </w:r>
    </w:p>
    <w:p>
      <w:pPr>
        <w:spacing w:line="398" w:lineRule="auto"/>
        <w:rPr>
          <w:rFonts w:hint="default" w:ascii="Times New Roman" w:hAnsi="Times New Roman" w:cs="Times New Roman"/>
          <w:sz w:val="21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56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4"/>
        </w:rPr>
        <w:t>一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4"/>
        </w:rPr>
        <w:t>一般公共预算财政拨款收入：指</w:t>
      </w:r>
      <w:r>
        <w:rPr>
          <w:rFonts w:hint="default" w:ascii="Times New Roman" w:hAnsi="Times New Roman" w:eastAsia="仿宋_GB2312" w:cs="Times New Roman"/>
          <w:spacing w:val="4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4"/>
        </w:rPr>
        <w:t>级财政一般公共预</w:t>
      </w:r>
      <w:r>
        <w:rPr>
          <w:rFonts w:hint="default" w:ascii="Times New Roman" w:hAnsi="Times New Roman" w:eastAsia="仿宋_GB2312" w:cs="Times New Roman"/>
          <w:spacing w:val="7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算当年拨付的资金。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政府性基金预算财政拨款收入：指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7"/>
        </w:rPr>
        <w:t>级财政政</w:t>
      </w:r>
      <w:r>
        <w:rPr>
          <w:rFonts w:hint="default" w:ascii="Times New Roman" w:hAnsi="Times New Roman" w:eastAsia="仿宋_GB2312" w:cs="Times New Roman"/>
          <w:spacing w:val="-8"/>
        </w:rPr>
        <w:t>府性基金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预算当年拨付的资金。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三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国有资本经营预算财政拨款收入：指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区</w:t>
      </w:r>
      <w:r>
        <w:rPr>
          <w:rFonts w:hint="default" w:ascii="Times New Roman" w:hAnsi="Times New Roman" w:eastAsia="仿宋_GB2312" w:cs="Times New Roman"/>
          <w:spacing w:val="-8"/>
        </w:rPr>
        <w:t>级财政国有资本</w:t>
      </w:r>
      <w:r>
        <w:rPr>
          <w:rFonts w:hint="default" w:ascii="Times New Roman" w:hAnsi="Times New Roman" w:eastAsia="仿宋_GB2312" w:cs="Times New Roman"/>
          <w:spacing w:val="18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经营预算当年拨付的资金。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上级补助收入：指从事业单位主管部门和上级</w:t>
      </w:r>
      <w:r>
        <w:rPr>
          <w:rFonts w:hint="default" w:ascii="Times New Roman" w:hAnsi="Times New Roman" w:eastAsia="仿宋_GB2312" w:cs="Times New Roman"/>
          <w:spacing w:val="-8"/>
        </w:rPr>
        <w:t>单位取得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的非财政补助收入。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事业收入：指事业单位开展专业业务活动及其辅助活动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取得的收入。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六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经营收入：指事业单位在专业业务活动及其辅助活动之</w:t>
      </w:r>
      <w:r>
        <w:rPr>
          <w:rFonts w:hint="default" w:ascii="Times New Roman" w:hAnsi="Times New Roman" w:eastAsia="仿宋_GB2312" w:cs="Times New Roman"/>
          <w:spacing w:val="1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外开展非独立核算经营活动取得的收入。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其他收入：指单位取得的除上述“一般公共预算财政拨</w:t>
      </w:r>
      <w:r>
        <w:rPr>
          <w:rFonts w:hint="default" w:ascii="Times New Roman" w:hAnsi="Times New Roman" w:eastAsia="仿宋_GB2312" w:cs="Times New Roman"/>
          <w:spacing w:val="9"/>
        </w:rPr>
        <w:t xml:space="preserve">  </w:t>
      </w:r>
      <w:r>
        <w:rPr>
          <w:rFonts w:hint="default" w:ascii="Times New Roman" w:hAnsi="Times New Roman" w:eastAsia="仿宋_GB2312" w:cs="Times New Roman"/>
          <w:spacing w:val="-16"/>
        </w:rPr>
        <w:t>款收入”、“政府性基金预算财政拨款收入”、“国有资本经营预</w:t>
      </w:r>
      <w:r>
        <w:rPr>
          <w:rFonts w:hint="default" w:ascii="Times New Roman" w:hAnsi="Times New Roman" w:eastAsia="仿宋_GB2312" w:cs="Times New Roman"/>
          <w:spacing w:val="-26"/>
        </w:rPr>
        <w:t>算财政拨款收入”、“上级补助收入”、“事业收入”、</w:t>
      </w:r>
      <w:r>
        <w:rPr>
          <w:rFonts w:hint="default" w:ascii="Times New Roman" w:hAnsi="Times New Roman" w:eastAsia="仿宋_GB2312" w:cs="Times New Roman"/>
          <w:spacing w:val="-27"/>
        </w:rPr>
        <w:t>“经营收入”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等收入以外的各项收入。</w:t>
      </w:r>
      <w:r>
        <w:rPr>
          <w:rFonts w:hint="default" w:ascii="Times New Roman" w:hAnsi="Times New Roman" w:eastAsia="仿宋_GB2312" w:cs="Times New Roman"/>
          <w:spacing w:val="-38"/>
        </w:rPr>
        <w:t xml:space="preserve">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八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使用非财政拨款结余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含专用结余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：指事业单位按预算</w:t>
      </w:r>
      <w:r>
        <w:rPr>
          <w:rFonts w:hint="default" w:ascii="Times New Roman" w:hAnsi="Times New Roman" w:eastAsia="仿宋_GB2312" w:cs="Times New Roman"/>
          <w:spacing w:val="6"/>
        </w:rPr>
        <w:t>管理要求使用非财政拨款结余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6"/>
        </w:rPr>
        <w:t>含专用结余</w:t>
      </w:r>
      <w:r>
        <w:rPr>
          <w:rFonts w:hint="default" w:ascii="Times New Roman" w:hAnsi="Times New Roman" w:eastAsia="仿宋_GB2312" w:cs="Times New Roman"/>
          <w:spacing w:val="6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</w:rPr>
        <w:t>弥补收支差额的金</w:t>
      </w:r>
      <w:r>
        <w:rPr>
          <w:rFonts w:hint="default" w:ascii="Times New Roman" w:hAnsi="Times New Roman" w:eastAsia="仿宋_GB2312" w:cs="Times New Roman"/>
          <w:spacing w:val="-10"/>
        </w:rPr>
        <w:t>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九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年初结转和结余：指单位以前年度尚未完成、</w:t>
      </w:r>
      <w:r>
        <w:rPr>
          <w:rFonts w:hint="default" w:ascii="Times New Roman" w:hAnsi="Times New Roman" w:eastAsia="仿宋_GB2312" w:cs="Times New Roman"/>
          <w:spacing w:val="-8"/>
        </w:rPr>
        <w:t>结转到本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年仍按原规定用途继续使用的资金，或项目已完成等产生的结余</w:t>
      </w:r>
      <w:r>
        <w:rPr>
          <w:rFonts w:hint="default" w:ascii="Times New Roman" w:hAnsi="Times New Roman" w:eastAsia="仿宋_GB2312" w:cs="Times New Roman"/>
          <w:spacing w:val="9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4" w:firstLineChars="200"/>
        <w:textAlignment w:val="baseline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十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</w:rPr>
        <w:t>本部门使用的支出功能分类科目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</w:rPr>
        <w:t>到项级</w:t>
      </w:r>
      <w:r>
        <w:rPr>
          <w:rFonts w:hint="default" w:ascii="Times New Roman" w:hAnsi="Times New Roman" w:eastAsia="仿宋_GB2312" w:cs="Times New Roman"/>
          <w:spacing w:val="-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1.教育支出（类）普通教育（款）初中教育（项）反应各部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门举办的初中教育支出。政府各部门对社会组织等举办的初中的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资助，如捐赠、补贴等，也在本科目中反应。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2.社会保障和就业支出（类）行政事业单位养老支出（款）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机关事业单位基本养老保险缴费支出（项）反应机关事业单位实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施养老保险制度由单位缴纳的基本养老保险费支出。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3.社会保障和就业支出（类）行政事业单位养老支出（款）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机关事业单位职业年金缴费支出（项）反应机关事业单位实施养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老保险制度由单位实际缴纳的职业年金支出。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十一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结余分配：指单位按照会计制度规定缴纳企</w:t>
      </w:r>
      <w:r>
        <w:rPr>
          <w:rFonts w:hint="default" w:ascii="Times New Roman" w:hAnsi="Times New Roman" w:eastAsia="仿宋_GB2312" w:cs="Times New Roman"/>
          <w:spacing w:val="-8"/>
        </w:rPr>
        <w:t>业所得税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以及从非财政拨款结余或经营结余中提取各类结余的情况。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十二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年末结转和结余：指单位按有关规定结转到</w:t>
      </w:r>
      <w:r>
        <w:rPr>
          <w:rFonts w:hint="default" w:ascii="Times New Roman" w:hAnsi="Times New Roman" w:eastAsia="仿宋_GB2312" w:cs="Times New Roman"/>
          <w:spacing w:val="-8"/>
        </w:rPr>
        <w:t>下年或以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后年度继续使用的资金，或项目已完成等产生的结余资金。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十三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基本支出：指为保障机构正常运转、完成日</w:t>
      </w:r>
      <w:r>
        <w:rPr>
          <w:rFonts w:hint="default" w:ascii="Times New Roman" w:hAnsi="Times New Roman" w:eastAsia="仿宋_GB2312" w:cs="Times New Roman"/>
          <w:spacing w:val="-8"/>
        </w:rPr>
        <w:t>常工作任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务而发生的人员支出和公用支出。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十四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项目支出：指在基本支出之外为完成特定行</w:t>
      </w:r>
      <w:r>
        <w:rPr>
          <w:rFonts w:hint="default" w:ascii="Times New Roman" w:hAnsi="Times New Roman" w:eastAsia="仿宋_GB2312" w:cs="Times New Roman"/>
          <w:spacing w:val="-8"/>
        </w:rPr>
        <w:t>政任务或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</w:rPr>
        <w:t>事业发展目标所发生的支出。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12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十五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7"/>
        </w:rPr>
        <w:t>经营支出：指事业单位在专业活动及辅助活</w:t>
      </w:r>
      <w:r>
        <w:rPr>
          <w:rFonts w:hint="default" w:ascii="Times New Roman" w:hAnsi="Times New Roman" w:eastAsia="仿宋_GB2312" w:cs="Times New Roman"/>
          <w:spacing w:val="-8"/>
        </w:rPr>
        <w:t>动之外开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1"/>
        </w:rPr>
        <w:t>展非独立核算经营活动发生的支出。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28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3"/>
        </w:rPr>
        <w:t>十六</w:t>
      </w:r>
      <w:r>
        <w:rPr>
          <w:rFonts w:hint="default" w:ascii="Times New Roman" w:hAnsi="Times New Roman" w:eastAsia="仿宋_GB2312" w:cs="Times New Roman"/>
          <w:spacing w:val="-3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1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三公”经费：纳入市级财政预决算管理的</w:t>
      </w:r>
      <w:r>
        <w:rPr>
          <w:rFonts w:hint="default" w:ascii="Times New Roman" w:hAnsi="Times New Roman" w:eastAsia="仿宋_GB2312" w:cs="Times New Roman"/>
          <w:spacing w:val="-118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“</w:t>
      </w:r>
      <w:r>
        <w:rPr>
          <w:rFonts w:hint="default" w:ascii="Times New Roman" w:hAnsi="Times New Roman" w:eastAsia="仿宋_GB2312" w:cs="Times New Roman"/>
          <w:spacing w:val="-124"/>
        </w:rPr>
        <w:t xml:space="preserve"> </w:t>
      </w:r>
      <w:r>
        <w:rPr>
          <w:rFonts w:hint="default" w:ascii="Times New Roman" w:hAnsi="Times New Roman" w:eastAsia="仿宋_GB2312" w:cs="Times New Roman"/>
          <w:spacing w:val="-3"/>
        </w:rPr>
        <w:t>三公”</w:t>
      </w:r>
      <w:r>
        <w:rPr>
          <w:rFonts w:hint="default" w:ascii="Times New Roman" w:hAnsi="Times New Roman" w:eastAsia="仿宋_GB2312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pacing w:val="-5"/>
        </w:rPr>
        <w:t>经费，是指部门用财政拨款安排的因公出国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费、公务用</w:t>
      </w:r>
      <w:r>
        <w:rPr>
          <w:rFonts w:hint="default" w:ascii="Times New Roman" w:hAnsi="Times New Roman" w:eastAsia="仿宋_GB2312" w:cs="Times New Roman"/>
          <w:spacing w:val="-8"/>
        </w:rPr>
        <w:t>车购置及运行维护费和公务接待费。其中，因公出国</w:t>
      </w:r>
      <w:r>
        <w:rPr>
          <w:rFonts w:hint="default" w:ascii="Times New Roman" w:hAnsi="Times New Roman" w:eastAsia="仿宋_GB2312" w:cs="Times New Roman"/>
          <w:spacing w:val="-65"/>
        </w:rPr>
        <w:t xml:space="preserve"> 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境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费反映</w:t>
      </w:r>
      <w:r>
        <w:rPr>
          <w:rFonts w:hint="default" w:ascii="Times New Roman" w:hAnsi="Times New Roman" w:eastAsia="仿宋_GB2312" w:cs="Times New Roman"/>
          <w:spacing w:val="-5"/>
        </w:rPr>
        <w:t>单位公务出国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5"/>
        </w:rPr>
        <w:t>境</w:t>
      </w:r>
      <w:r>
        <w:rPr>
          <w:rFonts w:hint="default" w:ascii="Times New Roman" w:hAnsi="Times New Roman" w:eastAsia="仿宋_GB2312" w:cs="Times New Roman"/>
          <w:spacing w:val="-5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5"/>
        </w:rPr>
        <w:t>的国际旅费、国外城市间交通费、住宿费、伙食费、培训费、公杂费等支出；公务用车购置及运行维护费反映</w:t>
      </w:r>
      <w:r>
        <w:rPr>
          <w:rFonts w:hint="default" w:ascii="Times New Roman" w:hAnsi="Times New Roman" w:eastAsia="仿宋_GB2312" w:cs="Times New Roman"/>
          <w:spacing w:val="-7"/>
        </w:rPr>
        <w:t>单位公务用车购置支出</w:t>
      </w:r>
      <w:r>
        <w:rPr>
          <w:rFonts w:hint="default" w:ascii="Times New Roman" w:hAnsi="Times New Roman" w:eastAsia="仿宋_GB2312" w:cs="Times New Roman"/>
          <w:spacing w:val="-80"/>
        </w:rPr>
        <w:t xml:space="preserve"> </w:t>
      </w:r>
      <w:r>
        <w:rPr>
          <w:rFonts w:hint="default" w:ascii="Times New Roman" w:hAnsi="Times New Roman" w:eastAsia="仿宋_GB2312" w:cs="Times New Roman"/>
          <w:spacing w:val="-7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7"/>
        </w:rPr>
        <w:t>含车辆购置税、牌照</w:t>
      </w:r>
      <w:r>
        <w:rPr>
          <w:rFonts w:hint="default" w:ascii="Times New Roman" w:hAnsi="Times New Roman" w:eastAsia="仿宋_GB2312" w:cs="Times New Roman"/>
          <w:spacing w:val="-8"/>
        </w:rPr>
        <w:t>费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及燃料费、维修</w:t>
      </w:r>
      <w:r>
        <w:rPr>
          <w:rFonts w:hint="default" w:ascii="Times New Roman" w:hAnsi="Times New Roman" w:eastAsia="仿宋_GB2312" w:cs="Times New Roman"/>
          <w:spacing w:val="-5"/>
        </w:rPr>
        <w:t>费、过桥过路费、保险费、安全奖励费用等支出；公务接待费反</w:t>
      </w:r>
      <w:r>
        <w:rPr>
          <w:rFonts w:hint="default" w:ascii="Times New Roman" w:hAnsi="Times New Roman" w:eastAsia="仿宋_GB2312" w:cs="Times New Roman"/>
          <w:spacing w:val="-1"/>
        </w:rPr>
        <w:t>映单位按规定开支的各类公务接待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"/>
        </w:rPr>
        <w:t>含外宾接待</w:t>
      </w:r>
      <w:r>
        <w:rPr>
          <w:rFonts w:hint="default" w:ascii="Times New Roman" w:hAnsi="Times New Roman" w:eastAsia="仿宋_GB2312" w:cs="Times New Roman"/>
          <w:spacing w:val="-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32" w:firstLineChars="200"/>
        <w:jc w:val="both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十七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2"/>
        </w:rPr>
        <w:t>机关运行经费：指为保障行政单位</w:t>
      </w:r>
      <w:r>
        <w:rPr>
          <w:rFonts w:hint="default" w:ascii="Times New Roman" w:hAnsi="Times New Roman" w:eastAsia="仿宋_GB2312" w:cs="Times New Roman"/>
          <w:spacing w:val="-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2"/>
        </w:rPr>
        <w:t>包括参照公务员</w:t>
      </w:r>
      <w:r>
        <w:rPr>
          <w:rFonts w:hint="default" w:ascii="Times New Roman" w:hAnsi="Times New Roman" w:eastAsia="仿宋_GB2312" w:cs="Times New Roman"/>
          <w:spacing w:val="16"/>
        </w:rPr>
        <w:t xml:space="preserve"> </w:t>
      </w:r>
      <w:r>
        <w:rPr>
          <w:rFonts w:hint="default" w:ascii="Times New Roman" w:hAnsi="Times New Roman" w:eastAsia="仿宋_GB2312" w:cs="Times New Roman"/>
          <w:spacing w:val="1"/>
        </w:rPr>
        <w:t>法管理的事业单位</w:t>
      </w:r>
      <w:r>
        <w:rPr>
          <w:rFonts w:hint="default" w:ascii="Times New Roman" w:hAnsi="Times New Roman" w:eastAsia="仿宋_GB2312" w:cs="Times New Roman"/>
          <w:spacing w:val="1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1"/>
        </w:rPr>
        <w:t>运行用于购买货物和服务的各项资金，</w:t>
      </w:r>
      <w:r>
        <w:rPr>
          <w:rFonts w:hint="default" w:ascii="Times New Roman" w:hAnsi="Times New Roman" w:eastAsia="仿宋_GB2312" w:cs="Times New Roman"/>
        </w:rPr>
        <w:t xml:space="preserve">包括 </w:t>
      </w:r>
      <w:r>
        <w:rPr>
          <w:rFonts w:hint="default" w:ascii="Times New Roman" w:hAnsi="Times New Roman" w:eastAsia="仿宋_GB2312" w:cs="Times New Roman"/>
          <w:spacing w:val="-5"/>
        </w:rPr>
        <w:t>办公费、印刷费、邮电费、差旅费、会议费、福利费、日常维修费、专用材料及一般设备购置费、办公用房水电费、办公用房取</w:t>
      </w:r>
      <w:r>
        <w:rPr>
          <w:rFonts w:hint="default" w:ascii="Times New Roman" w:hAnsi="Times New Roman" w:eastAsia="仿宋_GB2312" w:cs="Times New Roman"/>
          <w:spacing w:val="-13"/>
        </w:rPr>
        <w:t>暖费、办公用房物业管理费、公务用车运行维护费以及其他费用。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 w:right="0" w:firstLine="608" w:firstLineChars="200"/>
        <w:textAlignment w:val="baseline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8"/>
        </w:rPr>
        <w:t>十八</w:t>
      </w:r>
      <w:r>
        <w:rPr>
          <w:rFonts w:hint="default" w:ascii="Times New Roman" w:hAnsi="Times New Roman" w:eastAsia="仿宋_GB2312" w:cs="Times New Roman"/>
          <w:spacing w:val="-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8"/>
        </w:rPr>
        <w:t>其他专用名词。</w:t>
      </w:r>
    </w:p>
    <w:p>
      <w:pPr>
        <w:ind w:firstLine="930" w:firstLineChars="300"/>
        <w:rPr>
          <w:rFonts w:hint="default" w:ascii="Times New Roman" w:hAnsi="Times New Roman" w:cs="Times New Roman"/>
          <w:spacing w:val="-4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无</w:t>
      </w:r>
      <w:r>
        <w:rPr>
          <w:rFonts w:hint="default" w:ascii="Times New Roman" w:hAnsi="Times New Roman" w:cs="Times New Roman"/>
          <w:spacing w:val="-4"/>
          <w:lang w:eastAsia="zh-CN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pacing w:val="-2"/>
          <w:sz w:val="44"/>
          <w:szCs w:val="44"/>
        </w:rPr>
        <w:t>第六部分  附件</w:t>
      </w:r>
    </w:p>
    <w:p>
      <w:pPr>
        <w:spacing w:line="334" w:lineRule="auto"/>
        <w:rPr>
          <w:rFonts w:hint="default" w:ascii="Times New Roman" w:hAnsi="Times New Roman" w:eastAsia="仿宋_GB2312" w:cs="Times New Roman"/>
          <w:snapToGrid w:val="0"/>
          <w:color w:val="000000"/>
          <w:spacing w:val="-13"/>
          <w:kern w:val="0"/>
          <w:sz w:val="32"/>
          <w:szCs w:val="32"/>
          <w:lang w:val="en-US" w:eastAsia="en-US" w:bidi="ar-SA"/>
        </w:rPr>
      </w:pPr>
    </w:p>
    <w:p>
      <w:pPr>
        <w:spacing w:line="335" w:lineRule="auto"/>
        <w:rPr>
          <w:rFonts w:hint="default" w:ascii="Times New Roman" w:hAnsi="Times New Roman" w:eastAsia="仿宋_GB2312" w:cs="Times New Roman"/>
          <w:snapToGrid w:val="0"/>
          <w:color w:val="000000"/>
          <w:spacing w:val="-1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-13"/>
          <w:kern w:val="0"/>
          <w:sz w:val="32"/>
          <w:szCs w:val="32"/>
          <w:lang w:val="en-US" w:eastAsia="zh-CN" w:bidi="ar-SA"/>
        </w:rPr>
        <w:t>无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51430D"/>
    <w:multiLevelType w:val="singleLevel"/>
    <w:tmpl w:val="E451430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6097B3"/>
    <w:multiLevelType w:val="singleLevel"/>
    <w:tmpl w:val="426097B3"/>
    <w:lvl w:ilvl="0" w:tentative="0">
      <w:start w:val="3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MWVjZTc0ZTk3ZDVlYjMxOTU5ZTNjNmE2NDc2ZDkifQ=="/>
  </w:docVars>
  <w:rsids>
    <w:rsidRoot w:val="00000000"/>
    <w:rsid w:val="003344FD"/>
    <w:rsid w:val="00416B05"/>
    <w:rsid w:val="00D93F51"/>
    <w:rsid w:val="01210BF2"/>
    <w:rsid w:val="01325D9A"/>
    <w:rsid w:val="01DD4D98"/>
    <w:rsid w:val="024C22CA"/>
    <w:rsid w:val="027F6D59"/>
    <w:rsid w:val="030923CE"/>
    <w:rsid w:val="033D66A2"/>
    <w:rsid w:val="03F2122F"/>
    <w:rsid w:val="046C12B0"/>
    <w:rsid w:val="058841B2"/>
    <w:rsid w:val="05E869EB"/>
    <w:rsid w:val="0600171E"/>
    <w:rsid w:val="068838C2"/>
    <w:rsid w:val="07180E92"/>
    <w:rsid w:val="07436DC1"/>
    <w:rsid w:val="07575FB7"/>
    <w:rsid w:val="07605531"/>
    <w:rsid w:val="0776130D"/>
    <w:rsid w:val="07A35BFD"/>
    <w:rsid w:val="080F56B5"/>
    <w:rsid w:val="083862FE"/>
    <w:rsid w:val="08481981"/>
    <w:rsid w:val="089839BA"/>
    <w:rsid w:val="093E053F"/>
    <w:rsid w:val="097C1194"/>
    <w:rsid w:val="09BF7E97"/>
    <w:rsid w:val="0A0A1271"/>
    <w:rsid w:val="0A720BC3"/>
    <w:rsid w:val="0A78029A"/>
    <w:rsid w:val="0ADE4F56"/>
    <w:rsid w:val="0B492353"/>
    <w:rsid w:val="0C2F71C6"/>
    <w:rsid w:val="0C5F01B0"/>
    <w:rsid w:val="0C9A6368"/>
    <w:rsid w:val="0CAA2CF4"/>
    <w:rsid w:val="0CB15D5E"/>
    <w:rsid w:val="0D133614"/>
    <w:rsid w:val="0D8012E0"/>
    <w:rsid w:val="0DAE3E72"/>
    <w:rsid w:val="0E280F4E"/>
    <w:rsid w:val="0E2D4BD3"/>
    <w:rsid w:val="0E7102E0"/>
    <w:rsid w:val="0E8C60A8"/>
    <w:rsid w:val="0EC810B2"/>
    <w:rsid w:val="0F2C5FAB"/>
    <w:rsid w:val="0F715318"/>
    <w:rsid w:val="10A16577"/>
    <w:rsid w:val="10D97D93"/>
    <w:rsid w:val="11772D58"/>
    <w:rsid w:val="117A5E54"/>
    <w:rsid w:val="11915CC4"/>
    <w:rsid w:val="11BC4848"/>
    <w:rsid w:val="121003AD"/>
    <w:rsid w:val="12517D85"/>
    <w:rsid w:val="12FE3B58"/>
    <w:rsid w:val="13553FC3"/>
    <w:rsid w:val="13747DAA"/>
    <w:rsid w:val="13A119D0"/>
    <w:rsid w:val="151B5CEC"/>
    <w:rsid w:val="159B5E30"/>
    <w:rsid w:val="15CB7A27"/>
    <w:rsid w:val="16553BDD"/>
    <w:rsid w:val="172355D3"/>
    <w:rsid w:val="174C73D5"/>
    <w:rsid w:val="179D3DFD"/>
    <w:rsid w:val="183B265E"/>
    <w:rsid w:val="18424C97"/>
    <w:rsid w:val="18461D89"/>
    <w:rsid w:val="18D92FC6"/>
    <w:rsid w:val="197616D0"/>
    <w:rsid w:val="198021EB"/>
    <w:rsid w:val="1A0471FB"/>
    <w:rsid w:val="1B221DF5"/>
    <w:rsid w:val="1B2466E5"/>
    <w:rsid w:val="1B975B71"/>
    <w:rsid w:val="1BAC4A39"/>
    <w:rsid w:val="1BD41C4A"/>
    <w:rsid w:val="1C0E2A35"/>
    <w:rsid w:val="1C817790"/>
    <w:rsid w:val="1D1A14FF"/>
    <w:rsid w:val="1DCD7D00"/>
    <w:rsid w:val="1E050782"/>
    <w:rsid w:val="1E712AAD"/>
    <w:rsid w:val="1ED04625"/>
    <w:rsid w:val="1EE21DA7"/>
    <w:rsid w:val="1F1C72A3"/>
    <w:rsid w:val="1F3C5B49"/>
    <w:rsid w:val="1F7E1743"/>
    <w:rsid w:val="20017382"/>
    <w:rsid w:val="202A71AA"/>
    <w:rsid w:val="202C347C"/>
    <w:rsid w:val="20410731"/>
    <w:rsid w:val="20B1217C"/>
    <w:rsid w:val="215131D1"/>
    <w:rsid w:val="21676B90"/>
    <w:rsid w:val="21961EB7"/>
    <w:rsid w:val="21A05F7E"/>
    <w:rsid w:val="21E2084F"/>
    <w:rsid w:val="21F201A8"/>
    <w:rsid w:val="21F51C80"/>
    <w:rsid w:val="22A0366C"/>
    <w:rsid w:val="23416871"/>
    <w:rsid w:val="23CB5543"/>
    <w:rsid w:val="247E43EC"/>
    <w:rsid w:val="25065466"/>
    <w:rsid w:val="250F37BB"/>
    <w:rsid w:val="259A5313"/>
    <w:rsid w:val="25A07ED3"/>
    <w:rsid w:val="25F50A80"/>
    <w:rsid w:val="26F14BC4"/>
    <w:rsid w:val="27291D03"/>
    <w:rsid w:val="27773A78"/>
    <w:rsid w:val="277B4A62"/>
    <w:rsid w:val="27C311B7"/>
    <w:rsid w:val="27EF0258"/>
    <w:rsid w:val="28A65FBE"/>
    <w:rsid w:val="28BE3B97"/>
    <w:rsid w:val="28D64A69"/>
    <w:rsid w:val="295E229B"/>
    <w:rsid w:val="2A121ACF"/>
    <w:rsid w:val="2A633CE1"/>
    <w:rsid w:val="2A7B6339"/>
    <w:rsid w:val="2A857986"/>
    <w:rsid w:val="2B3D4AA6"/>
    <w:rsid w:val="2BE83F94"/>
    <w:rsid w:val="2BF42D02"/>
    <w:rsid w:val="2BF7779C"/>
    <w:rsid w:val="2CC22F27"/>
    <w:rsid w:val="2DA64C51"/>
    <w:rsid w:val="2DCF7ECE"/>
    <w:rsid w:val="2F7669B5"/>
    <w:rsid w:val="2F8119D0"/>
    <w:rsid w:val="30A21219"/>
    <w:rsid w:val="30C56CEE"/>
    <w:rsid w:val="30FE4794"/>
    <w:rsid w:val="311B4390"/>
    <w:rsid w:val="31EF6F2D"/>
    <w:rsid w:val="3218249B"/>
    <w:rsid w:val="32A14380"/>
    <w:rsid w:val="32C056DD"/>
    <w:rsid w:val="32F53CFC"/>
    <w:rsid w:val="335041B5"/>
    <w:rsid w:val="341A412D"/>
    <w:rsid w:val="34257E6C"/>
    <w:rsid w:val="349323D3"/>
    <w:rsid w:val="34C21D7F"/>
    <w:rsid w:val="34E45314"/>
    <w:rsid w:val="34EA2EB6"/>
    <w:rsid w:val="34F62908"/>
    <w:rsid w:val="352941BE"/>
    <w:rsid w:val="353B695E"/>
    <w:rsid w:val="35AB7CFD"/>
    <w:rsid w:val="365C48A1"/>
    <w:rsid w:val="37D203EA"/>
    <w:rsid w:val="38F16CAA"/>
    <w:rsid w:val="390037A2"/>
    <w:rsid w:val="390F166D"/>
    <w:rsid w:val="392D3CF5"/>
    <w:rsid w:val="398529B3"/>
    <w:rsid w:val="39B2597F"/>
    <w:rsid w:val="39F72424"/>
    <w:rsid w:val="3A3B3A17"/>
    <w:rsid w:val="3AC3591E"/>
    <w:rsid w:val="3B67392E"/>
    <w:rsid w:val="3B935F56"/>
    <w:rsid w:val="3C1D2EFC"/>
    <w:rsid w:val="3C411FBF"/>
    <w:rsid w:val="3C4F2C50"/>
    <w:rsid w:val="3CB735A2"/>
    <w:rsid w:val="3D170D0A"/>
    <w:rsid w:val="3DA60130"/>
    <w:rsid w:val="3FBA3024"/>
    <w:rsid w:val="3FC5571D"/>
    <w:rsid w:val="4005391A"/>
    <w:rsid w:val="40304101"/>
    <w:rsid w:val="403E37BA"/>
    <w:rsid w:val="40586425"/>
    <w:rsid w:val="405B2764"/>
    <w:rsid w:val="40C00724"/>
    <w:rsid w:val="40EE0F32"/>
    <w:rsid w:val="40F32FFD"/>
    <w:rsid w:val="41560D96"/>
    <w:rsid w:val="41B534AF"/>
    <w:rsid w:val="421C78A7"/>
    <w:rsid w:val="42243E25"/>
    <w:rsid w:val="4226428B"/>
    <w:rsid w:val="42554486"/>
    <w:rsid w:val="4268313C"/>
    <w:rsid w:val="4323632D"/>
    <w:rsid w:val="43652A88"/>
    <w:rsid w:val="439D2D88"/>
    <w:rsid w:val="43C86ABD"/>
    <w:rsid w:val="43DA5B87"/>
    <w:rsid w:val="440A5A3C"/>
    <w:rsid w:val="44B468F0"/>
    <w:rsid w:val="44C60C63"/>
    <w:rsid w:val="450579D6"/>
    <w:rsid w:val="453A5499"/>
    <w:rsid w:val="45583160"/>
    <w:rsid w:val="467E1CDE"/>
    <w:rsid w:val="46F51953"/>
    <w:rsid w:val="46FC0C89"/>
    <w:rsid w:val="4787624B"/>
    <w:rsid w:val="48A33EA6"/>
    <w:rsid w:val="49005BB9"/>
    <w:rsid w:val="495C4DE3"/>
    <w:rsid w:val="49616EFB"/>
    <w:rsid w:val="49D631E1"/>
    <w:rsid w:val="4A572B56"/>
    <w:rsid w:val="4A7441F0"/>
    <w:rsid w:val="4AEA1171"/>
    <w:rsid w:val="4B6655DB"/>
    <w:rsid w:val="4BB20D0A"/>
    <w:rsid w:val="4BCD2447"/>
    <w:rsid w:val="4C746661"/>
    <w:rsid w:val="4C8334BB"/>
    <w:rsid w:val="4C8C3F07"/>
    <w:rsid w:val="4CC750A0"/>
    <w:rsid w:val="4CEB4DCC"/>
    <w:rsid w:val="4D1F0C2B"/>
    <w:rsid w:val="4D555CB1"/>
    <w:rsid w:val="4E3F4DAC"/>
    <w:rsid w:val="4E946BC7"/>
    <w:rsid w:val="4E9F4A82"/>
    <w:rsid w:val="4EE00D77"/>
    <w:rsid w:val="4EE32458"/>
    <w:rsid w:val="4FFE2CF6"/>
    <w:rsid w:val="50A91119"/>
    <w:rsid w:val="50BD7769"/>
    <w:rsid w:val="511454B8"/>
    <w:rsid w:val="51893E36"/>
    <w:rsid w:val="518A2209"/>
    <w:rsid w:val="51BB4C08"/>
    <w:rsid w:val="52063239"/>
    <w:rsid w:val="52263EA8"/>
    <w:rsid w:val="53CB101C"/>
    <w:rsid w:val="53DC4ADF"/>
    <w:rsid w:val="54117852"/>
    <w:rsid w:val="542F756E"/>
    <w:rsid w:val="545014C4"/>
    <w:rsid w:val="5470752A"/>
    <w:rsid w:val="54777E46"/>
    <w:rsid w:val="54964E88"/>
    <w:rsid w:val="54D20F12"/>
    <w:rsid w:val="5524342C"/>
    <w:rsid w:val="55273D59"/>
    <w:rsid w:val="552C25D1"/>
    <w:rsid w:val="5548216E"/>
    <w:rsid w:val="55DC7B4D"/>
    <w:rsid w:val="55F97E48"/>
    <w:rsid w:val="56961A66"/>
    <w:rsid w:val="56BB4596"/>
    <w:rsid w:val="571C2218"/>
    <w:rsid w:val="57327F9E"/>
    <w:rsid w:val="57B31914"/>
    <w:rsid w:val="57C17951"/>
    <w:rsid w:val="57DD2C70"/>
    <w:rsid w:val="58946CC6"/>
    <w:rsid w:val="58B65C96"/>
    <w:rsid w:val="58CF7628"/>
    <w:rsid w:val="59413213"/>
    <w:rsid w:val="599065AF"/>
    <w:rsid w:val="59D452A4"/>
    <w:rsid w:val="5A1C7C69"/>
    <w:rsid w:val="5A2465A5"/>
    <w:rsid w:val="5A9940EF"/>
    <w:rsid w:val="5BCF5B03"/>
    <w:rsid w:val="5BDB426F"/>
    <w:rsid w:val="5C0F04D3"/>
    <w:rsid w:val="5D184F2D"/>
    <w:rsid w:val="5DE402B6"/>
    <w:rsid w:val="5E2D5732"/>
    <w:rsid w:val="5E682FE0"/>
    <w:rsid w:val="5EA45E25"/>
    <w:rsid w:val="5F250ABC"/>
    <w:rsid w:val="5F371861"/>
    <w:rsid w:val="5F50236B"/>
    <w:rsid w:val="5F705D5B"/>
    <w:rsid w:val="5F774842"/>
    <w:rsid w:val="60137E72"/>
    <w:rsid w:val="602345B4"/>
    <w:rsid w:val="604A5C2C"/>
    <w:rsid w:val="60585B55"/>
    <w:rsid w:val="60774544"/>
    <w:rsid w:val="607C73D5"/>
    <w:rsid w:val="60AE518E"/>
    <w:rsid w:val="60B46348"/>
    <w:rsid w:val="610473AF"/>
    <w:rsid w:val="61473FDB"/>
    <w:rsid w:val="61586FCA"/>
    <w:rsid w:val="616A272B"/>
    <w:rsid w:val="61C37727"/>
    <w:rsid w:val="62750E04"/>
    <w:rsid w:val="62C17492"/>
    <w:rsid w:val="62F51C0D"/>
    <w:rsid w:val="639835A3"/>
    <w:rsid w:val="63F135C2"/>
    <w:rsid w:val="643857EC"/>
    <w:rsid w:val="64AF08AF"/>
    <w:rsid w:val="64B002E4"/>
    <w:rsid w:val="64E9784D"/>
    <w:rsid w:val="65863FE1"/>
    <w:rsid w:val="65EC47C2"/>
    <w:rsid w:val="65EC7678"/>
    <w:rsid w:val="66A45E76"/>
    <w:rsid w:val="66AC141F"/>
    <w:rsid w:val="6716299A"/>
    <w:rsid w:val="6780267D"/>
    <w:rsid w:val="68276F55"/>
    <w:rsid w:val="684936BD"/>
    <w:rsid w:val="6853557B"/>
    <w:rsid w:val="687B3694"/>
    <w:rsid w:val="68925BBB"/>
    <w:rsid w:val="68965C34"/>
    <w:rsid w:val="68E54319"/>
    <w:rsid w:val="69346B9C"/>
    <w:rsid w:val="698E1894"/>
    <w:rsid w:val="69966F48"/>
    <w:rsid w:val="6B6066A7"/>
    <w:rsid w:val="6B8342AA"/>
    <w:rsid w:val="6BB34631"/>
    <w:rsid w:val="6BC75BA1"/>
    <w:rsid w:val="6BEA6484"/>
    <w:rsid w:val="6C51718A"/>
    <w:rsid w:val="6CC34375"/>
    <w:rsid w:val="6CCE4495"/>
    <w:rsid w:val="6D5153F2"/>
    <w:rsid w:val="6D745521"/>
    <w:rsid w:val="6D826C64"/>
    <w:rsid w:val="6DA422E5"/>
    <w:rsid w:val="6DA43E95"/>
    <w:rsid w:val="6E210CF5"/>
    <w:rsid w:val="6EC01FCC"/>
    <w:rsid w:val="6F1747C4"/>
    <w:rsid w:val="6FA755CF"/>
    <w:rsid w:val="700B1FB1"/>
    <w:rsid w:val="70846AFD"/>
    <w:rsid w:val="708F672A"/>
    <w:rsid w:val="70E57BE1"/>
    <w:rsid w:val="71227FB5"/>
    <w:rsid w:val="71851663"/>
    <w:rsid w:val="71852992"/>
    <w:rsid w:val="71953EEA"/>
    <w:rsid w:val="71CE2646"/>
    <w:rsid w:val="71F45114"/>
    <w:rsid w:val="722E2704"/>
    <w:rsid w:val="72614EAD"/>
    <w:rsid w:val="72743264"/>
    <w:rsid w:val="72A44124"/>
    <w:rsid w:val="72C419C0"/>
    <w:rsid w:val="733778A5"/>
    <w:rsid w:val="734E39F2"/>
    <w:rsid w:val="73B225C3"/>
    <w:rsid w:val="73F15019"/>
    <w:rsid w:val="74225689"/>
    <w:rsid w:val="743E20F8"/>
    <w:rsid w:val="744B3EF9"/>
    <w:rsid w:val="749073E1"/>
    <w:rsid w:val="74BB45C6"/>
    <w:rsid w:val="74E334C9"/>
    <w:rsid w:val="74E40AE4"/>
    <w:rsid w:val="75036959"/>
    <w:rsid w:val="75586EFF"/>
    <w:rsid w:val="75C731D9"/>
    <w:rsid w:val="765D1521"/>
    <w:rsid w:val="767D6EE6"/>
    <w:rsid w:val="775F480D"/>
    <w:rsid w:val="776B1BFA"/>
    <w:rsid w:val="77CA6886"/>
    <w:rsid w:val="77DA0F53"/>
    <w:rsid w:val="7814484B"/>
    <w:rsid w:val="78DB72AB"/>
    <w:rsid w:val="79075C2E"/>
    <w:rsid w:val="79A665C9"/>
    <w:rsid w:val="79E645D2"/>
    <w:rsid w:val="7A1B74FE"/>
    <w:rsid w:val="7A672AE0"/>
    <w:rsid w:val="7ADE4A39"/>
    <w:rsid w:val="7AE952E9"/>
    <w:rsid w:val="7B245F6D"/>
    <w:rsid w:val="7BF435DA"/>
    <w:rsid w:val="7D3C6C47"/>
    <w:rsid w:val="7D673F99"/>
    <w:rsid w:val="7D8918BD"/>
    <w:rsid w:val="7D900988"/>
    <w:rsid w:val="7DA91B39"/>
    <w:rsid w:val="7DC33E35"/>
    <w:rsid w:val="7E2A3086"/>
    <w:rsid w:val="7E4A5858"/>
    <w:rsid w:val="7EC55B84"/>
    <w:rsid w:val="7EE12780"/>
    <w:rsid w:val="7F33621E"/>
    <w:rsid w:val="7FAC15AD"/>
    <w:rsid w:val="7FA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qFormat/>
    <w:uiPriority w:val="0"/>
    <w:pPr>
      <w:snapToGrid w:val="0"/>
      <w:jc w:val="left"/>
    </w:pPr>
    <w:rPr>
      <w:sz w:val="32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1"/>
    <w:qFormat/>
    <w:uiPriority w:val="0"/>
    <w:pPr>
      <w:widowControl/>
      <w:adjustRightInd/>
      <w:snapToGrid/>
      <w:spacing w:line="540" w:lineRule="exact"/>
      <w:ind w:firstLine="420" w:firstLineChars="0"/>
      <w:jc w:val="left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3">
    <w:name w:val="正文缩进 + 首行缩进:  2 字符"/>
    <w:basedOn w:val="1"/>
    <w:qFormat/>
    <w:uiPriority w:val="0"/>
    <w:pPr>
      <w:spacing w:line="560" w:lineRule="exact"/>
      <w:ind w:firstLine="640"/>
    </w:pPr>
    <w:rPr>
      <w:rFonts w:ascii="仿宋" w:hAnsi="仿宋" w:eastAsia="仿宋"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C:\Users\lenovo\Desktop\2022-2024&#20915;&#31639;&#21450;&#20915;&#31639;&#20844;&#24320;\2024&#24180;\2024&#24180;&#20915;&#31639;&#20844;&#24320;\2024&#24180;&#20915;&#31639;&#20844;&#24320;&#34920;&#26684;\34&#27494;&#27721;&#24066;&#20809;&#35895;&#31532;&#19977;&#21021;&#32423;&#20013;&#23398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C:\Users\lenovo\Desktop\2022-2024&#20915;&#31639;&#21450;&#20915;&#31639;&#20844;&#24320;\2024&#24180;\2024&#24180;&#20915;&#31639;&#20844;&#24320;\2024&#24180;&#20915;&#31639;&#20844;&#24320;&#34920;&#26684;\34&#27494;&#27721;&#24066;&#20809;&#35895;&#31532;&#19977;&#21021;&#32423;&#20013;&#23398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C:\Users\lenovo\Desktop\2022-2024&#20915;&#31639;&#21450;&#20915;&#31639;&#20844;&#24320;\2024&#24180;\2024&#24180;&#20915;&#31639;&#20844;&#24320;\2024&#24180;&#20915;&#31639;&#20844;&#24320;&#34920;&#26684;\34&#27494;&#27721;&#24066;&#20809;&#35895;&#31532;&#19977;&#21021;&#32423;&#20013;&#23398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lenovo\Desktop\2022-2024&#20915;&#31639;&#21450;&#20915;&#31639;&#20844;&#24320;\2024&#24180;\2024&#24180;&#20915;&#31639;&#20844;&#24320;\2024&#24180;&#20915;&#31639;&#20844;&#24320;&#34920;&#26684;\34&#27494;&#27721;&#24066;&#20809;&#35895;&#31532;&#19977;&#21021;&#32423;&#20013;&#2339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t>收、支决算总计变动情况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5B9BD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[34武汉市光谷第三初级中学.xlsx]Sheet1!$A$1:$A$2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[34武汉市光谷第三初级中学.xlsx]Sheet1!$B$1:$B$2</c:f>
              <c:numCache>
                <c:formatCode>General</c:formatCode>
                <c:ptCount val="2"/>
                <c:pt idx="0">
                  <c:v>4670.87</c:v>
                </c:pt>
                <c:pt idx="1">
                  <c:v>4953.68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72842534"/>
        <c:axId val="597911952"/>
      </c:barChart>
      <c:catAx>
        <c:axId val="47284253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597911952"/>
        <c:crosses val="autoZero"/>
        <c:auto val="1"/>
        <c:lblAlgn val="ctr"/>
        <c:lblOffset val="100"/>
        <c:noMultiLvlLbl val="0"/>
      </c:catAx>
      <c:valAx>
        <c:axId val="597911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47284253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t>收入决算结构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5B9BD5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[34武汉市光谷第三初级中学.xlsx]Sheet1!$A$7:$A$8</c:f>
              <c:strCache>
                <c:ptCount val="2"/>
                <c:pt idx="0">
                  <c:v>财政拨款收入</c:v>
                </c:pt>
                <c:pt idx="1">
                  <c:v>其他收入</c:v>
                </c:pt>
              </c:strCache>
            </c:strRef>
          </c:cat>
          <c:val>
            <c:numRef>
              <c:f>[34武汉市光谷第三初级中学.xlsx]Sheet1!$B$7:$B$8</c:f>
              <c:numCache>
                <c:formatCode>General</c:formatCode>
                <c:ptCount val="2"/>
                <c:pt idx="0">
                  <c:v>4760.68</c:v>
                </c:pt>
                <c:pt idx="1">
                  <c:v>190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t>支出决算结构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rgbClr val="5B9BD5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ED7D31"/>
              </a:solidFill>
              <a:ln w="19050">
                <a:solidFill>
                  <a:sysClr val="window" lastClr="FFFFFF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[34武汉市光谷第三初级中学.xlsx]Sheet1!$A$34:$A$35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[34武汉市光谷第三初级中学.xlsx]Sheet1!$B$34:$B$35</c:f>
              <c:numCache>
                <c:formatCode>General</c:formatCode>
                <c:ptCount val="2"/>
                <c:pt idx="0">
                  <c:v>4800.79</c:v>
                </c:pt>
                <c:pt idx="1">
                  <c:v>147.9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t>财政拨款收、支决算总计变动情况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74444444444444"/>
          <c:y val="0.172916666666667"/>
          <c:w val="0.882"/>
          <c:h val="0.71166666666666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5B9BD5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[34武汉市光谷第三初级中学.xlsx]Sheet1!$A$66:$A$67</c:f>
              <c:strCache>
                <c:ptCount val="2"/>
                <c:pt idx="0">
                  <c:v>2023年度</c:v>
                </c:pt>
                <c:pt idx="1">
                  <c:v>2024年度</c:v>
                </c:pt>
              </c:strCache>
            </c:strRef>
          </c:cat>
          <c:val>
            <c:numRef>
              <c:f>[34武汉市光谷第三初级中学.xlsx]Sheet1!$B$66:$B$67</c:f>
              <c:numCache>
                <c:formatCode>General</c:formatCode>
                <c:ptCount val="2"/>
                <c:pt idx="0">
                  <c:v>4535.56</c:v>
                </c:pt>
                <c:pt idx="1">
                  <c:v>4760.68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65889266"/>
        <c:axId val="543622223"/>
      </c:lineChart>
      <c:catAx>
        <c:axId val="56588926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lumMod val="15000"/>
                <a:lumOff val="85000"/>
              </a:sys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543622223"/>
        <c:crosses val="autoZero"/>
        <c:auto val="1"/>
        <c:lblAlgn val="ctr"/>
        <c:lblOffset val="100"/>
        <c:noMultiLvlLbl val="0"/>
      </c:catAx>
      <c:valAx>
        <c:axId val="543622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ysClr val="windowText" lastClr="000000">
                  <a:lumMod val="15000"/>
                  <a:lumOff val="85000"/>
                </a:sys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</a:p>
        </c:txPr>
        <c:crossAx val="56588926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ysClr val="windowText" lastClr="000000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  <cs:spPr>
      <a:ln w="19050">
        <a:solidFill>
          <a:sysClr val="window" lastClr="FFFFFF"/>
        </a:solidFill>
      </a:ln>
    </cs:spPr>
  </cs:dataPoint>
  <cs:dataPoint3D>
    <cs:lnRef idx="0"/>
    <cs:fillRef idx="1">
      <cs:styleClr val="auto"/>
    </cs:fillRef>
    <cs:effectRef idx="0"/>
    <cs:fontRef idx="minor">
      <a:sysClr val="windowText" lastClr="000000"/>
    </cs:fontRef>
    <cs:spPr>
      <a:ln w="25400">
        <a:solidFill>
          <a:sysClr val="window" lastClr="FFFFFF"/>
        </a:solidFill>
      </a:ln>
    </cs:spPr>
  </cs:dataPoint3D>
  <cs:dataPointLine>
    <cs:lnRef idx="0">
      <cs:styleClr val="auto"/>
    </cs:lnRef>
    <cs:fillRef idx="0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75000"/>
          <a:lumOff val="25000"/>
        </a:sysClr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0"/>
            <a:lumOff val="50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  <cs:spPr>
      <a:ln w="19050">
        <a:solidFill>
          <a:sysClr val="window" lastClr="FFFFFF"/>
        </a:solidFill>
      </a:ln>
    </cs:spPr>
  </cs:dataPoint>
  <cs:dataPoint3D>
    <cs:lnRef idx="0"/>
    <cs:fillRef idx="1">
      <cs:styleClr val="auto"/>
    </cs:fillRef>
    <cs:effectRef idx="0"/>
    <cs:fontRef idx="minor">
      <a:sysClr val="windowText" lastClr="000000"/>
    </cs:fontRef>
    <cs:spPr>
      <a:ln w="25400">
        <a:solidFill>
          <a:sysClr val="window" lastClr="FFFFFF"/>
        </a:solidFill>
      </a:ln>
    </cs:spPr>
  </cs:dataPoint3D>
  <cs:dataPointLine>
    <cs:lnRef idx="0">
      <cs:styleClr val="auto"/>
    </cs:lnRef>
    <cs:fillRef idx="0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75000"/>
          <a:lumOff val="25000"/>
        </a:sysClr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0"/>
            <a:lumOff val="50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9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ysClr val="windowText" lastClr="000000"/>
    </cs:fontRef>
  </cs:dataPoint>
  <cs:dataPoint3D>
    <cs:lnRef idx="0"/>
    <cs:fillRef idx="1">
      <cs:styleClr val="auto"/>
    </cs:fillRef>
    <cs:effectRef idx="0"/>
    <cs:fontRef idx="minor">
      <a:sysClr val="windowText" lastClr="000000"/>
    </cs:fontRef>
  </cs:dataPoint3D>
  <cs:dataPointLine>
    <cs:lnRef idx="0">
      <cs:styleClr val="auto"/>
    </cs:lnRef>
    <cs:fillRef idx="1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65000"/>
          <a:lumOff val="35000"/>
        </a:sysClr>
      </a:solidFill>
      <a:ln w="9525">
        <a:solidFill>
          <a:sysClr val="windowText" lastClr="000000">
            <a:lumMod val="65000"/>
            <a:lumOff val="35000"/>
          </a:sysClr>
        </a:solidFill>
      </a:ln>
    </cs:spPr>
  </cs:downBar>
  <cs:drop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75000"/>
            <a:lumOff val="25000"/>
          </a:sysClr>
        </a:solidFill>
        <a:round/>
      </a:ln>
    </cs:spPr>
  </cs:hiLoLine>
  <cs:leader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35000"/>
            <a:lumOff val="65000"/>
          </a:sysClr>
        </a:solidFill>
        <a:round/>
      </a:ln>
    </cs:spPr>
  </cs:seriesLine>
  <cs: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>
        <a:solidFill>
          <a:sysClr val="windowText" lastClr="000000">
            <a:lumMod val="15000"/>
            <a:lumOff val="85000"/>
          </a:sysClr>
        </a:solidFill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13754</Words>
  <Characters>14625</Characters>
  <Lines>0</Lines>
  <Paragraphs>0</Paragraphs>
  <TotalTime>38</TotalTime>
  <ScaleCrop>false</ScaleCrop>
  <LinksUpToDate>false</LinksUpToDate>
  <CharactersWithSpaces>16246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2025-08-20T07:46:00Z</cp:lastPrinted>
  <dcterms:modified xsi:type="dcterms:W3CDTF">2025-09-09T06:40:39Z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DADA2B326901443B9B9AC7B4645F762D_13</vt:lpwstr>
  </property>
</Properties>
</file>