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757A2">
      <w:pPr>
        <w:spacing w:before="104" w:line="226" w:lineRule="auto"/>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附件 1</w:t>
      </w:r>
    </w:p>
    <w:p w14:paraId="5842F95D">
      <w:pPr>
        <w:spacing w:line="250" w:lineRule="auto"/>
        <w:rPr>
          <w:rFonts w:hint="default" w:ascii="Times New Roman" w:hAnsi="Times New Roman" w:cs="Times New Roman"/>
          <w:spacing w:val="0"/>
          <w:w w:val="100"/>
          <w:position w:val="0"/>
          <w:sz w:val="21"/>
          <w:u w:val="none" w:color="auto"/>
        </w:rPr>
      </w:pPr>
    </w:p>
    <w:p w14:paraId="748C5D3A">
      <w:pPr>
        <w:spacing w:line="250" w:lineRule="auto"/>
        <w:rPr>
          <w:rFonts w:hint="default" w:ascii="Times New Roman" w:hAnsi="Times New Roman" w:cs="Times New Roman"/>
          <w:spacing w:val="0"/>
          <w:w w:val="100"/>
          <w:position w:val="0"/>
          <w:sz w:val="21"/>
          <w:u w:val="none" w:color="auto"/>
        </w:rPr>
      </w:pPr>
    </w:p>
    <w:p w14:paraId="08B6F088">
      <w:pPr>
        <w:spacing w:line="250" w:lineRule="auto"/>
        <w:rPr>
          <w:rFonts w:hint="default" w:ascii="Times New Roman" w:hAnsi="Times New Roman" w:cs="Times New Roman"/>
          <w:spacing w:val="0"/>
          <w:w w:val="100"/>
          <w:position w:val="0"/>
          <w:sz w:val="21"/>
          <w:u w:val="none" w:color="auto"/>
        </w:rPr>
      </w:pPr>
    </w:p>
    <w:p w14:paraId="1571CC4C">
      <w:pPr>
        <w:spacing w:line="250" w:lineRule="auto"/>
        <w:rPr>
          <w:rFonts w:hint="default" w:ascii="Times New Roman" w:hAnsi="Times New Roman" w:cs="Times New Roman"/>
          <w:spacing w:val="0"/>
          <w:w w:val="100"/>
          <w:position w:val="0"/>
          <w:sz w:val="21"/>
          <w:u w:val="none" w:color="auto"/>
        </w:rPr>
      </w:pPr>
    </w:p>
    <w:p w14:paraId="19F563C8">
      <w:pPr>
        <w:spacing w:line="251" w:lineRule="auto"/>
        <w:rPr>
          <w:rFonts w:hint="default" w:ascii="Times New Roman" w:hAnsi="Times New Roman" w:cs="Times New Roman"/>
          <w:spacing w:val="0"/>
          <w:w w:val="100"/>
          <w:position w:val="0"/>
          <w:sz w:val="21"/>
          <w:u w:val="none" w:color="auto"/>
        </w:rPr>
      </w:pPr>
    </w:p>
    <w:p w14:paraId="7DC84702">
      <w:pPr>
        <w:spacing w:before="156" w:line="221" w:lineRule="auto"/>
        <w:ind w:right="20"/>
        <w:jc w:val="center"/>
        <w:rPr>
          <w:rFonts w:hint="eastAsia" w:ascii="Times New Roman" w:hAnsi="Times New Roman" w:eastAsia="方正小标宋简体" w:cs="Times New Roman"/>
          <w:spacing w:val="0"/>
          <w:w w:val="100"/>
          <w:position w:val="0"/>
          <w:sz w:val="44"/>
          <w:szCs w:val="44"/>
          <w:u w:val="none" w:color="auto"/>
          <w:lang w:eastAsia="zh-CN"/>
        </w:rPr>
      </w:pPr>
      <w:r>
        <w:rPr>
          <w:rFonts w:hint="default" w:ascii="Times New Roman" w:hAnsi="Times New Roman" w:eastAsia="方正小标宋简体" w:cs="Times New Roman"/>
          <w:spacing w:val="0"/>
          <w:w w:val="100"/>
          <w:position w:val="0"/>
          <w:sz w:val="44"/>
          <w:szCs w:val="44"/>
          <w:u w:val="none" w:color="auto"/>
        </w:rPr>
        <w:t>202</w:t>
      </w:r>
      <w:r>
        <w:rPr>
          <w:rFonts w:hint="eastAsia" w:ascii="Times New Roman" w:hAnsi="Times New Roman" w:eastAsia="方正小标宋简体" w:cs="Times New Roman"/>
          <w:spacing w:val="0"/>
          <w:w w:val="100"/>
          <w:position w:val="0"/>
          <w:sz w:val="44"/>
          <w:szCs w:val="44"/>
          <w:u w:val="none" w:color="auto"/>
          <w:lang w:val="en-US" w:eastAsia="zh-CN"/>
        </w:rPr>
        <w:t>4</w:t>
      </w:r>
      <w:r>
        <w:rPr>
          <w:rFonts w:hint="default" w:ascii="Times New Roman" w:hAnsi="Times New Roman" w:eastAsia="方正小标宋简体" w:cs="Times New Roman"/>
          <w:spacing w:val="0"/>
          <w:w w:val="100"/>
          <w:position w:val="0"/>
          <w:sz w:val="44"/>
          <w:szCs w:val="44"/>
          <w:u w:val="none" w:color="auto"/>
        </w:rPr>
        <w:t>年度</w:t>
      </w:r>
      <w:r>
        <w:rPr>
          <w:rFonts w:hint="eastAsia" w:ascii="Times New Roman" w:hAnsi="Times New Roman" w:eastAsia="方正小标宋简体" w:cs="Times New Roman"/>
          <w:spacing w:val="0"/>
          <w:w w:val="100"/>
          <w:position w:val="0"/>
          <w:sz w:val="44"/>
          <w:szCs w:val="44"/>
          <w:u w:val="none" w:color="auto"/>
          <w:lang w:eastAsia="zh-CN"/>
        </w:rPr>
        <w:t>武汉市光谷第四初级中学</w:t>
      </w:r>
    </w:p>
    <w:p w14:paraId="08C6A780">
      <w:pPr>
        <w:spacing w:before="156" w:line="221" w:lineRule="auto"/>
        <w:ind w:right="20"/>
        <w:jc w:val="center"/>
        <w:rPr>
          <w:rFonts w:hint="default" w:ascii="Times New Roman" w:hAnsi="Times New Roman" w:eastAsia="黑体" w:cs="Times New Roman"/>
          <w:spacing w:val="0"/>
          <w:w w:val="100"/>
          <w:position w:val="0"/>
          <w:sz w:val="48"/>
          <w:szCs w:val="48"/>
          <w:u w:val="none" w:color="auto"/>
          <w:lang w:eastAsia="zh-CN"/>
        </w:rPr>
      </w:pPr>
      <w:r>
        <w:rPr>
          <w:rFonts w:hint="default" w:ascii="Times New Roman" w:hAnsi="Times New Roman" w:eastAsia="方正小标宋简体" w:cs="Times New Roman"/>
          <w:spacing w:val="0"/>
          <w:w w:val="100"/>
          <w:position w:val="0"/>
          <w:sz w:val="44"/>
          <w:szCs w:val="44"/>
          <w:u w:val="none" w:color="auto"/>
        </w:rPr>
        <w:t>部门决算公开</w:t>
      </w:r>
    </w:p>
    <w:p w14:paraId="57605FFD">
      <w:pPr>
        <w:spacing w:line="241" w:lineRule="auto"/>
        <w:rPr>
          <w:rFonts w:hint="default" w:ascii="Times New Roman" w:hAnsi="Times New Roman" w:cs="Times New Roman"/>
          <w:spacing w:val="0"/>
          <w:w w:val="100"/>
          <w:position w:val="0"/>
          <w:sz w:val="21"/>
          <w:u w:val="none" w:color="auto"/>
        </w:rPr>
      </w:pPr>
    </w:p>
    <w:p w14:paraId="58077375">
      <w:pPr>
        <w:spacing w:line="241" w:lineRule="auto"/>
        <w:rPr>
          <w:rFonts w:hint="default" w:ascii="Times New Roman" w:hAnsi="Times New Roman" w:cs="Times New Roman"/>
          <w:spacing w:val="0"/>
          <w:w w:val="100"/>
          <w:position w:val="0"/>
          <w:sz w:val="21"/>
          <w:u w:val="none" w:color="auto"/>
        </w:rPr>
      </w:pPr>
    </w:p>
    <w:p w14:paraId="03D9FCBC">
      <w:pPr>
        <w:spacing w:line="241" w:lineRule="auto"/>
        <w:rPr>
          <w:rFonts w:hint="default" w:ascii="Times New Roman" w:hAnsi="Times New Roman" w:cs="Times New Roman"/>
          <w:spacing w:val="0"/>
          <w:w w:val="100"/>
          <w:position w:val="0"/>
          <w:sz w:val="21"/>
          <w:u w:val="none" w:color="auto"/>
        </w:rPr>
      </w:pPr>
    </w:p>
    <w:p w14:paraId="5982979F">
      <w:pPr>
        <w:spacing w:line="241" w:lineRule="auto"/>
        <w:rPr>
          <w:rFonts w:hint="default" w:ascii="Times New Roman" w:hAnsi="Times New Roman" w:cs="Times New Roman"/>
          <w:spacing w:val="0"/>
          <w:w w:val="100"/>
          <w:position w:val="0"/>
          <w:sz w:val="21"/>
          <w:u w:val="none" w:color="auto"/>
        </w:rPr>
      </w:pPr>
    </w:p>
    <w:p w14:paraId="65BF17A3">
      <w:pPr>
        <w:spacing w:line="241" w:lineRule="auto"/>
        <w:rPr>
          <w:rFonts w:hint="default" w:ascii="Times New Roman" w:hAnsi="Times New Roman" w:cs="Times New Roman"/>
          <w:spacing w:val="0"/>
          <w:w w:val="100"/>
          <w:position w:val="0"/>
          <w:sz w:val="21"/>
          <w:u w:val="none" w:color="auto"/>
        </w:rPr>
      </w:pPr>
    </w:p>
    <w:p w14:paraId="381F1539">
      <w:pPr>
        <w:spacing w:line="241" w:lineRule="auto"/>
        <w:rPr>
          <w:rFonts w:hint="default" w:ascii="Times New Roman" w:hAnsi="Times New Roman" w:cs="Times New Roman"/>
          <w:spacing w:val="0"/>
          <w:w w:val="100"/>
          <w:position w:val="0"/>
          <w:sz w:val="21"/>
          <w:u w:val="none" w:color="auto"/>
        </w:rPr>
      </w:pPr>
    </w:p>
    <w:p w14:paraId="05EDEEBF">
      <w:pPr>
        <w:spacing w:line="241" w:lineRule="auto"/>
        <w:rPr>
          <w:rFonts w:hint="default" w:ascii="Times New Roman" w:hAnsi="Times New Roman" w:cs="Times New Roman"/>
          <w:spacing w:val="0"/>
          <w:w w:val="100"/>
          <w:position w:val="0"/>
          <w:sz w:val="21"/>
          <w:u w:val="none" w:color="auto"/>
        </w:rPr>
      </w:pPr>
    </w:p>
    <w:p w14:paraId="3856D1AA">
      <w:pPr>
        <w:spacing w:line="241" w:lineRule="auto"/>
        <w:rPr>
          <w:rFonts w:hint="default" w:ascii="Times New Roman" w:hAnsi="Times New Roman" w:cs="Times New Roman"/>
          <w:spacing w:val="0"/>
          <w:w w:val="100"/>
          <w:position w:val="0"/>
          <w:sz w:val="21"/>
          <w:u w:val="none" w:color="auto"/>
        </w:rPr>
      </w:pPr>
    </w:p>
    <w:p w14:paraId="2634AB41">
      <w:pPr>
        <w:spacing w:line="241" w:lineRule="auto"/>
        <w:rPr>
          <w:rFonts w:hint="default" w:ascii="Times New Roman" w:hAnsi="Times New Roman" w:cs="Times New Roman"/>
          <w:spacing w:val="0"/>
          <w:w w:val="100"/>
          <w:position w:val="0"/>
          <w:sz w:val="21"/>
          <w:u w:val="none" w:color="auto"/>
        </w:rPr>
      </w:pPr>
    </w:p>
    <w:p w14:paraId="62424367">
      <w:pPr>
        <w:spacing w:line="241" w:lineRule="auto"/>
        <w:rPr>
          <w:rFonts w:hint="default" w:ascii="Times New Roman" w:hAnsi="Times New Roman" w:cs="Times New Roman"/>
          <w:spacing w:val="0"/>
          <w:w w:val="100"/>
          <w:position w:val="0"/>
          <w:sz w:val="21"/>
          <w:u w:val="none" w:color="auto"/>
        </w:rPr>
      </w:pPr>
    </w:p>
    <w:p w14:paraId="74627863">
      <w:pPr>
        <w:spacing w:line="241" w:lineRule="auto"/>
        <w:rPr>
          <w:rFonts w:hint="default" w:ascii="Times New Roman" w:hAnsi="Times New Roman" w:cs="Times New Roman"/>
          <w:spacing w:val="0"/>
          <w:w w:val="100"/>
          <w:position w:val="0"/>
          <w:sz w:val="21"/>
          <w:u w:val="none" w:color="auto"/>
        </w:rPr>
      </w:pPr>
    </w:p>
    <w:p w14:paraId="1B9DECC6">
      <w:pPr>
        <w:spacing w:line="241" w:lineRule="auto"/>
        <w:rPr>
          <w:rFonts w:hint="default" w:ascii="Times New Roman" w:hAnsi="Times New Roman" w:cs="Times New Roman"/>
          <w:spacing w:val="0"/>
          <w:w w:val="100"/>
          <w:position w:val="0"/>
          <w:sz w:val="21"/>
          <w:u w:val="none" w:color="auto"/>
        </w:rPr>
      </w:pPr>
    </w:p>
    <w:p w14:paraId="1BDE9C21">
      <w:pPr>
        <w:spacing w:line="241" w:lineRule="auto"/>
        <w:rPr>
          <w:rFonts w:hint="default" w:ascii="Times New Roman" w:hAnsi="Times New Roman" w:cs="Times New Roman"/>
          <w:spacing w:val="0"/>
          <w:w w:val="100"/>
          <w:position w:val="0"/>
          <w:sz w:val="21"/>
          <w:u w:val="none" w:color="auto"/>
        </w:rPr>
      </w:pPr>
    </w:p>
    <w:p w14:paraId="34638740">
      <w:pPr>
        <w:spacing w:line="241" w:lineRule="auto"/>
        <w:rPr>
          <w:rFonts w:hint="default" w:ascii="Times New Roman" w:hAnsi="Times New Roman" w:cs="Times New Roman"/>
          <w:spacing w:val="0"/>
          <w:w w:val="100"/>
          <w:position w:val="0"/>
          <w:sz w:val="21"/>
          <w:u w:val="none" w:color="auto"/>
        </w:rPr>
      </w:pPr>
    </w:p>
    <w:p w14:paraId="3F42C55E">
      <w:pPr>
        <w:spacing w:line="241" w:lineRule="auto"/>
        <w:rPr>
          <w:rFonts w:hint="default" w:ascii="Times New Roman" w:hAnsi="Times New Roman" w:cs="Times New Roman"/>
          <w:spacing w:val="0"/>
          <w:w w:val="100"/>
          <w:position w:val="0"/>
          <w:sz w:val="21"/>
          <w:u w:val="none" w:color="auto"/>
        </w:rPr>
      </w:pPr>
    </w:p>
    <w:p w14:paraId="66F874EF">
      <w:pPr>
        <w:spacing w:line="241" w:lineRule="auto"/>
        <w:rPr>
          <w:rFonts w:hint="default" w:ascii="Times New Roman" w:hAnsi="Times New Roman" w:cs="Times New Roman"/>
          <w:spacing w:val="0"/>
          <w:w w:val="100"/>
          <w:position w:val="0"/>
          <w:sz w:val="21"/>
          <w:u w:val="none" w:color="auto"/>
        </w:rPr>
      </w:pPr>
    </w:p>
    <w:p w14:paraId="59907D64">
      <w:pPr>
        <w:spacing w:line="241" w:lineRule="auto"/>
        <w:rPr>
          <w:rFonts w:hint="default" w:ascii="Times New Roman" w:hAnsi="Times New Roman" w:cs="Times New Roman"/>
          <w:spacing w:val="0"/>
          <w:w w:val="100"/>
          <w:position w:val="0"/>
          <w:sz w:val="21"/>
          <w:u w:val="none" w:color="auto"/>
        </w:rPr>
      </w:pPr>
    </w:p>
    <w:p w14:paraId="6442B960">
      <w:pPr>
        <w:spacing w:line="241" w:lineRule="auto"/>
        <w:rPr>
          <w:rFonts w:hint="default" w:ascii="Times New Roman" w:hAnsi="Times New Roman" w:cs="Times New Roman"/>
          <w:spacing w:val="0"/>
          <w:w w:val="100"/>
          <w:position w:val="0"/>
          <w:sz w:val="21"/>
          <w:u w:val="none" w:color="auto"/>
        </w:rPr>
      </w:pPr>
    </w:p>
    <w:p w14:paraId="564E0DF5">
      <w:pPr>
        <w:spacing w:line="241" w:lineRule="auto"/>
        <w:rPr>
          <w:rFonts w:hint="default" w:ascii="Times New Roman" w:hAnsi="Times New Roman" w:cs="Times New Roman"/>
          <w:spacing w:val="0"/>
          <w:w w:val="100"/>
          <w:position w:val="0"/>
          <w:sz w:val="21"/>
          <w:u w:val="none" w:color="auto"/>
        </w:rPr>
      </w:pPr>
    </w:p>
    <w:p w14:paraId="6817FFEE">
      <w:pPr>
        <w:spacing w:line="241" w:lineRule="auto"/>
        <w:rPr>
          <w:rFonts w:hint="default" w:ascii="Times New Roman" w:hAnsi="Times New Roman" w:cs="Times New Roman"/>
          <w:spacing w:val="0"/>
          <w:w w:val="100"/>
          <w:position w:val="0"/>
          <w:sz w:val="21"/>
          <w:u w:val="none" w:color="auto"/>
        </w:rPr>
      </w:pPr>
    </w:p>
    <w:p w14:paraId="56CFAB9D">
      <w:pPr>
        <w:spacing w:line="241" w:lineRule="auto"/>
        <w:rPr>
          <w:rFonts w:hint="default" w:ascii="Times New Roman" w:hAnsi="Times New Roman" w:cs="Times New Roman"/>
          <w:spacing w:val="0"/>
          <w:w w:val="100"/>
          <w:position w:val="0"/>
          <w:sz w:val="21"/>
          <w:u w:val="none" w:color="auto"/>
        </w:rPr>
      </w:pPr>
    </w:p>
    <w:p w14:paraId="2E05261C">
      <w:pPr>
        <w:spacing w:line="241" w:lineRule="auto"/>
        <w:rPr>
          <w:rFonts w:hint="default" w:ascii="Times New Roman" w:hAnsi="Times New Roman" w:cs="Times New Roman"/>
          <w:spacing w:val="0"/>
          <w:w w:val="100"/>
          <w:position w:val="0"/>
          <w:sz w:val="21"/>
          <w:u w:val="none" w:color="auto"/>
        </w:rPr>
      </w:pPr>
    </w:p>
    <w:p w14:paraId="54B1AE4C">
      <w:pPr>
        <w:spacing w:line="241" w:lineRule="auto"/>
        <w:rPr>
          <w:rFonts w:hint="default" w:ascii="Times New Roman" w:hAnsi="Times New Roman" w:cs="Times New Roman"/>
          <w:spacing w:val="0"/>
          <w:w w:val="100"/>
          <w:position w:val="0"/>
          <w:sz w:val="21"/>
          <w:u w:val="none" w:color="auto"/>
        </w:rPr>
      </w:pPr>
    </w:p>
    <w:p w14:paraId="623CA838">
      <w:pPr>
        <w:spacing w:line="241" w:lineRule="auto"/>
        <w:rPr>
          <w:rFonts w:hint="default" w:ascii="Times New Roman" w:hAnsi="Times New Roman" w:cs="Times New Roman"/>
          <w:spacing w:val="0"/>
          <w:w w:val="100"/>
          <w:position w:val="0"/>
          <w:sz w:val="21"/>
          <w:u w:val="none" w:color="auto"/>
        </w:rPr>
      </w:pPr>
    </w:p>
    <w:p w14:paraId="414C6979">
      <w:pPr>
        <w:spacing w:line="241" w:lineRule="auto"/>
        <w:rPr>
          <w:rFonts w:hint="default" w:ascii="Times New Roman" w:hAnsi="Times New Roman" w:cs="Times New Roman"/>
          <w:spacing w:val="0"/>
          <w:w w:val="100"/>
          <w:position w:val="0"/>
          <w:sz w:val="21"/>
          <w:u w:val="none" w:color="auto"/>
        </w:rPr>
      </w:pPr>
    </w:p>
    <w:p w14:paraId="03DF6893">
      <w:pPr>
        <w:spacing w:line="241" w:lineRule="auto"/>
        <w:rPr>
          <w:rFonts w:hint="default" w:ascii="Times New Roman" w:hAnsi="Times New Roman" w:cs="Times New Roman"/>
          <w:spacing w:val="0"/>
          <w:w w:val="100"/>
          <w:position w:val="0"/>
          <w:sz w:val="21"/>
          <w:u w:val="none" w:color="auto"/>
        </w:rPr>
      </w:pPr>
    </w:p>
    <w:p w14:paraId="6D4885B6">
      <w:pPr>
        <w:spacing w:line="241" w:lineRule="auto"/>
        <w:rPr>
          <w:rFonts w:hint="default" w:ascii="Times New Roman" w:hAnsi="Times New Roman" w:cs="Times New Roman"/>
          <w:spacing w:val="0"/>
          <w:w w:val="100"/>
          <w:position w:val="0"/>
          <w:sz w:val="21"/>
          <w:u w:val="none" w:color="auto"/>
        </w:rPr>
      </w:pPr>
    </w:p>
    <w:p w14:paraId="47B7946C">
      <w:pPr>
        <w:spacing w:line="241" w:lineRule="auto"/>
        <w:rPr>
          <w:rFonts w:hint="default" w:ascii="Times New Roman" w:hAnsi="Times New Roman" w:cs="Times New Roman"/>
          <w:spacing w:val="0"/>
          <w:w w:val="100"/>
          <w:position w:val="0"/>
          <w:sz w:val="21"/>
          <w:u w:val="none" w:color="auto"/>
        </w:rPr>
      </w:pPr>
    </w:p>
    <w:p w14:paraId="335CD726">
      <w:pPr>
        <w:spacing w:line="241" w:lineRule="auto"/>
        <w:rPr>
          <w:rFonts w:hint="default" w:ascii="Times New Roman" w:hAnsi="Times New Roman" w:cs="Times New Roman"/>
          <w:spacing w:val="0"/>
          <w:w w:val="100"/>
          <w:position w:val="0"/>
          <w:sz w:val="21"/>
          <w:u w:val="none" w:color="auto"/>
        </w:rPr>
      </w:pPr>
    </w:p>
    <w:p w14:paraId="29B345C8">
      <w:pPr>
        <w:spacing w:line="241" w:lineRule="auto"/>
        <w:rPr>
          <w:rFonts w:hint="default" w:ascii="Times New Roman" w:hAnsi="Times New Roman" w:cs="Times New Roman"/>
          <w:spacing w:val="0"/>
          <w:w w:val="100"/>
          <w:position w:val="0"/>
          <w:sz w:val="21"/>
          <w:u w:val="none" w:color="auto"/>
        </w:rPr>
      </w:pPr>
    </w:p>
    <w:p w14:paraId="5DBDA939">
      <w:pPr>
        <w:spacing w:line="241" w:lineRule="auto"/>
        <w:rPr>
          <w:rFonts w:hint="default" w:ascii="Times New Roman" w:hAnsi="Times New Roman" w:cs="Times New Roman"/>
          <w:spacing w:val="0"/>
          <w:w w:val="100"/>
          <w:position w:val="0"/>
          <w:sz w:val="21"/>
          <w:u w:val="none" w:color="auto"/>
        </w:rPr>
      </w:pPr>
    </w:p>
    <w:p w14:paraId="621491DC">
      <w:pPr>
        <w:spacing w:line="241" w:lineRule="auto"/>
        <w:rPr>
          <w:rFonts w:hint="default" w:ascii="Times New Roman" w:hAnsi="Times New Roman" w:cs="Times New Roman"/>
          <w:spacing w:val="0"/>
          <w:w w:val="100"/>
          <w:position w:val="0"/>
          <w:sz w:val="21"/>
          <w:u w:val="none" w:color="auto"/>
        </w:rPr>
      </w:pPr>
    </w:p>
    <w:p w14:paraId="29E447A9">
      <w:pPr>
        <w:spacing w:line="242" w:lineRule="auto"/>
        <w:rPr>
          <w:rFonts w:hint="default" w:ascii="Times New Roman" w:hAnsi="Times New Roman" w:cs="Times New Roman"/>
          <w:spacing w:val="0"/>
          <w:w w:val="100"/>
          <w:position w:val="0"/>
          <w:sz w:val="21"/>
          <w:u w:val="none" w:color="auto"/>
        </w:rPr>
      </w:pPr>
    </w:p>
    <w:p w14:paraId="0B0CCED7">
      <w:pPr>
        <w:spacing w:line="242" w:lineRule="auto"/>
        <w:rPr>
          <w:rFonts w:hint="default" w:ascii="Times New Roman" w:hAnsi="Times New Roman" w:cs="Times New Roman"/>
          <w:spacing w:val="0"/>
          <w:w w:val="100"/>
          <w:position w:val="0"/>
          <w:sz w:val="21"/>
          <w:u w:val="none" w:color="auto"/>
        </w:rPr>
      </w:pPr>
    </w:p>
    <w:p w14:paraId="156D3870">
      <w:pPr>
        <w:spacing w:line="242" w:lineRule="auto"/>
        <w:rPr>
          <w:rFonts w:hint="default" w:ascii="Times New Roman" w:hAnsi="Times New Roman" w:cs="Times New Roman"/>
          <w:spacing w:val="0"/>
          <w:w w:val="100"/>
          <w:position w:val="0"/>
          <w:sz w:val="21"/>
          <w:u w:val="none" w:color="auto"/>
        </w:rPr>
      </w:pPr>
    </w:p>
    <w:p w14:paraId="6EE6D883">
      <w:pPr>
        <w:pStyle w:val="3"/>
        <w:spacing w:before="104" w:line="224" w:lineRule="auto"/>
        <w:ind w:left="316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202</w:t>
      </w:r>
      <w:r>
        <w:rPr>
          <w:rFonts w:hint="eastAsia" w:ascii="Times New Roman" w:hAnsi="Times New Roman" w:eastAsia="仿宋_GB2312" w:cs="Times New Roman"/>
          <w:spacing w:val="0"/>
          <w:w w:val="100"/>
          <w:position w:val="0"/>
          <w:u w:val="none" w:color="auto"/>
          <w:lang w:val="en-US" w:eastAsia="zh-CN"/>
        </w:rPr>
        <w:t>5</w:t>
      </w:r>
      <w:r>
        <w:rPr>
          <w:rFonts w:hint="default" w:ascii="Times New Roman" w:hAnsi="Times New Roman" w:eastAsia="仿宋_GB2312" w:cs="Times New Roman"/>
          <w:spacing w:val="0"/>
          <w:w w:val="100"/>
          <w:position w:val="0"/>
          <w:u w:val="none" w:color="auto"/>
        </w:rPr>
        <w:t>年9月29日</w:t>
      </w:r>
    </w:p>
    <w:p w14:paraId="4F4A49E1">
      <w:pPr>
        <w:spacing w:line="280" w:lineRule="auto"/>
        <w:rPr>
          <w:rFonts w:hint="default" w:ascii="Times New Roman" w:hAnsi="Times New Roman" w:cs="Times New Roman"/>
          <w:spacing w:val="0"/>
          <w:w w:val="100"/>
          <w:position w:val="0"/>
          <w:sz w:val="21"/>
          <w:u w:val="none" w:color="auto"/>
        </w:rPr>
      </w:pPr>
    </w:p>
    <w:p w14:paraId="0247F87A">
      <w:pPr>
        <w:pStyle w:val="7"/>
        <w:rPr>
          <w:rFonts w:hint="default" w:ascii="Times New Roman" w:hAnsi="Times New Roman" w:cs="Times New Roman"/>
          <w:spacing w:val="0"/>
          <w:w w:val="100"/>
          <w:position w:val="0"/>
          <w:sz w:val="21"/>
          <w:u w:val="none" w:color="auto"/>
        </w:rPr>
      </w:pPr>
    </w:p>
    <w:p w14:paraId="5DFEFDAD">
      <w:pPr>
        <w:rPr>
          <w:rFonts w:hint="default" w:ascii="Times New Roman" w:hAnsi="Times New Roman" w:cs="Times New Roman"/>
          <w:spacing w:val="0"/>
          <w:w w:val="100"/>
          <w:position w:val="0"/>
          <w:sz w:val="21"/>
          <w:u w:val="none" w:color="auto"/>
        </w:rPr>
      </w:pPr>
    </w:p>
    <w:p w14:paraId="20210D77">
      <w:pPr>
        <w:spacing w:before="143" w:line="222" w:lineRule="auto"/>
        <w:ind w:left="3361"/>
        <w:outlineLvl w:val="0"/>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目</w:t>
      </w:r>
      <w:r>
        <w:rPr>
          <w:rFonts w:hint="default" w:ascii="Times New Roman" w:hAnsi="Times New Roman" w:eastAsia="方正小标宋简体" w:cs="Times New Roman"/>
          <w:spacing w:val="0"/>
          <w:w w:val="100"/>
          <w:position w:val="0"/>
          <w:sz w:val="44"/>
          <w:szCs w:val="44"/>
          <w:u w:val="none" w:color="auto"/>
          <w:lang w:val="en-US" w:eastAsia="zh-CN"/>
        </w:rPr>
        <w:t xml:space="preserve">     </w:t>
      </w:r>
      <w:r>
        <w:rPr>
          <w:rFonts w:hint="default" w:ascii="Times New Roman" w:hAnsi="Times New Roman" w:eastAsia="方正小标宋简体" w:cs="Times New Roman"/>
          <w:spacing w:val="0"/>
          <w:w w:val="100"/>
          <w:position w:val="0"/>
          <w:sz w:val="44"/>
          <w:szCs w:val="44"/>
          <w:u w:val="none" w:color="auto"/>
        </w:rPr>
        <w:t>录</w:t>
      </w:r>
    </w:p>
    <w:p w14:paraId="617D0279">
      <w:pPr>
        <w:spacing w:line="251" w:lineRule="auto"/>
        <w:rPr>
          <w:rFonts w:hint="default" w:ascii="Times New Roman" w:hAnsi="Times New Roman" w:cs="Times New Roman"/>
          <w:spacing w:val="0"/>
          <w:w w:val="100"/>
          <w:position w:val="0"/>
          <w:sz w:val="21"/>
          <w:u w:val="none" w:color="auto"/>
        </w:rPr>
      </w:pPr>
    </w:p>
    <w:p w14:paraId="67127CF0">
      <w:pPr>
        <w:spacing w:line="251" w:lineRule="auto"/>
        <w:rPr>
          <w:rFonts w:hint="default" w:ascii="Times New Roman" w:hAnsi="Times New Roman" w:cs="Times New Roman"/>
          <w:spacing w:val="0"/>
          <w:w w:val="100"/>
          <w:position w:val="0"/>
          <w:sz w:val="21"/>
          <w:u w:val="none" w:color="auto"/>
        </w:rPr>
      </w:pPr>
    </w:p>
    <w:p w14:paraId="1A7D3BE2">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第一部分   </w:t>
      </w:r>
      <w:r>
        <w:rPr>
          <w:rFonts w:hint="eastAsia" w:ascii="Times New Roman" w:hAnsi="Times New Roman" w:eastAsia="黑体" w:cs="Times New Roman"/>
          <w:spacing w:val="0"/>
          <w:w w:val="100"/>
          <w:position w:val="0"/>
          <w:sz w:val="32"/>
          <w:szCs w:val="32"/>
          <w:u w:val="none" w:color="auto"/>
          <w:lang w:eastAsia="zh-CN"/>
        </w:rPr>
        <w:t>武汉市光谷第四初级中学</w:t>
      </w:r>
      <w:r>
        <w:rPr>
          <w:rFonts w:hint="default" w:ascii="Times New Roman" w:hAnsi="Times New Roman" w:eastAsia="黑体" w:cs="Times New Roman"/>
          <w:spacing w:val="0"/>
          <w:w w:val="100"/>
          <w:position w:val="0"/>
          <w:sz w:val="32"/>
          <w:szCs w:val="32"/>
          <w:u w:val="none" w:color="auto"/>
        </w:rPr>
        <w:t>概况</w:t>
      </w:r>
    </w:p>
    <w:p w14:paraId="0785586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一、部门主要职责</w:t>
      </w:r>
    </w:p>
    <w:p w14:paraId="6D2389E0">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二、机构设置情况</w:t>
      </w:r>
    </w:p>
    <w:p w14:paraId="60742268">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第二部分   </w:t>
      </w:r>
      <w:r>
        <w:rPr>
          <w:rFonts w:hint="eastAsia" w:ascii="Times New Roman" w:hAnsi="Times New Roman" w:eastAsia="黑体" w:cs="Times New Roman"/>
          <w:spacing w:val="0"/>
          <w:w w:val="100"/>
          <w:position w:val="0"/>
          <w:sz w:val="32"/>
          <w:szCs w:val="32"/>
          <w:u w:val="none" w:color="auto"/>
          <w:lang w:eastAsia="zh-CN"/>
        </w:rPr>
        <w:t>武汉市光谷第四初级中学</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年度部门决算表</w:t>
      </w:r>
    </w:p>
    <w:p w14:paraId="36823AD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一、收入支出决算总表</w:t>
      </w:r>
    </w:p>
    <w:p w14:paraId="1995B8E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二、收入决算表</w:t>
      </w:r>
    </w:p>
    <w:p w14:paraId="18EB39B7">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三、支出决算表</w:t>
      </w:r>
    </w:p>
    <w:p w14:paraId="31B1F1A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四、财政拨款收入支出决算总表</w:t>
      </w:r>
    </w:p>
    <w:p w14:paraId="2E84F35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五、一般公共预算财政拨款支出决算表</w:t>
      </w:r>
    </w:p>
    <w:p w14:paraId="2D5796DA">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六、一般公共预算财政拨款基本支出决算明细表</w:t>
      </w:r>
    </w:p>
    <w:p w14:paraId="0125BCC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七、政府性基金预算财政拨款收入支出决算表</w:t>
      </w:r>
    </w:p>
    <w:p w14:paraId="0D35077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八、国有资本经营预算财政拨款支出决算表</w:t>
      </w:r>
    </w:p>
    <w:p w14:paraId="05E1F7C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九、财政拨款“三公”经费支出决算表</w:t>
      </w:r>
    </w:p>
    <w:p w14:paraId="63485306">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第三部分   </w:t>
      </w:r>
      <w:r>
        <w:rPr>
          <w:rFonts w:hint="eastAsia" w:ascii="Times New Roman" w:hAnsi="Times New Roman" w:eastAsia="黑体" w:cs="Times New Roman"/>
          <w:spacing w:val="0"/>
          <w:w w:val="100"/>
          <w:position w:val="0"/>
          <w:sz w:val="32"/>
          <w:szCs w:val="32"/>
          <w:u w:val="none" w:color="auto"/>
          <w:lang w:eastAsia="zh-CN"/>
        </w:rPr>
        <w:t>武汉市光谷第四初级中学</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年度部门决算情况说明</w:t>
      </w:r>
    </w:p>
    <w:p w14:paraId="1252ADC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一、收入支出决算总体情况说明</w:t>
      </w:r>
    </w:p>
    <w:p w14:paraId="3B40CA1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二、收入决算情况说明</w:t>
      </w:r>
    </w:p>
    <w:p w14:paraId="0FC8FCE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三、支出决算情况说明</w:t>
      </w:r>
    </w:p>
    <w:p w14:paraId="2289983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四、财政拨款收入支出决算总体情况说明</w:t>
      </w:r>
    </w:p>
    <w:p w14:paraId="4455B77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五、一般公共预算财政拨款支出决算情况说明</w:t>
      </w:r>
    </w:p>
    <w:p w14:paraId="1CC0274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六、一般公共预算财政拨款基本支出决算情况说明</w:t>
      </w:r>
    </w:p>
    <w:p w14:paraId="07FD530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七、政府性基金预算财政拨款收入支出决算情况说明</w:t>
      </w:r>
    </w:p>
    <w:p w14:paraId="4C50807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八、国有资本经营预算财政拨款支出决算情况说明</w:t>
      </w:r>
    </w:p>
    <w:p w14:paraId="54977B4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九、财政拨款“三公”经费支出决算情况说明</w:t>
      </w:r>
    </w:p>
    <w:p w14:paraId="72158FB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十、机关运行经费支出说明</w:t>
      </w:r>
    </w:p>
    <w:p w14:paraId="7AA1D08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十一、政府采购支出说明</w:t>
      </w:r>
    </w:p>
    <w:p w14:paraId="6F921E6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十二、国有资产占用情况说明</w:t>
      </w:r>
    </w:p>
    <w:p w14:paraId="2F8C276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十三、预算绩效情况说明</w:t>
      </w:r>
    </w:p>
    <w:p w14:paraId="76C57222">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第四部分  202</w:t>
      </w:r>
      <w:r>
        <w:rPr>
          <w:rFonts w:hint="eastAsia" w:ascii="Times New Roman" w:hAnsi="Times New Roman" w:eastAsia="黑体" w:cs="Times New Roman"/>
          <w:spacing w:val="0"/>
          <w:w w:val="100"/>
          <w:position w:val="0"/>
          <w:sz w:val="32"/>
          <w:u w:val="none" w:color="auto"/>
          <w:lang w:val="en-US" w:eastAsia="zh-CN"/>
        </w:rPr>
        <w:t>4</w:t>
      </w:r>
      <w:r>
        <w:rPr>
          <w:rFonts w:hint="default" w:ascii="Times New Roman" w:hAnsi="Times New Roman" w:eastAsia="黑体" w:cs="Times New Roman"/>
          <w:spacing w:val="0"/>
          <w:w w:val="100"/>
          <w:position w:val="0"/>
          <w:sz w:val="32"/>
          <w:u w:val="none" w:color="auto"/>
        </w:rPr>
        <w:t>年重点工作完成情况</w:t>
      </w:r>
    </w:p>
    <w:p w14:paraId="18C3CB15">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第五部分  名词解释</w:t>
      </w:r>
    </w:p>
    <w:p w14:paraId="56A8958C">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第六部分  附件</w:t>
      </w:r>
    </w:p>
    <w:p w14:paraId="7720AEED">
      <w:pPr>
        <w:rPr>
          <w:rFonts w:hint="default" w:ascii="Times New Roman" w:hAnsi="Times New Roman" w:cs="Times New Roman"/>
          <w:u w:val="none" w:color="auto"/>
        </w:rPr>
      </w:pPr>
    </w:p>
    <w:p w14:paraId="03F16D7F">
      <w:pPr>
        <w:pStyle w:val="7"/>
        <w:rPr>
          <w:rFonts w:hint="default" w:ascii="Times New Roman" w:hAnsi="Times New Roman" w:cs="Times New Roman"/>
          <w:u w:val="none" w:color="auto"/>
        </w:rPr>
      </w:pPr>
    </w:p>
    <w:p w14:paraId="11EBAA67">
      <w:pPr>
        <w:rPr>
          <w:rFonts w:hint="default" w:ascii="Times New Roman" w:hAnsi="Times New Roman" w:cs="Times New Roman"/>
          <w:u w:val="none" w:color="auto"/>
        </w:rPr>
      </w:pPr>
    </w:p>
    <w:p w14:paraId="6C84E23E">
      <w:pPr>
        <w:pStyle w:val="7"/>
        <w:rPr>
          <w:rFonts w:hint="default" w:ascii="Times New Roman" w:hAnsi="Times New Roman" w:cs="Times New Roman"/>
          <w:u w:val="none" w:color="auto"/>
        </w:rPr>
      </w:pPr>
    </w:p>
    <w:p w14:paraId="0570E560">
      <w:pPr>
        <w:rPr>
          <w:rFonts w:hint="default" w:ascii="Times New Roman" w:hAnsi="Times New Roman" w:cs="Times New Roman"/>
          <w:u w:val="none" w:color="auto"/>
        </w:rPr>
      </w:pPr>
    </w:p>
    <w:p w14:paraId="02B3AA0E">
      <w:pPr>
        <w:pStyle w:val="7"/>
        <w:rPr>
          <w:rFonts w:hint="default" w:ascii="Times New Roman" w:hAnsi="Times New Roman" w:cs="Times New Roman"/>
          <w:u w:val="none" w:color="auto"/>
        </w:rPr>
      </w:pPr>
    </w:p>
    <w:p w14:paraId="342488A4">
      <w:pPr>
        <w:rPr>
          <w:rFonts w:hint="default" w:ascii="Times New Roman" w:hAnsi="Times New Roman" w:cs="Times New Roman"/>
          <w:u w:val="none" w:color="auto"/>
        </w:rPr>
      </w:pPr>
    </w:p>
    <w:p w14:paraId="5FB61E59">
      <w:pPr>
        <w:pStyle w:val="7"/>
        <w:rPr>
          <w:rFonts w:hint="default" w:ascii="Times New Roman" w:hAnsi="Times New Roman" w:cs="Times New Roman"/>
          <w:u w:val="none" w:color="auto"/>
        </w:rPr>
      </w:pPr>
    </w:p>
    <w:p w14:paraId="76B26BB2">
      <w:pPr>
        <w:rPr>
          <w:rFonts w:hint="default" w:ascii="Times New Roman" w:hAnsi="Times New Roman" w:cs="Times New Roman"/>
          <w:u w:val="none" w:color="auto"/>
        </w:rPr>
      </w:pPr>
    </w:p>
    <w:p w14:paraId="0A87D9CE">
      <w:pPr>
        <w:pStyle w:val="7"/>
        <w:rPr>
          <w:rFonts w:hint="default" w:ascii="Times New Roman" w:hAnsi="Times New Roman" w:cs="Times New Roman"/>
          <w:u w:val="none" w:color="auto"/>
        </w:rPr>
      </w:pPr>
    </w:p>
    <w:p w14:paraId="0902BF40">
      <w:pPr>
        <w:rPr>
          <w:rFonts w:hint="default" w:ascii="Times New Roman" w:hAnsi="Times New Roman" w:cs="Times New Roman"/>
          <w:u w:val="none" w:color="auto"/>
        </w:rPr>
      </w:pPr>
    </w:p>
    <w:p w14:paraId="05EEE687">
      <w:pPr>
        <w:pStyle w:val="7"/>
        <w:rPr>
          <w:rFonts w:hint="default" w:ascii="Times New Roman" w:hAnsi="Times New Roman" w:cs="Times New Roman"/>
          <w:u w:val="none" w:color="auto"/>
        </w:rPr>
      </w:pPr>
    </w:p>
    <w:p w14:paraId="339E7ED6">
      <w:pPr>
        <w:rPr>
          <w:rFonts w:hint="default" w:ascii="Times New Roman" w:hAnsi="Times New Roman" w:cs="Times New Roman"/>
          <w:u w:val="none" w:color="auto"/>
        </w:rPr>
      </w:pPr>
    </w:p>
    <w:p w14:paraId="1A78AC7F">
      <w:pPr>
        <w:pStyle w:val="7"/>
        <w:rPr>
          <w:rFonts w:hint="default" w:ascii="Times New Roman" w:hAnsi="Times New Roman" w:cs="Times New Roman"/>
          <w:u w:val="none" w:color="auto"/>
        </w:rPr>
      </w:pPr>
    </w:p>
    <w:p w14:paraId="0A44290C">
      <w:pPr>
        <w:rPr>
          <w:rFonts w:hint="default" w:ascii="Times New Roman" w:hAnsi="Times New Roman" w:cs="Times New Roman"/>
          <w:u w:val="none" w:color="auto"/>
        </w:rPr>
      </w:pPr>
    </w:p>
    <w:p w14:paraId="717566DB">
      <w:pPr>
        <w:pStyle w:val="7"/>
        <w:rPr>
          <w:rFonts w:hint="default" w:ascii="Times New Roman" w:hAnsi="Times New Roman" w:cs="Times New Roman"/>
          <w:u w:val="none" w:color="auto"/>
        </w:rPr>
      </w:pPr>
    </w:p>
    <w:p w14:paraId="36C5AA88">
      <w:pPr>
        <w:rPr>
          <w:rFonts w:hint="default" w:ascii="Times New Roman" w:hAnsi="Times New Roman" w:cs="Times New Roman"/>
          <w:u w:val="none" w:color="auto"/>
        </w:rPr>
      </w:pPr>
    </w:p>
    <w:p w14:paraId="1B856AC6">
      <w:pPr>
        <w:pStyle w:val="7"/>
        <w:rPr>
          <w:rFonts w:hint="default" w:ascii="Times New Roman" w:hAnsi="Times New Roman" w:cs="Times New Roman"/>
          <w:u w:val="none" w:color="auto"/>
        </w:rPr>
      </w:pPr>
    </w:p>
    <w:p w14:paraId="29040D6B">
      <w:pPr>
        <w:spacing w:before="143" w:line="222" w:lineRule="auto"/>
        <w:jc w:val="center"/>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 xml:space="preserve">第一部分  </w:t>
      </w:r>
      <w:r>
        <w:rPr>
          <w:rFonts w:hint="eastAsia" w:ascii="Times New Roman" w:hAnsi="Times New Roman" w:eastAsia="方正小标宋简体" w:cs="Times New Roman"/>
          <w:spacing w:val="0"/>
          <w:w w:val="100"/>
          <w:position w:val="0"/>
          <w:sz w:val="44"/>
          <w:szCs w:val="44"/>
          <w:u w:val="none" w:color="auto"/>
          <w:lang w:eastAsia="zh-CN"/>
        </w:rPr>
        <w:t>武汉市光谷第四初级中学</w:t>
      </w:r>
      <w:r>
        <w:rPr>
          <w:rFonts w:hint="default" w:ascii="Times New Roman" w:hAnsi="Times New Roman" w:eastAsia="方正小标宋简体" w:cs="Times New Roman"/>
          <w:spacing w:val="0"/>
          <w:w w:val="100"/>
          <w:position w:val="0"/>
          <w:sz w:val="44"/>
          <w:szCs w:val="44"/>
          <w:u w:val="none" w:color="auto"/>
        </w:rPr>
        <w:t>概况</w:t>
      </w:r>
    </w:p>
    <w:p w14:paraId="270B1616">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p>
    <w:p w14:paraId="65908AD5">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一、部门主要职责</w:t>
      </w:r>
    </w:p>
    <w:p w14:paraId="0498469F">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spacing w:val="0"/>
          <w:w w:val="100"/>
          <w:position w:val="0"/>
          <w:sz w:val="32"/>
          <w:szCs w:val="32"/>
          <w:u w:val="none" w:color="auto"/>
          <w:lang w:val="en-US" w:eastAsia="zh-CN"/>
        </w:rPr>
      </w:pPr>
      <w:r>
        <w:rPr>
          <w:rFonts w:hint="eastAsia" w:ascii="Times New Roman" w:hAnsi="Times New Roman" w:eastAsia="仿宋_GB2312" w:cs="Times New Roman"/>
          <w:bCs/>
          <w:sz w:val="32"/>
          <w:szCs w:val="32"/>
          <w:highlight w:val="none"/>
          <w:u w:val="none"/>
        </w:rPr>
        <w:t>贯彻落实党和国家的教育方针政策、法律法规，根据上级批示精神，全面贯彻落实党和国家的教育方针政策、法律法规，根据上级指示精神，结合我校实际情况，全面实施</w:t>
      </w:r>
      <w:r>
        <w:rPr>
          <w:rFonts w:hint="eastAsia" w:ascii="Times New Roman" w:hAnsi="Times New Roman" w:eastAsia="仿宋_GB2312" w:cs="Times New Roman"/>
          <w:bCs/>
          <w:sz w:val="32"/>
          <w:szCs w:val="32"/>
          <w:highlight w:val="none"/>
          <w:u w:val="none"/>
          <w:lang w:val="en-US" w:eastAsia="zh-CN"/>
        </w:rPr>
        <w:t>初中</w:t>
      </w:r>
      <w:r>
        <w:rPr>
          <w:rFonts w:hint="eastAsia" w:ascii="Times New Roman" w:hAnsi="Times New Roman" w:eastAsia="仿宋_GB2312" w:cs="Times New Roman"/>
          <w:bCs/>
          <w:sz w:val="32"/>
          <w:szCs w:val="32"/>
          <w:highlight w:val="none"/>
          <w:u w:val="none"/>
        </w:rPr>
        <w:t>阶段义务教育，完成</w:t>
      </w:r>
      <w:r>
        <w:rPr>
          <w:rFonts w:hint="eastAsia" w:ascii="Times New Roman" w:hAnsi="Times New Roman" w:eastAsia="仿宋_GB2312" w:cs="Times New Roman"/>
          <w:bCs/>
          <w:sz w:val="32"/>
          <w:szCs w:val="32"/>
          <w:highlight w:val="none"/>
          <w:u w:val="none"/>
          <w:lang w:val="en-US" w:eastAsia="zh-CN"/>
        </w:rPr>
        <w:t>初中</w:t>
      </w:r>
      <w:r>
        <w:rPr>
          <w:rFonts w:hint="eastAsia" w:ascii="Times New Roman" w:hAnsi="Times New Roman" w:eastAsia="仿宋_GB2312" w:cs="Times New Roman"/>
          <w:bCs/>
          <w:sz w:val="32"/>
          <w:szCs w:val="32"/>
          <w:highlight w:val="none"/>
          <w:u w:val="none"/>
        </w:rPr>
        <w:t>段学历教育，培养全面发展的合格人才，努力办好人民满意的光谷教育。</w:t>
      </w:r>
    </w:p>
    <w:p w14:paraId="67374448">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二、机构设置情况</w:t>
      </w:r>
    </w:p>
    <w:p w14:paraId="5FBA0D79">
      <w:pPr>
        <w:pStyle w:val="7"/>
        <w:rPr>
          <w:rFonts w:hint="default" w:ascii="Times New Roman" w:hAnsi="Times New Roman" w:eastAsia="仿宋_GB2312" w:cs="Times New Roman"/>
          <w:b/>
          <w:bCs/>
          <w:spacing w:val="0"/>
          <w:w w:val="100"/>
          <w:position w:val="0"/>
          <w:sz w:val="32"/>
          <w:szCs w:val="32"/>
          <w:u w:val="none" w:color="auto"/>
          <w:lang w:eastAsia="zh-CN"/>
        </w:rPr>
      </w:pPr>
      <w:r>
        <w:rPr>
          <w:rFonts w:hint="default" w:ascii="Times New Roman" w:hAnsi="Times New Roman" w:eastAsia="仿宋_GB2312" w:cs="Times New Roman"/>
          <w:bCs/>
          <w:sz w:val="32"/>
          <w:szCs w:val="32"/>
          <w:highlight w:val="none"/>
          <w:u w:val="none"/>
        </w:rPr>
        <w:t>从单位构成看，</w:t>
      </w:r>
      <w:r>
        <w:rPr>
          <w:rFonts w:hint="eastAsia" w:ascii="Times New Roman" w:hAnsi="Times New Roman" w:eastAsia="仿宋_GB2312" w:cs="Times New Roman"/>
          <w:bCs/>
          <w:sz w:val="32"/>
          <w:szCs w:val="32"/>
          <w:highlight w:val="none"/>
          <w:u w:val="none"/>
          <w:lang w:eastAsia="zh-CN"/>
        </w:rPr>
        <w:t>武汉市光谷第四初级中学</w:t>
      </w:r>
      <w:r>
        <w:rPr>
          <w:rFonts w:hint="default" w:ascii="Times New Roman" w:hAnsi="Times New Roman" w:eastAsia="仿宋_GB2312" w:cs="Times New Roman"/>
          <w:bCs/>
          <w:sz w:val="32"/>
          <w:szCs w:val="32"/>
          <w:highlight w:val="none"/>
          <w:u w:val="none"/>
        </w:rPr>
        <w:t>部门决算由纳入独立核算的单位本级决算。</w:t>
      </w:r>
    </w:p>
    <w:p w14:paraId="27A3DC5F">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三、部门人员构成</w:t>
      </w:r>
    </w:p>
    <w:p w14:paraId="463C2DD3">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武汉市光谷第四初级中学核定的事业编制为2人。在职实有人数</w:t>
      </w:r>
      <w:r>
        <w:rPr>
          <w:rFonts w:hint="eastAsia" w:ascii="仿宋_GB2312" w:hAnsi="仿宋" w:eastAsia="仿宋_GB2312"/>
          <w:color w:val="auto"/>
          <w:sz w:val="32"/>
          <w:szCs w:val="32"/>
          <w:lang w:val="en-US" w:eastAsia="zh-CN"/>
        </w:rPr>
        <w:t>89</w:t>
      </w:r>
      <w:r>
        <w:rPr>
          <w:rFonts w:hint="eastAsia" w:ascii="仿宋_GB2312" w:hAnsi="仿宋" w:eastAsia="仿宋_GB2312"/>
          <w:color w:val="auto"/>
          <w:sz w:val="32"/>
          <w:szCs w:val="32"/>
        </w:rPr>
        <w:t>人，其中：事业编4人，聘用制</w:t>
      </w:r>
      <w:r>
        <w:rPr>
          <w:rFonts w:hint="eastAsia" w:ascii="仿宋_GB2312" w:hAnsi="仿宋" w:eastAsia="仿宋_GB2312"/>
          <w:color w:val="auto"/>
          <w:sz w:val="32"/>
          <w:szCs w:val="32"/>
          <w:lang w:val="en-US" w:eastAsia="zh-CN"/>
        </w:rPr>
        <w:t>85</w:t>
      </w:r>
      <w:r>
        <w:rPr>
          <w:rFonts w:hint="eastAsia" w:ascii="仿宋_GB2312" w:hAnsi="仿宋" w:eastAsia="仿宋_GB2312"/>
          <w:color w:val="auto"/>
          <w:sz w:val="32"/>
          <w:szCs w:val="32"/>
        </w:rPr>
        <w:t>人。变动情况及原因：聘用制增加</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人，聘用制离职</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人，其中：</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人为202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年新招聘人员。</w:t>
      </w:r>
    </w:p>
    <w:p w14:paraId="240FACE1">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eastAsia" w:ascii="Times New Roman" w:hAnsi="Times New Roman" w:eastAsia="仿宋_GB2312" w:cs="Times New Roman"/>
          <w:bCs/>
          <w:sz w:val="32"/>
          <w:szCs w:val="32"/>
          <w:highlight w:val="none"/>
          <w:u w:val="none"/>
        </w:rPr>
      </w:pPr>
      <w:r>
        <w:rPr>
          <w:rFonts w:hint="eastAsia" w:ascii="Times New Roman" w:hAnsi="Times New Roman" w:eastAsia="仿宋_GB2312" w:cs="Times New Roman"/>
          <w:bCs/>
          <w:sz w:val="32"/>
          <w:szCs w:val="32"/>
          <w:highlight w:val="none"/>
          <w:u w:val="none"/>
        </w:rPr>
        <w:t>离退休人员0人，其中：退休0人，退养0人。遗属人员0人。</w:t>
      </w:r>
    </w:p>
    <w:p w14:paraId="016DA378">
      <w:pPr>
        <w:rPr>
          <w:rFonts w:hint="default" w:ascii="Times New Roman" w:hAnsi="Times New Roman" w:eastAsia="仿宋_GB2312" w:cs="Times New Roman"/>
          <w:b/>
          <w:bCs/>
          <w:spacing w:val="0"/>
          <w:w w:val="100"/>
          <w:position w:val="0"/>
          <w:sz w:val="32"/>
          <w:szCs w:val="32"/>
          <w:u w:val="none" w:color="auto"/>
          <w:lang w:eastAsia="zh-CN"/>
        </w:rPr>
      </w:pPr>
    </w:p>
    <w:p w14:paraId="77B62CC7">
      <w:pPr>
        <w:pStyle w:val="7"/>
        <w:rPr>
          <w:rFonts w:hint="default" w:ascii="Times New Roman" w:hAnsi="Times New Roman" w:eastAsia="仿宋_GB2312" w:cs="Times New Roman"/>
          <w:b/>
          <w:bCs/>
          <w:spacing w:val="0"/>
          <w:w w:val="100"/>
          <w:position w:val="0"/>
          <w:sz w:val="32"/>
          <w:szCs w:val="32"/>
          <w:u w:val="none" w:color="auto"/>
          <w:lang w:eastAsia="zh-CN"/>
        </w:rPr>
      </w:pPr>
    </w:p>
    <w:p w14:paraId="53A0D26F">
      <w:pPr>
        <w:rPr>
          <w:rFonts w:hint="default" w:ascii="Times New Roman" w:hAnsi="Times New Roman" w:eastAsia="仿宋_GB2312" w:cs="Times New Roman"/>
          <w:b/>
          <w:bCs/>
          <w:spacing w:val="0"/>
          <w:w w:val="100"/>
          <w:position w:val="0"/>
          <w:sz w:val="32"/>
          <w:szCs w:val="32"/>
          <w:u w:val="none" w:color="auto"/>
          <w:lang w:eastAsia="zh-CN"/>
        </w:rPr>
      </w:pPr>
    </w:p>
    <w:p w14:paraId="0E2C50E1">
      <w:pPr>
        <w:pStyle w:val="7"/>
        <w:numPr>
          <w:ilvl w:val="0"/>
          <w:numId w:val="1"/>
        </w:numPr>
        <w:ind w:left="0" w:leftChars="0" w:firstLine="0" w:firstLineChars="0"/>
        <w:jc w:val="center"/>
        <w:rPr>
          <w:rFonts w:hint="default" w:ascii="Times New Roman" w:hAnsi="Times New Roman" w:eastAsia="方正小标宋_GBK" w:cs="Times New Roman"/>
          <w:spacing w:val="-3"/>
          <w:sz w:val="44"/>
          <w:szCs w:val="44"/>
          <w:u w:val="none" w:color="auto"/>
        </w:rPr>
      </w:pPr>
      <w:r>
        <w:rPr>
          <w:rFonts w:hint="default" w:ascii="Times New Roman" w:hAnsi="Times New Roman" w:eastAsia="方正小标宋_GBK" w:cs="Times New Roman"/>
          <w:spacing w:val="-3"/>
          <w:sz w:val="44"/>
          <w:szCs w:val="44"/>
          <w:u w:val="none" w:color="auto"/>
        </w:rPr>
        <w:t xml:space="preserve"> </w:t>
      </w:r>
      <w:r>
        <w:rPr>
          <w:rFonts w:hint="default" w:ascii="Times New Roman" w:hAnsi="Times New Roman" w:eastAsia="方正小标宋_GBK" w:cs="Times New Roman"/>
          <w:spacing w:val="-193"/>
          <w:sz w:val="44"/>
          <w:szCs w:val="44"/>
          <w:u w:val="none" w:color="auto"/>
        </w:rPr>
        <w:t xml:space="preserve"> </w:t>
      </w:r>
      <w:r>
        <w:rPr>
          <w:rFonts w:hint="eastAsia" w:ascii="Times New Roman" w:hAnsi="Times New Roman" w:eastAsia="方正小标宋_GBK" w:cs="Times New Roman"/>
          <w:spacing w:val="-3"/>
          <w:sz w:val="44"/>
          <w:szCs w:val="44"/>
          <w:u w:val="none" w:color="auto"/>
          <w:lang w:eastAsia="zh-CN"/>
        </w:rPr>
        <w:t>武汉市光谷第四初级中学</w:t>
      </w:r>
      <w:r>
        <w:rPr>
          <w:rFonts w:hint="default" w:ascii="Times New Roman" w:hAnsi="Times New Roman" w:eastAsia="方正小标宋_GBK" w:cs="Times New Roman"/>
          <w:spacing w:val="-103"/>
          <w:sz w:val="44"/>
          <w:szCs w:val="44"/>
          <w:u w:val="none" w:color="auto"/>
        </w:rPr>
        <w:t xml:space="preserve"> </w:t>
      </w:r>
      <w:r>
        <w:rPr>
          <w:rFonts w:hint="default" w:ascii="Times New Roman" w:hAnsi="Times New Roman" w:eastAsia="方正小标宋_GBK" w:cs="Times New Roman"/>
          <w:spacing w:val="-3"/>
          <w:sz w:val="44"/>
          <w:szCs w:val="44"/>
          <w:u w:val="none" w:color="auto"/>
        </w:rPr>
        <w:t>202</w:t>
      </w:r>
      <w:r>
        <w:rPr>
          <w:rFonts w:hint="eastAsia" w:ascii="Times New Roman" w:hAnsi="Times New Roman" w:eastAsia="方正小标宋_GBK" w:cs="Times New Roman"/>
          <w:spacing w:val="-3"/>
          <w:sz w:val="44"/>
          <w:szCs w:val="44"/>
          <w:u w:val="none" w:color="auto"/>
          <w:lang w:val="en-US" w:eastAsia="zh-CN"/>
        </w:rPr>
        <w:t>4</w:t>
      </w:r>
      <w:r>
        <w:rPr>
          <w:rFonts w:hint="default" w:ascii="Times New Roman" w:hAnsi="Times New Roman" w:eastAsia="方正小标宋_GBK" w:cs="Times New Roman"/>
          <w:spacing w:val="-96"/>
          <w:sz w:val="44"/>
          <w:szCs w:val="44"/>
          <w:u w:val="none" w:color="auto"/>
        </w:rPr>
        <w:t xml:space="preserve"> </w:t>
      </w:r>
      <w:r>
        <w:rPr>
          <w:rFonts w:hint="default" w:ascii="Times New Roman" w:hAnsi="Times New Roman" w:eastAsia="方正小标宋_GBK" w:cs="Times New Roman"/>
          <w:spacing w:val="-3"/>
          <w:sz w:val="44"/>
          <w:szCs w:val="44"/>
          <w:u w:val="none" w:color="auto"/>
        </w:rPr>
        <w:t>年度部门决算表</w:t>
      </w:r>
    </w:p>
    <w:p w14:paraId="785DA41C">
      <w:pPr>
        <w:rPr>
          <w:rFonts w:hint="default" w:ascii="Times New Roman" w:hAnsi="Times New Roman" w:cs="Times New Roman"/>
          <w:u w:val="none" w:color="auto"/>
        </w:rPr>
      </w:pPr>
    </w:p>
    <w:p w14:paraId="3F601C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年度收入支出决算总表</w:t>
      </w:r>
    </w:p>
    <w:p w14:paraId="291B4467">
      <w:pPr>
        <w:pStyle w:val="7"/>
        <w:jc w:val="right"/>
        <w:rPr>
          <w:rFonts w:hint="default" w:ascii="Times New Roman" w:hAnsi="Times New Roman" w:eastAsia="仿宋_GB2312" w:cs="Times New Roman"/>
          <w:bCs/>
          <w:snapToGrid w:val="0"/>
          <w:color w:val="000000"/>
          <w:spacing w:val="0"/>
          <w:w w:val="100"/>
          <w:kern w:val="0"/>
          <w:position w:val="0"/>
          <w:sz w:val="24"/>
          <w:szCs w:val="24"/>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4"/>
          <w:szCs w:val="24"/>
          <w:u w:val="none" w:color="auto"/>
          <w:lang w:val="en-US" w:eastAsia="zh-CN" w:bidi="ar-SA"/>
        </w:rPr>
        <w:t>公开01表</w:t>
      </w:r>
    </w:p>
    <w:p w14:paraId="248B58BA">
      <w:pPr>
        <w:jc w:val="left"/>
        <w:rPr>
          <w:rFonts w:hint="default" w:ascii="Times New Roman" w:hAnsi="Times New Roman" w:eastAsia="仿宋_GB2312" w:cs="Times New Roman"/>
          <w:bCs/>
          <w:snapToGrid w:val="0"/>
          <w:color w:val="000000"/>
          <w:spacing w:val="0"/>
          <w:w w:val="100"/>
          <w:kern w:val="0"/>
          <w:position w:val="0"/>
          <w:sz w:val="24"/>
          <w:szCs w:val="24"/>
          <w:u w:val="none" w:color="auto"/>
          <w:lang w:val="en-US" w:eastAsia="zh-CN" w:bidi="ar-SA"/>
        </w:rPr>
      </w:pPr>
      <w:r>
        <w:rPr>
          <w:rFonts w:hint="eastAsia" w:ascii="Times New Roman" w:hAnsi="Times New Roman" w:eastAsia="仿宋_GB2312" w:cs="Times New Roman"/>
          <w:bCs/>
          <w:snapToGrid w:val="0"/>
          <w:color w:val="000000"/>
          <w:spacing w:val="0"/>
          <w:w w:val="100"/>
          <w:kern w:val="0"/>
          <w:position w:val="0"/>
          <w:sz w:val="24"/>
          <w:szCs w:val="24"/>
          <w:u w:val="none" w:color="auto"/>
          <w:lang w:val="en-US" w:eastAsia="zh-CN" w:bidi="ar-SA"/>
        </w:rPr>
        <w:t>部门：武汉市光谷第四初级中学</w:t>
      </w:r>
      <w:r>
        <w:rPr>
          <w:rFonts w:hint="default" w:ascii="Times New Roman" w:hAnsi="Times New Roman" w:eastAsia="仿宋_GB2312" w:cs="Times New Roman"/>
          <w:bCs/>
          <w:snapToGrid w:val="0"/>
          <w:color w:val="000000"/>
          <w:spacing w:val="0"/>
          <w:w w:val="100"/>
          <w:kern w:val="0"/>
          <w:position w:val="0"/>
          <w:sz w:val="24"/>
          <w:szCs w:val="24"/>
          <w:u w:val="none" w:color="auto"/>
          <w:lang w:val="en-US" w:eastAsia="zh-CN" w:bidi="ar-SA"/>
        </w:rPr>
        <w:t xml:space="preserve">                      </w:t>
      </w:r>
      <w:r>
        <w:rPr>
          <w:rFonts w:hint="eastAsia" w:ascii="Times New Roman" w:hAnsi="Times New Roman" w:eastAsia="仿宋_GB2312" w:cs="Times New Roman"/>
          <w:bCs/>
          <w:snapToGrid w:val="0"/>
          <w:color w:val="000000"/>
          <w:spacing w:val="0"/>
          <w:w w:val="100"/>
          <w:kern w:val="0"/>
          <w:position w:val="0"/>
          <w:sz w:val="24"/>
          <w:szCs w:val="24"/>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4"/>
          <w:szCs w:val="24"/>
          <w:u w:val="none" w:color="auto"/>
          <w:lang w:val="en-US" w:eastAsia="zh-CN" w:bidi="ar-SA"/>
        </w:rPr>
        <w:t>金额单位：</w:t>
      </w:r>
      <w:r>
        <w:rPr>
          <w:rFonts w:hint="eastAsia" w:ascii="Times New Roman" w:hAnsi="Times New Roman" w:eastAsia="仿宋_GB2312" w:cs="Times New Roman"/>
          <w:bCs/>
          <w:snapToGrid w:val="0"/>
          <w:color w:val="000000"/>
          <w:spacing w:val="0"/>
          <w:w w:val="100"/>
          <w:kern w:val="0"/>
          <w:position w:val="0"/>
          <w:sz w:val="24"/>
          <w:szCs w:val="24"/>
          <w:u w:val="none" w:color="auto"/>
          <w:lang w:val="en-US" w:eastAsia="zh-CN" w:bidi="ar-SA"/>
        </w:rPr>
        <w:t>万</w:t>
      </w:r>
      <w:r>
        <w:rPr>
          <w:rFonts w:hint="default" w:ascii="Times New Roman" w:hAnsi="Times New Roman" w:eastAsia="仿宋_GB2312" w:cs="Times New Roman"/>
          <w:bCs/>
          <w:snapToGrid w:val="0"/>
          <w:color w:val="000000"/>
          <w:spacing w:val="0"/>
          <w:w w:val="100"/>
          <w:kern w:val="0"/>
          <w:position w:val="0"/>
          <w:sz w:val="24"/>
          <w:szCs w:val="24"/>
          <w:u w:val="none" w:color="auto"/>
          <w:lang w:val="en-US" w:eastAsia="zh-CN" w:bidi="ar-SA"/>
        </w:rPr>
        <w:t>元</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1"/>
        <w:gridCol w:w="540"/>
        <w:gridCol w:w="908"/>
        <w:gridCol w:w="3022"/>
        <w:gridCol w:w="562"/>
        <w:gridCol w:w="946"/>
      </w:tblGrid>
      <w:tr w14:paraId="4506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500"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56B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收入</w:t>
            </w:r>
          </w:p>
        </w:tc>
        <w:tc>
          <w:tcPr>
            <w:tcW w:w="2500"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A022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支出</w:t>
            </w:r>
          </w:p>
        </w:tc>
      </w:tr>
      <w:tr w14:paraId="5339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E59E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3D3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行次</w:t>
            </w:r>
          </w:p>
        </w:tc>
        <w:tc>
          <w:tcPr>
            <w:tcW w:w="4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C94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金额</w:t>
            </w: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E08A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748B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行次</w:t>
            </w:r>
          </w:p>
        </w:tc>
        <w:tc>
          <w:tcPr>
            <w:tcW w:w="5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75C8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金额</w:t>
            </w:r>
          </w:p>
        </w:tc>
      </w:tr>
      <w:tr w14:paraId="05D6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4A2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栏次</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F0F862">
            <w:pPr>
              <w:jc w:val="center"/>
              <w:rPr>
                <w:rFonts w:hint="eastAsia" w:ascii="宋体" w:hAnsi="宋体" w:eastAsia="宋体" w:cs="宋体"/>
                <w:i w:val="0"/>
                <w:iCs w:val="0"/>
                <w:color w:val="000000"/>
                <w:sz w:val="16"/>
                <w:szCs w:val="16"/>
                <w:u w:val="none"/>
              </w:rPr>
            </w:pPr>
          </w:p>
        </w:tc>
        <w:tc>
          <w:tcPr>
            <w:tcW w:w="4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7341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E3EA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栏次</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D3275">
            <w:pPr>
              <w:jc w:val="center"/>
              <w:rPr>
                <w:rFonts w:hint="eastAsia" w:ascii="宋体" w:hAnsi="宋体" w:eastAsia="宋体" w:cs="宋体"/>
                <w:i w:val="0"/>
                <w:iCs w:val="0"/>
                <w:color w:val="000000"/>
                <w:sz w:val="16"/>
                <w:szCs w:val="16"/>
                <w:u w:val="none"/>
              </w:rPr>
            </w:pPr>
          </w:p>
        </w:tc>
        <w:tc>
          <w:tcPr>
            <w:tcW w:w="5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5158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r>
      <w:tr w14:paraId="1A47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2F3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一、一般公共预算财政拨款收入</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3C22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FB11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1,996.63</w:t>
            </w: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33AF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一、一般公共服务支出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133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B8C09">
            <w:pPr>
              <w:jc w:val="right"/>
              <w:rPr>
                <w:rFonts w:hint="eastAsia" w:ascii="宋体" w:hAnsi="宋体" w:eastAsia="宋体" w:cs="宋体"/>
                <w:i w:val="0"/>
                <w:iCs w:val="0"/>
                <w:color w:val="000000"/>
                <w:sz w:val="16"/>
                <w:szCs w:val="16"/>
                <w:u w:val="none"/>
              </w:rPr>
            </w:pPr>
          </w:p>
        </w:tc>
      </w:tr>
      <w:tr w14:paraId="36E2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8B0C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二、政府性基金预算财政拨款收入</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8B3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0CF4A">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B29B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二、外交支出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7D53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8866E">
            <w:pPr>
              <w:jc w:val="right"/>
              <w:rPr>
                <w:rFonts w:hint="eastAsia" w:ascii="宋体" w:hAnsi="宋体" w:eastAsia="宋体" w:cs="宋体"/>
                <w:i w:val="0"/>
                <w:iCs w:val="0"/>
                <w:color w:val="000000"/>
                <w:sz w:val="16"/>
                <w:szCs w:val="16"/>
                <w:u w:val="none"/>
              </w:rPr>
            </w:pPr>
          </w:p>
        </w:tc>
      </w:tr>
      <w:tr w14:paraId="243A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02A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三、国有资本经营预算财政拨款收入</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5632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9BA67">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05F0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三、国防支出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C88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33</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DAC0B">
            <w:pPr>
              <w:jc w:val="right"/>
              <w:rPr>
                <w:rFonts w:hint="eastAsia" w:ascii="宋体" w:hAnsi="宋体" w:eastAsia="宋体" w:cs="宋体"/>
                <w:i w:val="0"/>
                <w:iCs w:val="0"/>
                <w:color w:val="000000"/>
                <w:sz w:val="16"/>
                <w:szCs w:val="16"/>
                <w:u w:val="none"/>
              </w:rPr>
            </w:pPr>
          </w:p>
        </w:tc>
      </w:tr>
      <w:tr w14:paraId="0904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8F40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四、上级补助收入</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F4B6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0AA8E">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B78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四、公共安全支出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06C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34</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8BBA9">
            <w:pPr>
              <w:jc w:val="right"/>
              <w:rPr>
                <w:rFonts w:hint="eastAsia" w:ascii="宋体" w:hAnsi="宋体" w:eastAsia="宋体" w:cs="宋体"/>
                <w:i w:val="0"/>
                <w:iCs w:val="0"/>
                <w:color w:val="000000"/>
                <w:sz w:val="16"/>
                <w:szCs w:val="16"/>
                <w:u w:val="none"/>
              </w:rPr>
            </w:pPr>
          </w:p>
        </w:tc>
      </w:tr>
      <w:tr w14:paraId="6BDB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E912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五、事业收入</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C3E6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A8DD4">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DF2E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五、教育支出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DDC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35</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04C9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1,960.72</w:t>
            </w:r>
          </w:p>
        </w:tc>
      </w:tr>
      <w:tr w14:paraId="02FA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C66C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六、经营收入</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040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8CC801">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5686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六、科学技术支出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2760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1BB4A">
            <w:pPr>
              <w:jc w:val="right"/>
              <w:rPr>
                <w:rFonts w:hint="eastAsia" w:ascii="宋体" w:hAnsi="宋体" w:eastAsia="宋体" w:cs="宋体"/>
                <w:i w:val="0"/>
                <w:iCs w:val="0"/>
                <w:color w:val="000000"/>
                <w:sz w:val="16"/>
                <w:szCs w:val="16"/>
                <w:u w:val="none"/>
              </w:rPr>
            </w:pPr>
          </w:p>
        </w:tc>
      </w:tr>
      <w:tr w14:paraId="5F39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63D1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七、附属单位上缴收入</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568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2A89C">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916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七、文化旅游体育与传媒支出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FBC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37</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CC29D8">
            <w:pPr>
              <w:jc w:val="right"/>
              <w:rPr>
                <w:rFonts w:hint="eastAsia" w:ascii="宋体" w:hAnsi="宋体" w:eastAsia="宋体" w:cs="宋体"/>
                <w:i w:val="0"/>
                <w:iCs w:val="0"/>
                <w:color w:val="000000"/>
                <w:sz w:val="16"/>
                <w:szCs w:val="16"/>
                <w:u w:val="none"/>
              </w:rPr>
            </w:pPr>
          </w:p>
        </w:tc>
      </w:tr>
      <w:tr w14:paraId="7DDC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2D0B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八、其他收入</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A090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A1B7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93.99</w:t>
            </w: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BF0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八、社会保障和就业支出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AAAE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38</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94C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130.17</w:t>
            </w:r>
          </w:p>
        </w:tc>
      </w:tr>
      <w:tr w14:paraId="0379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D29E0">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0CC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A7586">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BD6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九、卫生健康支出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B8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39</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0146A">
            <w:pPr>
              <w:jc w:val="right"/>
              <w:rPr>
                <w:rFonts w:hint="eastAsia" w:ascii="宋体" w:hAnsi="宋体" w:eastAsia="宋体" w:cs="宋体"/>
                <w:i w:val="0"/>
                <w:iCs w:val="0"/>
                <w:color w:val="000000"/>
                <w:sz w:val="16"/>
                <w:szCs w:val="16"/>
                <w:u w:val="none"/>
              </w:rPr>
            </w:pPr>
          </w:p>
        </w:tc>
      </w:tr>
      <w:tr w14:paraId="6A3C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8E4882">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F38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81C39">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C6E3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十、节能环保支出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0F4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22BB1">
            <w:pPr>
              <w:jc w:val="right"/>
              <w:rPr>
                <w:rFonts w:hint="eastAsia" w:ascii="宋体" w:hAnsi="宋体" w:eastAsia="宋体" w:cs="宋体"/>
                <w:i w:val="0"/>
                <w:iCs w:val="0"/>
                <w:color w:val="000000"/>
                <w:sz w:val="16"/>
                <w:szCs w:val="16"/>
                <w:u w:val="none"/>
              </w:rPr>
            </w:pPr>
          </w:p>
        </w:tc>
      </w:tr>
      <w:tr w14:paraId="49D7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B067D">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3C8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86884C">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7A01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十一、城乡社区支出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155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41</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21218">
            <w:pPr>
              <w:jc w:val="right"/>
              <w:rPr>
                <w:rFonts w:hint="eastAsia" w:ascii="宋体" w:hAnsi="宋体" w:eastAsia="宋体" w:cs="宋体"/>
                <w:i w:val="0"/>
                <w:iCs w:val="0"/>
                <w:color w:val="000000"/>
                <w:sz w:val="16"/>
                <w:szCs w:val="16"/>
                <w:u w:val="none"/>
              </w:rPr>
            </w:pPr>
          </w:p>
        </w:tc>
      </w:tr>
      <w:tr w14:paraId="5EED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7A578">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878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572C6">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29D6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十二、农林水支出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AB8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42</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C06D4">
            <w:pPr>
              <w:jc w:val="right"/>
              <w:rPr>
                <w:rFonts w:hint="eastAsia" w:ascii="宋体" w:hAnsi="宋体" w:eastAsia="宋体" w:cs="宋体"/>
                <w:i w:val="0"/>
                <w:iCs w:val="0"/>
                <w:color w:val="000000"/>
                <w:sz w:val="16"/>
                <w:szCs w:val="16"/>
                <w:u w:val="none"/>
              </w:rPr>
            </w:pPr>
          </w:p>
        </w:tc>
      </w:tr>
      <w:tr w14:paraId="07C4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E2F72E">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543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13</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06887">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AE44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十三、交通运输支出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CDF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43</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D1D01B">
            <w:pPr>
              <w:jc w:val="right"/>
              <w:rPr>
                <w:rFonts w:hint="eastAsia" w:ascii="宋体" w:hAnsi="宋体" w:eastAsia="宋体" w:cs="宋体"/>
                <w:i w:val="0"/>
                <w:iCs w:val="0"/>
                <w:color w:val="000000"/>
                <w:sz w:val="16"/>
                <w:szCs w:val="16"/>
                <w:u w:val="none"/>
              </w:rPr>
            </w:pPr>
          </w:p>
        </w:tc>
      </w:tr>
      <w:tr w14:paraId="66D2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D73991">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CEE6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61292">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BAFD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十四、资源勘探工业信息等支出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776E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44</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2C346">
            <w:pPr>
              <w:jc w:val="right"/>
              <w:rPr>
                <w:rFonts w:hint="eastAsia" w:ascii="宋体" w:hAnsi="宋体" w:eastAsia="宋体" w:cs="宋体"/>
                <w:i w:val="0"/>
                <w:iCs w:val="0"/>
                <w:color w:val="000000"/>
                <w:sz w:val="16"/>
                <w:szCs w:val="16"/>
                <w:u w:val="none"/>
              </w:rPr>
            </w:pPr>
          </w:p>
        </w:tc>
      </w:tr>
      <w:tr w14:paraId="4FB8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07948B">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884D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15</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D8F96">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955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十五、商业服务业等支出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CE6B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45</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6DA98">
            <w:pPr>
              <w:jc w:val="right"/>
              <w:rPr>
                <w:rFonts w:hint="eastAsia" w:ascii="宋体" w:hAnsi="宋体" w:eastAsia="宋体" w:cs="宋体"/>
                <w:i w:val="0"/>
                <w:iCs w:val="0"/>
                <w:color w:val="000000"/>
                <w:sz w:val="16"/>
                <w:szCs w:val="16"/>
                <w:u w:val="none"/>
              </w:rPr>
            </w:pPr>
          </w:p>
        </w:tc>
      </w:tr>
      <w:tr w14:paraId="40BC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FAE9F6">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EB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BF287">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65EE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十六、金融支出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4677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46</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8B746">
            <w:pPr>
              <w:jc w:val="right"/>
              <w:rPr>
                <w:rFonts w:hint="eastAsia" w:ascii="宋体" w:hAnsi="宋体" w:eastAsia="宋体" w:cs="宋体"/>
                <w:i w:val="0"/>
                <w:iCs w:val="0"/>
                <w:color w:val="000000"/>
                <w:sz w:val="16"/>
                <w:szCs w:val="16"/>
                <w:u w:val="none"/>
              </w:rPr>
            </w:pPr>
          </w:p>
        </w:tc>
      </w:tr>
      <w:tr w14:paraId="2155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9600D6">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695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4FE7D">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38CB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十七、援助其他地区支出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24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47</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78ECE">
            <w:pPr>
              <w:jc w:val="right"/>
              <w:rPr>
                <w:rFonts w:hint="eastAsia" w:ascii="宋体" w:hAnsi="宋体" w:eastAsia="宋体" w:cs="宋体"/>
                <w:i w:val="0"/>
                <w:iCs w:val="0"/>
                <w:color w:val="000000"/>
                <w:sz w:val="16"/>
                <w:szCs w:val="16"/>
                <w:u w:val="none"/>
              </w:rPr>
            </w:pPr>
          </w:p>
        </w:tc>
      </w:tr>
      <w:tr w14:paraId="3A0D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E05A55">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346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0EE58">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74C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十八、自然资源海洋气象等支出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DE61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48</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C047A">
            <w:pPr>
              <w:jc w:val="right"/>
              <w:rPr>
                <w:rFonts w:hint="eastAsia" w:ascii="宋体" w:hAnsi="宋体" w:eastAsia="宋体" w:cs="宋体"/>
                <w:i w:val="0"/>
                <w:iCs w:val="0"/>
                <w:color w:val="000000"/>
                <w:sz w:val="16"/>
                <w:szCs w:val="16"/>
                <w:u w:val="none"/>
              </w:rPr>
            </w:pPr>
          </w:p>
        </w:tc>
      </w:tr>
      <w:tr w14:paraId="1DD4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93E175">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3709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36959">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7D3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十九、住房保障支出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8B55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C860AD">
            <w:pPr>
              <w:jc w:val="right"/>
              <w:rPr>
                <w:rFonts w:hint="eastAsia" w:ascii="宋体" w:hAnsi="宋体" w:eastAsia="宋体" w:cs="宋体"/>
                <w:i w:val="0"/>
                <w:iCs w:val="0"/>
                <w:color w:val="000000"/>
                <w:sz w:val="16"/>
                <w:szCs w:val="16"/>
                <w:u w:val="none"/>
              </w:rPr>
            </w:pPr>
          </w:p>
        </w:tc>
      </w:tr>
      <w:tr w14:paraId="6EA7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4A69E2">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00B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0F754">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40B2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二十、粮油物资储备支出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C0A6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50</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0961F5">
            <w:pPr>
              <w:jc w:val="right"/>
              <w:rPr>
                <w:rFonts w:hint="eastAsia" w:ascii="宋体" w:hAnsi="宋体" w:eastAsia="宋体" w:cs="宋体"/>
                <w:i w:val="0"/>
                <w:iCs w:val="0"/>
                <w:color w:val="000000"/>
                <w:sz w:val="16"/>
                <w:szCs w:val="16"/>
                <w:u w:val="none"/>
              </w:rPr>
            </w:pPr>
          </w:p>
        </w:tc>
      </w:tr>
      <w:tr w14:paraId="6EE0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8F7C7E">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E85C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21</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46FB8">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1629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二十一、国有资本经营预算支出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67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51</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245CB">
            <w:pPr>
              <w:jc w:val="right"/>
              <w:rPr>
                <w:rFonts w:hint="eastAsia" w:ascii="宋体" w:hAnsi="宋体" w:eastAsia="宋体" w:cs="宋体"/>
                <w:i w:val="0"/>
                <w:iCs w:val="0"/>
                <w:color w:val="000000"/>
                <w:sz w:val="16"/>
                <w:szCs w:val="16"/>
                <w:u w:val="none"/>
              </w:rPr>
            </w:pPr>
          </w:p>
        </w:tc>
      </w:tr>
      <w:tr w14:paraId="3327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188028">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08A5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22</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5D413">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F461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二十二、灾害防治及应急管理支出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EAC8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52</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25AD3">
            <w:pPr>
              <w:jc w:val="right"/>
              <w:rPr>
                <w:rFonts w:hint="eastAsia" w:ascii="宋体" w:hAnsi="宋体" w:eastAsia="宋体" w:cs="宋体"/>
                <w:i w:val="0"/>
                <w:iCs w:val="0"/>
                <w:color w:val="000000"/>
                <w:sz w:val="16"/>
                <w:szCs w:val="16"/>
                <w:u w:val="none"/>
              </w:rPr>
            </w:pPr>
          </w:p>
        </w:tc>
      </w:tr>
      <w:tr w14:paraId="394E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DA2C3E">
            <w:pPr>
              <w:jc w:val="left"/>
              <w:rPr>
                <w:rFonts w:hint="eastAsia" w:ascii="宋体" w:hAnsi="宋体" w:eastAsia="宋体" w:cs="宋体"/>
                <w:i w:val="0"/>
                <w:iCs w:val="0"/>
                <w:color w:val="000000"/>
                <w:sz w:val="16"/>
                <w:szCs w:val="16"/>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DC9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23</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5C87D">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D84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二十三、其他支出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5517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53</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4FEE46">
            <w:pPr>
              <w:jc w:val="right"/>
              <w:rPr>
                <w:rFonts w:hint="eastAsia" w:ascii="宋体" w:hAnsi="宋体" w:eastAsia="宋体" w:cs="宋体"/>
                <w:i w:val="0"/>
                <w:iCs w:val="0"/>
                <w:color w:val="000000"/>
                <w:sz w:val="16"/>
                <w:szCs w:val="16"/>
                <w:u w:val="none"/>
              </w:rPr>
            </w:pPr>
          </w:p>
        </w:tc>
      </w:tr>
      <w:tr w14:paraId="6F74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75F0D">
            <w:pPr>
              <w:jc w:val="center"/>
              <w:rPr>
                <w:rFonts w:hint="eastAsia" w:ascii="宋体" w:hAnsi="宋体" w:eastAsia="宋体" w:cs="宋体"/>
                <w:b/>
                <w:bCs/>
                <w:i w:val="0"/>
                <w:iCs w:val="0"/>
                <w:color w:val="000000"/>
                <w:sz w:val="13"/>
                <w:szCs w:val="13"/>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864A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24</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67B12">
            <w:pPr>
              <w:jc w:val="right"/>
              <w:rPr>
                <w:rFonts w:hint="eastAsia" w:ascii="宋体" w:hAnsi="宋体" w:eastAsia="宋体" w:cs="宋体"/>
                <w:i w:val="0"/>
                <w:iCs w:val="0"/>
                <w:color w:val="000000"/>
                <w:sz w:val="13"/>
                <w:szCs w:val="13"/>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99B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二十四、债务还本支出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D98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54</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4A0C3">
            <w:pPr>
              <w:jc w:val="right"/>
              <w:rPr>
                <w:rFonts w:hint="eastAsia" w:ascii="宋体" w:hAnsi="宋体" w:eastAsia="宋体" w:cs="宋体"/>
                <w:i w:val="0"/>
                <w:iCs w:val="0"/>
                <w:color w:val="000000"/>
                <w:sz w:val="16"/>
                <w:szCs w:val="16"/>
                <w:u w:val="none"/>
              </w:rPr>
            </w:pPr>
          </w:p>
        </w:tc>
      </w:tr>
      <w:tr w14:paraId="4698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58F242">
            <w:pPr>
              <w:jc w:val="left"/>
              <w:rPr>
                <w:rFonts w:hint="eastAsia" w:ascii="宋体" w:hAnsi="宋体" w:eastAsia="宋体" w:cs="宋体"/>
                <w:i w:val="0"/>
                <w:iCs w:val="0"/>
                <w:color w:val="000000"/>
                <w:sz w:val="13"/>
                <w:szCs w:val="13"/>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24A3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25</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5616C">
            <w:pPr>
              <w:jc w:val="right"/>
              <w:rPr>
                <w:rFonts w:hint="eastAsia" w:ascii="宋体" w:hAnsi="宋体" w:eastAsia="宋体" w:cs="宋体"/>
                <w:i w:val="0"/>
                <w:iCs w:val="0"/>
                <w:color w:val="000000"/>
                <w:sz w:val="13"/>
                <w:szCs w:val="13"/>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DE60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二十五、债务付息支出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D4A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55</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4151F">
            <w:pPr>
              <w:jc w:val="right"/>
              <w:rPr>
                <w:rFonts w:hint="eastAsia" w:ascii="宋体" w:hAnsi="宋体" w:eastAsia="宋体" w:cs="宋体"/>
                <w:i w:val="0"/>
                <w:iCs w:val="0"/>
                <w:color w:val="000000"/>
                <w:sz w:val="16"/>
                <w:szCs w:val="16"/>
                <w:u w:val="none"/>
              </w:rPr>
            </w:pPr>
          </w:p>
        </w:tc>
      </w:tr>
      <w:tr w14:paraId="037D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0A196">
            <w:pPr>
              <w:jc w:val="left"/>
              <w:rPr>
                <w:rFonts w:hint="eastAsia" w:ascii="宋体" w:hAnsi="宋体" w:eastAsia="宋体" w:cs="宋体"/>
                <w:i w:val="0"/>
                <w:iCs w:val="0"/>
                <w:color w:val="000000"/>
                <w:sz w:val="13"/>
                <w:szCs w:val="13"/>
                <w:u w:val="none"/>
              </w:rPr>
            </w:pP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91168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26</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F21AC">
            <w:pPr>
              <w:jc w:val="right"/>
              <w:rPr>
                <w:rFonts w:hint="eastAsia" w:ascii="宋体" w:hAnsi="宋体" w:eastAsia="宋体" w:cs="宋体"/>
                <w:i w:val="0"/>
                <w:iCs w:val="0"/>
                <w:color w:val="000000"/>
                <w:sz w:val="13"/>
                <w:szCs w:val="13"/>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220B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二十六、抗疫特别国债安排的支出</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ED2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1F6C71">
            <w:pPr>
              <w:jc w:val="right"/>
              <w:rPr>
                <w:rFonts w:hint="eastAsia" w:ascii="宋体" w:hAnsi="宋体" w:eastAsia="宋体" w:cs="宋体"/>
                <w:i w:val="0"/>
                <w:iCs w:val="0"/>
                <w:color w:val="000000"/>
                <w:sz w:val="16"/>
                <w:szCs w:val="16"/>
                <w:u w:val="none"/>
              </w:rPr>
            </w:pPr>
          </w:p>
        </w:tc>
      </w:tr>
      <w:tr w14:paraId="4286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570D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本年收入合计</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66E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4899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2,090.62</w:t>
            </w: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720B7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本年支出合计</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DE3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57</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A38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2,090.89</w:t>
            </w:r>
          </w:p>
        </w:tc>
      </w:tr>
      <w:tr w14:paraId="01EA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8CAB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使用非财政拨款结余（含专用结余）</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030B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BD3DA1">
            <w:pPr>
              <w:jc w:val="right"/>
              <w:rPr>
                <w:rFonts w:hint="eastAsia" w:ascii="宋体" w:hAnsi="宋体" w:eastAsia="宋体" w:cs="宋体"/>
                <w:i w:val="0"/>
                <w:iCs w:val="0"/>
                <w:color w:val="000000"/>
                <w:sz w:val="16"/>
                <w:szCs w:val="16"/>
                <w:u w:val="none"/>
              </w:rPr>
            </w:pP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BCC9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结余分配</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B21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58</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A3C74">
            <w:pPr>
              <w:jc w:val="right"/>
              <w:rPr>
                <w:rFonts w:hint="eastAsia" w:ascii="宋体" w:hAnsi="宋体" w:eastAsia="宋体" w:cs="宋体"/>
                <w:i w:val="0"/>
                <w:iCs w:val="0"/>
                <w:color w:val="000000"/>
                <w:sz w:val="16"/>
                <w:szCs w:val="16"/>
                <w:u w:val="none"/>
              </w:rPr>
            </w:pPr>
          </w:p>
        </w:tc>
      </w:tr>
      <w:tr w14:paraId="1859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7056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年初结转和结余</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1BFB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29</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2328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0.27</w:t>
            </w: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CACB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年末结转和结余</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91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59</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12702">
            <w:pPr>
              <w:jc w:val="right"/>
              <w:rPr>
                <w:rFonts w:hint="eastAsia" w:ascii="宋体" w:hAnsi="宋体" w:eastAsia="宋体" w:cs="宋体"/>
                <w:i w:val="0"/>
                <w:iCs w:val="0"/>
                <w:color w:val="000000"/>
                <w:sz w:val="16"/>
                <w:szCs w:val="16"/>
                <w:u w:val="none"/>
              </w:rPr>
            </w:pPr>
          </w:p>
        </w:tc>
      </w:tr>
      <w:tr w14:paraId="7DF5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A83F1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总计</w:t>
            </w:r>
          </w:p>
        </w:tc>
        <w:tc>
          <w:tcPr>
            <w:tcW w:w="2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2C4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w:t>
            </w:r>
          </w:p>
        </w:tc>
        <w:tc>
          <w:tcPr>
            <w:tcW w:w="49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91B19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2,090.89</w:t>
            </w:r>
          </w:p>
        </w:tc>
        <w:tc>
          <w:tcPr>
            <w:tcW w:w="166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96E0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总计</w:t>
            </w:r>
          </w:p>
        </w:tc>
        <w:tc>
          <w:tcPr>
            <w:tcW w:w="3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9F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60</w:t>
            </w:r>
          </w:p>
        </w:tc>
        <w:tc>
          <w:tcPr>
            <w:tcW w:w="5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113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2,090.89</w:t>
            </w:r>
          </w:p>
        </w:tc>
      </w:tr>
    </w:tbl>
    <w:p w14:paraId="4F953137">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注：1.本表反映部门本年度的总收支和年末结转结余情况。     </w:t>
      </w:r>
    </w:p>
    <w:p w14:paraId="4D582481">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2.本套报表金额单位转换时可能存在尾数误差。   </w:t>
      </w:r>
    </w:p>
    <w:p w14:paraId="6747C799">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3CEBB2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年度收入决算表</w:t>
      </w:r>
    </w:p>
    <w:p w14:paraId="077282C3">
      <w:pPr>
        <w:pStyle w:val="7"/>
        <w:jc w:val="righ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公开02表</w:t>
      </w:r>
    </w:p>
    <w:p w14:paraId="263873A2">
      <w:pPr>
        <w:pStyle w:val="7"/>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部门：武汉市光谷第四初级中学</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9"/>
        <w:gridCol w:w="1865"/>
        <w:gridCol w:w="1035"/>
        <w:gridCol w:w="1035"/>
        <w:gridCol w:w="1036"/>
        <w:gridCol w:w="792"/>
        <w:gridCol w:w="792"/>
        <w:gridCol w:w="1279"/>
        <w:gridCol w:w="792"/>
      </w:tblGrid>
      <w:tr w14:paraId="4255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2"/>
            <w:shd w:val="clear" w:color="auto" w:fill="auto"/>
            <w:vAlign w:val="center"/>
          </w:tcPr>
          <w:p w14:paraId="6CE348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项目</w:t>
            </w:r>
          </w:p>
        </w:tc>
        <w:tc>
          <w:tcPr>
            <w:tcW w:w="1035" w:type="dxa"/>
            <w:vMerge w:val="restart"/>
            <w:shd w:val="clear" w:color="auto" w:fill="auto"/>
            <w:vAlign w:val="center"/>
          </w:tcPr>
          <w:p w14:paraId="5DF246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1035" w:type="dxa"/>
            <w:vMerge w:val="restart"/>
            <w:shd w:val="clear" w:color="auto" w:fill="auto"/>
            <w:vAlign w:val="center"/>
          </w:tcPr>
          <w:p w14:paraId="4C3DC2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财政拨款收入</w:t>
            </w:r>
          </w:p>
        </w:tc>
        <w:tc>
          <w:tcPr>
            <w:tcW w:w="1036" w:type="dxa"/>
            <w:vMerge w:val="restart"/>
            <w:shd w:val="clear" w:color="auto" w:fill="auto"/>
            <w:vAlign w:val="center"/>
          </w:tcPr>
          <w:p w14:paraId="510908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上级补助收入</w:t>
            </w:r>
          </w:p>
        </w:tc>
        <w:tc>
          <w:tcPr>
            <w:tcW w:w="792" w:type="dxa"/>
            <w:vMerge w:val="restart"/>
            <w:shd w:val="clear" w:color="auto" w:fill="auto"/>
            <w:vAlign w:val="center"/>
          </w:tcPr>
          <w:p w14:paraId="47641E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事业收入</w:t>
            </w:r>
          </w:p>
        </w:tc>
        <w:tc>
          <w:tcPr>
            <w:tcW w:w="792" w:type="dxa"/>
            <w:vMerge w:val="restart"/>
            <w:shd w:val="clear" w:color="auto" w:fill="auto"/>
            <w:vAlign w:val="center"/>
          </w:tcPr>
          <w:p w14:paraId="67A683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经营收入</w:t>
            </w:r>
          </w:p>
        </w:tc>
        <w:tc>
          <w:tcPr>
            <w:tcW w:w="1279" w:type="dxa"/>
            <w:vMerge w:val="restart"/>
            <w:shd w:val="clear" w:color="auto" w:fill="auto"/>
            <w:vAlign w:val="center"/>
          </w:tcPr>
          <w:p w14:paraId="037988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附属单位上缴收入</w:t>
            </w:r>
          </w:p>
        </w:tc>
        <w:tc>
          <w:tcPr>
            <w:tcW w:w="792" w:type="dxa"/>
            <w:vMerge w:val="restart"/>
            <w:shd w:val="clear" w:color="auto" w:fill="auto"/>
            <w:vAlign w:val="center"/>
          </w:tcPr>
          <w:p w14:paraId="190BF3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其他收入</w:t>
            </w:r>
          </w:p>
        </w:tc>
      </w:tr>
      <w:tr w14:paraId="0450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69" w:type="dxa"/>
            <w:vMerge w:val="restart"/>
            <w:shd w:val="clear" w:color="auto" w:fill="auto"/>
            <w:vAlign w:val="center"/>
          </w:tcPr>
          <w:p w14:paraId="3BE83C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865" w:type="dxa"/>
            <w:vMerge w:val="restart"/>
            <w:shd w:val="clear" w:color="auto" w:fill="auto"/>
            <w:vAlign w:val="center"/>
          </w:tcPr>
          <w:p w14:paraId="7ABBCB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035" w:type="dxa"/>
            <w:vMerge w:val="continue"/>
            <w:shd w:val="clear" w:color="auto" w:fill="auto"/>
            <w:vAlign w:val="center"/>
          </w:tcPr>
          <w:p w14:paraId="300017BF">
            <w:pPr>
              <w:jc w:val="center"/>
              <w:rPr>
                <w:rFonts w:hint="default" w:ascii="Times New Roman" w:hAnsi="Times New Roman" w:eastAsia="宋体" w:cs="Times New Roman"/>
                <w:i w:val="0"/>
                <w:iCs w:val="0"/>
                <w:color w:val="000000"/>
                <w:sz w:val="21"/>
                <w:szCs w:val="21"/>
                <w:u w:val="none" w:color="auto"/>
              </w:rPr>
            </w:pPr>
          </w:p>
        </w:tc>
        <w:tc>
          <w:tcPr>
            <w:tcW w:w="1035" w:type="dxa"/>
            <w:vMerge w:val="continue"/>
            <w:shd w:val="clear" w:color="auto" w:fill="auto"/>
            <w:vAlign w:val="center"/>
          </w:tcPr>
          <w:p w14:paraId="5568E342">
            <w:pPr>
              <w:jc w:val="center"/>
              <w:rPr>
                <w:rFonts w:hint="default" w:ascii="Times New Roman" w:hAnsi="Times New Roman" w:eastAsia="宋体" w:cs="Times New Roman"/>
                <w:i w:val="0"/>
                <w:iCs w:val="0"/>
                <w:color w:val="000000"/>
                <w:sz w:val="21"/>
                <w:szCs w:val="21"/>
                <w:u w:val="none" w:color="auto"/>
              </w:rPr>
            </w:pPr>
          </w:p>
        </w:tc>
        <w:tc>
          <w:tcPr>
            <w:tcW w:w="1036" w:type="dxa"/>
            <w:vMerge w:val="continue"/>
            <w:shd w:val="clear" w:color="auto" w:fill="auto"/>
            <w:vAlign w:val="center"/>
          </w:tcPr>
          <w:p w14:paraId="1F9EF810">
            <w:pPr>
              <w:jc w:val="center"/>
              <w:rPr>
                <w:rFonts w:hint="default" w:ascii="Times New Roman" w:hAnsi="Times New Roman" w:eastAsia="宋体" w:cs="Times New Roman"/>
                <w:i w:val="0"/>
                <w:iCs w:val="0"/>
                <w:color w:val="000000"/>
                <w:sz w:val="21"/>
                <w:szCs w:val="21"/>
                <w:u w:val="none" w:color="auto"/>
              </w:rPr>
            </w:pPr>
          </w:p>
        </w:tc>
        <w:tc>
          <w:tcPr>
            <w:tcW w:w="792" w:type="dxa"/>
            <w:vMerge w:val="continue"/>
            <w:shd w:val="clear" w:color="auto" w:fill="auto"/>
            <w:vAlign w:val="center"/>
          </w:tcPr>
          <w:p w14:paraId="5E86195C">
            <w:pPr>
              <w:jc w:val="center"/>
              <w:rPr>
                <w:rFonts w:hint="default" w:ascii="Times New Roman" w:hAnsi="Times New Roman" w:eastAsia="宋体" w:cs="Times New Roman"/>
                <w:i w:val="0"/>
                <w:iCs w:val="0"/>
                <w:color w:val="000000"/>
                <w:sz w:val="21"/>
                <w:szCs w:val="21"/>
                <w:u w:val="none" w:color="auto"/>
              </w:rPr>
            </w:pPr>
          </w:p>
        </w:tc>
        <w:tc>
          <w:tcPr>
            <w:tcW w:w="792" w:type="dxa"/>
            <w:vMerge w:val="continue"/>
            <w:shd w:val="clear" w:color="auto" w:fill="auto"/>
            <w:vAlign w:val="center"/>
          </w:tcPr>
          <w:p w14:paraId="05353458">
            <w:pPr>
              <w:jc w:val="center"/>
              <w:rPr>
                <w:rFonts w:hint="default" w:ascii="Times New Roman" w:hAnsi="Times New Roman" w:eastAsia="宋体" w:cs="Times New Roman"/>
                <w:i w:val="0"/>
                <w:iCs w:val="0"/>
                <w:color w:val="000000"/>
                <w:sz w:val="21"/>
                <w:szCs w:val="21"/>
                <w:u w:val="none" w:color="auto"/>
              </w:rPr>
            </w:pPr>
          </w:p>
        </w:tc>
        <w:tc>
          <w:tcPr>
            <w:tcW w:w="1279" w:type="dxa"/>
            <w:vMerge w:val="continue"/>
            <w:shd w:val="clear" w:color="auto" w:fill="auto"/>
            <w:vAlign w:val="center"/>
          </w:tcPr>
          <w:p w14:paraId="3F1156F4">
            <w:pPr>
              <w:jc w:val="center"/>
              <w:rPr>
                <w:rFonts w:hint="default" w:ascii="Times New Roman" w:hAnsi="Times New Roman" w:eastAsia="宋体" w:cs="Times New Roman"/>
                <w:i w:val="0"/>
                <w:iCs w:val="0"/>
                <w:color w:val="000000"/>
                <w:sz w:val="21"/>
                <w:szCs w:val="21"/>
                <w:u w:val="none" w:color="auto"/>
              </w:rPr>
            </w:pPr>
          </w:p>
        </w:tc>
        <w:tc>
          <w:tcPr>
            <w:tcW w:w="792" w:type="dxa"/>
            <w:vMerge w:val="continue"/>
            <w:shd w:val="clear" w:color="auto" w:fill="auto"/>
            <w:vAlign w:val="center"/>
          </w:tcPr>
          <w:p w14:paraId="58680584">
            <w:pPr>
              <w:jc w:val="center"/>
              <w:rPr>
                <w:rFonts w:hint="default" w:ascii="Times New Roman" w:hAnsi="Times New Roman" w:eastAsia="宋体" w:cs="Times New Roman"/>
                <w:i w:val="0"/>
                <w:iCs w:val="0"/>
                <w:color w:val="000000"/>
                <w:sz w:val="21"/>
                <w:szCs w:val="21"/>
                <w:u w:val="none" w:color="auto"/>
              </w:rPr>
            </w:pPr>
          </w:p>
        </w:tc>
      </w:tr>
      <w:tr w14:paraId="1A50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0" w:type="auto"/>
            <w:vMerge w:val="continue"/>
            <w:shd w:val="clear" w:color="auto" w:fill="auto"/>
            <w:vAlign w:val="center"/>
          </w:tcPr>
          <w:p w14:paraId="79280A58">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1F4141D8">
            <w:pPr>
              <w:jc w:val="center"/>
              <w:rPr>
                <w:rFonts w:hint="default" w:ascii="Times New Roman" w:hAnsi="Times New Roman" w:eastAsia="宋体" w:cs="Times New Roman"/>
                <w:i w:val="0"/>
                <w:iCs w:val="0"/>
                <w:color w:val="000000"/>
                <w:sz w:val="21"/>
                <w:szCs w:val="21"/>
                <w:u w:val="none" w:color="auto"/>
              </w:rPr>
            </w:pPr>
          </w:p>
        </w:tc>
        <w:tc>
          <w:tcPr>
            <w:tcW w:w="1035" w:type="dxa"/>
            <w:vMerge w:val="continue"/>
            <w:shd w:val="clear" w:color="auto" w:fill="auto"/>
            <w:vAlign w:val="center"/>
          </w:tcPr>
          <w:p w14:paraId="17ACE11C">
            <w:pPr>
              <w:jc w:val="center"/>
              <w:rPr>
                <w:rFonts w:hint="default" w:ascii="Times New Roman" w:hAnsi="Times New Roman" w:eastAsia="宋体" w:cs="Times New Roman"/>
                <w:i w:val="0"/>
                <w:iCs w:val="0"/>
                <w:color w:val="000000"/>
                <w:sz w:val="21"/>
                <w:szCs w:val="21"/>
                <w:u w:val="none" w:color="auto"/>
              </w:rPr>
            </w:pPr>
          </w:p>
        </w:tc>
        <w:tc>
          <w:tcPr>
            <w:tcW w:w="1035" w:type="dxa"/>
            <w:vMerge w:val="continue"/>
            <w:shd w:val="clear" w:color="auto" w:fill="auto"/>
            <w:vAlign w:val="center"/>
          </w:tcPr>
          <w:p w14:paraId="259A92A8">
            <w:pPr>
              <w:jc w:val="center"/>
              <w:rPr>
                <w:rFonts w:hint="default" w:ascii="Times New Roman" w:hAnsi="Times New Roman" w:eastAsia="宋体" w:cs="Times New Roman"/>
                <w:i w:val="0"/>
                <w:iCs w:val="0"/>
                <w:color w:val="000000"/>
                <w:sz w:val="21"/>
                <w:szCs w:val="21"/>
                <w:u w:val="none" w:color="auto"/>
              </w:rPr>
            </w:pPr>
          </w:p>
        </w:tc>
        <w:tc>
          <w:tcPr>
            <w:tcW w:w="1036" w:type="dxa"/>
            <w:vMerge w:val="continue"/>
            <w:shd w:val="clear" w:color="auto" w:fill="auto"/>
            <w:vAlign w:val="center"/>
          </w:tcPr>
          <w:p w14:paraId="355EEFD0">
            <w:pPr>
              <w:jc w:val="center"/>
              <w:rPr>
                <w:rFonts w:hint="default" w:ascii="Times New Roman" w:hAnsi="Times New Roman" w:eastAsia="宋体" w:cs="Times New Roman"/>
                <w:i w:val="0"/>
                <w:iCs w:val="0"/>
                <w:color w:val="000000"/>
                <w:sz w:val="21"/>
                <w:szCs w:val="21"/>
                <w:u w:val="none" w:color="auto"/>
              </w:rPr>
            </w:pPr>
          </w:p>
        </w:tc>
        <w:tc>
          <w:tcPr>
            <w:tcW w:w="792" w:type="dxa"/>
            <w:vMerge w:val="continue"/>
            <w:shd w:val="clear" w:color="auto" w:fill="auto"/>
            <w:vAlign w:val="center"/>
          </w:tcPr>
          <w:p w14:paraId="46E255F5">
            <w:pPr>
              <w:jc w:val="center"/>
              <w:rPr>
                <w:rFonts w:hint="default" w:ascii="Times New Roman" w:hAnsi="Times New Roman" w:eastAsia="宋体" w:cs="Times New Roman"/>
                <w:i w:val="0"/>
                <w:iCs w:val="0"/>
                <w:color w:val="000000"/>
                <w:sz w:val="21"/>
                <w:szCs w:val="21"/>
                <w:u w:val="none" w:color="auto"/>
              </w:rPr>
            </w:pPr>
          </w:p>
        </w:tc>
        <w:tc>
          <w:tcPr>
            <w:tcW w:w="792" w:type="dxa"/>
            <w:vMerge w:val="continue"/>
            <w:shd w:val="clear" w:color="auto" w:fill="auto"/>
            <w:vAlign w:val="center"/>
          </w:tcPr>
          <w:p w14:paraId="4E53ED11">
            <w:pPr>
              <w:jc w:val="center"/>
              <w:rPr>
                <w:rFonts w:hint="default" w:ascii="Times New Roman" w:hAnsi="Times New Roman" w:eastAsia="宋体" w:cs="Times New Roman"/>
                <w:i w:val="0"/>
                <w:iCs w:val="0"/>
                <w:color w:val="000000"/>
                <w:sz w:val="21"/>
                <w:szCs w:val="21"/>
                <w:u w:val="none" w:color="auto"/>
              </w:rPr>
            </w:pPr>
          </w:p>
        </w:tc>
        <w:tc>
          <w:tcPr>
            <w:tcW w:w="1279" w:type="dxa"/>
            <w:vMerge w:val="continue"/>
            <w:shd w:val="clear" w:color="auto" w:fill="auto"/>
            <w:vAlign w:val="center"/>
          </w:tcPr>
          <w:p w14:paraId="13BE08D4">
            <w:pPr>
              <w:jc w:val="center"/>
              <w:rPr>
                <w:rFonts w:hint="default" w:ascii="Times New Roman" w:hAnsi="Times New Roman" w:eastAsia="宋体" w:cs="Times New Roman"/>
                <w:i w:val="0"/>
                <w:iCs w:val="0"/>
                <w:color w:val="000000"/>
                <w:sz w:val="21"/>
                <w:szCs w:val="21"/>
                <w:u w:val="none" w:color="auto"/>
              </w:rPr>
            </w:pPr>
          </w:p>
        </w:tc>
        <w:tc>
          <w:tcPr>
            <w:tcW w:w="792" w:type="dxa"/>
            <w:vMerge w:val="continue"/>
            <w:shd w:val="clear" w:color="auto" w:fill="auto"/>
            <w:vAlign w:val="center"/>
          </w:tcPr>
          <w:p w14:paraId="074DCB80">
            <w:pPr>
              <w:jc w:val="center"/>
              <w:rPr>
                <w:rFonts w:hint="default" w:ascii="Times New Roman" w:hAnsi="Times New Roman" w:eastAsia="宋体" w:cs="Times New Roman"/>
                <w:i w:val="0"/>
                <w:iCs w:val="0"/>
                <w:color w:val="000000"/>
                <w:sz w:val="21"/>
                <w:szCs w:val="21"/>
                <w:u w:val="none" w:color="auto"/>
              </w:rPr>
            </w:pPr>
          </w:p>
        </w:tc>
      </w:tr>
      <w:tr w14:paraId="163D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vMerge w:val="continue"/>
            <w:shd w:val="clear" w:color="auto" w:fill="auto"/>
            <w:vAlign w:val="center"/>
          </w:tcPr>
          <w:p w14:paraId="150B8D72">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28E72051">
            <w:pPr>
              <w:jc w:val="center"/>
              <w:rPr>
                <w:rFonts w:hint="default" w:ascii="Times New Roman" w:hAnsi="Times New Roman" w:eastAsia="宋体" w:cs="Times New Roman"/>
                <w:i w:val="0"/>
                <w:iCs w:val="0"/>
                <w:color w:val="000000"/>
                <w:sz w:val="21"/>
                <w:szCs w:val="21"/>
                <w:u w:val="none" w:color="auto"/>
              </w:rPr>
            </w:pPr>
          </w:p>
        </w:tc>
        <w:tc>
          <w:tcPr>
            <w:tcW w:w="1035" w:type="dxa"/>
            <w:vMerge w:val="continue"/>
            <w:shd w:val="clear" w:color="auto" w:fill="auto"/>
            <w:vAlign w:val="center"/>
          </w:tcPr>
          <w:p w14:paraId="352EC4C2">
            <w:pPr>
              <w:jc w:val="center"/>
              <w:rPr>
                <w:rFonts w:hint="default" w:ascii="Times New Roman" w:hAnsi="Times New Roman" w:eastAsia="宋体" w:cs="Times New Roman"/>
                <w:i w:val="0"/>
                <w:iCs w:val="0"/>
                <w:color w:val="000000"/>
                <w:sz w:val="21"/>
                <w:szCs w:val="21"/>
                <w:u w:val="none" w:color="auto"/>
              </w:rPr>
            </w:pPr>
          </w:p>
        </w:tc>
        <w:tc>
          <w:tcPr>
            <w:tcW w:w="1035" w:type="dxa"/>
            <w:vMerge w:val="continue"/>
            <w:shd w:val="clear" w:color="auto" w:fill="auto"/>
            <w:vAlign w:val="center"/>
          </w:tcPr>
          <w:p w14:paraId="7B57FC77">
            <w:pPr>
              <w:jc w:val="center"/>
              <w:rPr>
                <w:rFonts w:hint="default" w:ascii="Times New Roman" w:hAnsi="Times New Roman" w:eastAsia="宋体" w:cs="Times New Roman"/>
                <w:i w:val="0"/>
                <w:iCs w:val="0"/>
                <w:color w:val="000000"/>
                <w:sz w:val="21"/>
                <w:szCs w:val="21"/>
                <w:u w:val="none" w:color="auto"/>
              </w:rPr>
            </w:pPr>
          </w:p>
        </w:tc>
        <w:tc>
          <w:tcPr>
            <w:tcW w:w="1036" w:type="dxa"/>
            <w:vMerge w:val="continue"/>
            <w:shd w:val="clear" w:color="auto" w:fill="auto"/>
            <w:vAlign w:val="center"/>
          </w:tcPr>
          <w:p w14:paraId="0C9537C1">
            <w:pPr>
              <w:jc w:val="center"/>
              <w:rPr>
                <w:rFonts w:hint="default" w:ascii="Times New Roman" w:hAnsi="Times New Roman" w:eastAsia="宋体" w:cs="Times New Roman"/>
                <w:i w:val="0"/>
                <w:iCs w:val="0"/>
                <w:color w:val="000000"/>
                <w:sz w:val="21"/>
                <w:szCs w:val="21"/>
                <w:u w:val="none" w:color="auto"/>
              </w:rPr>
            </w:pPr>
          </w:p>
        </w:tc>
        <w:tc>
          <w:tcPr>
            <w:tcW w:w="792" w:type="dxa"/>
            <w:vMerge w:val="continue"/>
            <w:shd w:val="clear" w:color="auto" w:fill="auto"/>
            <w:vAlign w:val="center"/>
          </w:tcPr>
          <w:p w14:paraId="4D4F73B3">
            <w:pPr>
              <w:jc w:val="center"/>
              <w:rPr>
                <w:rFonts w:hint="default" w:ascii="Times New Roman" w:hAnsi="Times New Roman" w:eastAsia="宋体" w:cs="Times New Roman"/>
                <w:i w:val="0"/>
                <w:iCs w:val="0"/>
                <w:color w:val="000000"/>
                <w:sz w:val="21"/>
                <w:szCs w:val="21"/>
                <w:u w:val="none" w:color="auto"/>
              </w:rPr>
            </w:pPr>
          </w:p>
        </w:tc>
        <w:tc>
          <w:tcPr>
            <w:tcW w:w="792" w:type="dxa"/>
            <w:vMerge w:val="continue"/>
            <w:shd w:val="clear" w:color="auto" w:fill="auto"/>
            <w:vAlign w:val="center"/>
          </w:tcPr>
          <w:p w14:paraId="03E63B04">
            <w:pPr>
              <w:jc w:val="center"/>
              <w:rPr>
                <w:rFonts w:hint="default" w:ascii="Times New Roman" w:hAnsi="Times New Roman" w:eastAsia="宋体" w:cs="Times New Roman"/>
                <w:i w:val="0"/>
                <w:iCs w:val="0"/>
                <w:color w:val="000000"/>
                <w:sz w:val="21"/>
                <w:szCs w:val="21"/>
                <w:u w:val="none" w:color="auto"/>
              </w:rPr>
            </w:pPr>
          </w:p>
        </w:tc>
        <w:tc>
          <w:tcPr>
            <w:tcW w:w="1279" w:type="dxa"/>
            <w:vMerge w:val="continue"/>
            <w:shd w:val="clear" w:color="auto" w:fill="auto"/>
            <w:vAlign w:val="center"/>
          </w:tcPr>
          <w:p w14:paraId="0E34E3A7">
            <w:pPr>
              <w:jc w:val="center"/>
              <w:rPr>
                <w:rFonts w:hint="default" w:ascii="Times New Roman" w:hAnsi="Times New Roman" w:eastAsia="宋体" w:cs="Times New Roman"/>
                <w:i w:val="0"/>
                <w:iCs w:val="0"/>
                <w:color w:val="000000"/>
                <w:sz w:val="21"/>
                <w:szCs w:val="21"/>
                <w:u w:val="none" w:color="auto"/>
              </w:rPr>
            </w:pPr>
          </w:p>
        </w:tc>
        <w:tc>
          <w:tcPr>
            <w:tcW w:w="792" w:type="dxa"/>
            <w:vMerge w:val="continue"/>
            <w:shd w:val="clear" w:color="auto" w:fill="auto"/>
            <w:vAlign w:val="center"/>
          </w:tcPr>
          <w:p w14:paraId="46972728">
            <w:pPr>
              <w:jc w:val="center"/>
              <w:rPr>
                <w:rFonts w:hint="default" w:ascii="Times New Roman" w:hAnsi="Times New Roman" w:eastAsia="宋体" w:cs="Times New Roman"/>
                <w:i w:val="0"/>
                <w:iCs w:val="0"/>
                <w:color w:val="000000"/>
                <w:sz w:val="21"/>
                <w:szCs w:val="21"/>
                <w:u w:val="none" w:color="auto"/>
              </w:rPr>
            </w:pPr>
          </w:p>
        </w:tc>
      </w:tr>
      <w:tr w14:paraId="07CD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34" w:type="dxa"/>
            <w:gridSpan w:val="2"/>
            <w:shd w:val="clear" w:color="auto" w:fill="auto"/>
            <w:vAlign w:val="center"/>
          </w:tcPr>
          <w:p w14:paraId="7FC360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栏次</w:t>
            </w:r>
          </w:p>
        </w:tc>
        <w:tc>
          <w:tcPr>
            <w:tcW w:w="1035" w:type="dxa"/>
            <w:shd w:val="clear" w:color="auto" w:fill="auto"/>
            <w:vAlign w:val="center"/>
          </w:tcPr>
          <w:p w14:paraId="39A05E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w:t>
            </w:r>
          </w:p>
        </w:tc>
        <w:tc>
          <w:tcPr>
            <w:tcW w:w="1035" w:type="dxa"/>
            <w:shd w:val="clear" w:color="auto" w:fill="auto"/>
            <w:vAlign w:val="center"/>
          </w:tcPr>
          <w:p w14:paraId="720E7D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w:t>
            </w:r>
          </w:p>
        </w:tc>
        <w:tc>
          <w:tcPr>
            <w:tcW w:w="1036" w:type="dxa"/>
            <w:shd w:val="clear" w:color="auto" w:fill="auto"/>
            <w:vAlign w:val="center"/>
          </w:tcPr>
          <w:p w14:paraId="03013F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3</w:t>
            </w:r>
          </w:p>
        </w:tc>
        <w:tc>
          <w:tcPr>
            <w:tcW w:w="792" w:type="dxa"/>
            <w:shd w:val="clear" w:color="auto" w:fill="auto"/>
            <w:vAlign w:val="center"/>
          </w:tcPr>
          <w:p w14:paraId="0B6C4C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4</w:t>
            </w:r>
          </w:p>
        </w:tc>
        <w:tc>
          <w:tcPr>
            <w:tcW w:w="792" w:type="dxa"/>
            <w:shd w:val="clear" w:color="auto" w:fill="auto"/>
            <w:vAlign w:val="center"/>
          </w:tcPr>
          <w:p w14:paraId="14B007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5</w:t>
            </w:r>
          </w:p>
        </w:tc>
        <w:tc>
          <w:tcPr>
            <w:tcW w:w="1279" w:type="dxa"/>
            <w:shd w:val="clear" w:color="auto" w:fill="auto"/>
            <w:vAlign w:val="center"/>
          </w:tcPr>
          <w:p w14:paraId="695C69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6</w:t>
            </w:r>
          </w:p>
        </w:tc>
        <w:tc>
          <w:tcPr>
            <w:tcW w:w="792" w:type="dxa"/>
            <w:shd w:val="clear" w:color="auto" w:fill="auto"/>
            <w:vAlign w:val="center"/>
          </w:tcPr>
          <w:p w14:paraId="599930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7</w:t>
            </w:r>
          </w:p>
        </w:tc>
      </w:tr>
      <w:tr w14:paraId="60D5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334" w:type="dxa"/>
            <w:gridSpan w:val="2"/>
            <w:shd w:val="clear" w:color="auto" w:fill="auto"/>
            <w:vAlign w:val="center"/>
          </w:tcPr>
          <w:p w14:paraId="56A988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合计</w:t>
            </w:r>
          </w:p>
        </w:tc>
        <w:tc>
          <w:tcPr>
            <w:tcW w:w="1035" w:type="dxa"/>
            <w:shd w:val="clear" w:color="auto" w:fill="auto"/>
            <w:vAlign w:val="center"/>
          </w:tcPr>
          <w:p w14:paraId="2D9EE48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b/>
                <w:bCs/>
                <w:i w:val="0"/>
                <w:iCs w:val="0"/>
                <w:snapToGrid w:val="0"/>
                <w:color w:val="000000"/>
                <w:kern w:val="0"/>
                <w:sz w:val="22"/>
                <w:szCs w:val="22"/>
                <w:u w:val="none"/>
                <w:lang w:val="en-US" w:eastAsia="zh-CN" w:bidi="ar"/>
              </w:rPr>
              <w:t>2,090.62</w:t>
            </w:r>
          </w:p>
        </w:tc>
        <w:tc>
          <w:tcPr>
            <w:tcW w:w="1035" w:type="dxa"/>
            <w:shd w:val="clear" w:color="auto" w:fill="auto"/>
            <w:vAlign w:val="center"/>
          </w:tcPr>
          <w:p w14:paraId="6AE0416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b/>
                <w:bCs/>
                <w:i w:val="0"/>
                <w:iCs w:val="0"/>
                <w:snapToGrid w:val="0"/>
                <w:color w:val="000000"/>
                <w:kern w:val="0"/>
                <w:sz w:val="22"/>
                <w:szCs w:val="22"/>
                <w:u w:val="none"/>
                <w:lang w:val="en-US" w:eastAsia="zh-CN" w:bidi="ar"/>
              </w:rPr>
              <w:t>1,996.63</w:t>
            </w:r>
          </w:p>
        </w:tc>
        <w:tc>
          <w:tcPr>
            <w:tcW w:w="1036" w:type="dxa"/>
            <w:shd w:val="clear" w:color="auto" w:fill="auto"/>
            <w:vAlign w:val="center"/>
          </w:tcPr>
          <w:p w14:paraId="62C9B1FC">
            <w:pPr>
              <w:jc w:val="right"/>
              <w:rPr>
                <w:rFonts w:hint="default" w:ascii="Times New Roman" w:hAnsi="Times New Roman" w:eastAsia="宋体" w:cs="Times New Roman"/>
                <w:b/>
                <w:bCs/>
                <w:i w:val="0"/>
                <w:iCs w:val="0"/>
                <w:color w:val="000000"/>
                <w:sz w:val="21"/>
                <w:szCs w:val="21"/>
                <w:u w:val="none" w:color="auto"/>
              </w:rPr>
            </w:pPr>
          </w:p>
        </w:tc>
        <w:tc>
          <w:tcPr>
            <w:tcW w:w="792" w:type="dxa"/>
            <w:shd w:val="clear" w:color="auto" w:fill="auto"/>
            <w:vAlign w:val="center"/>
          </w:tcPr>
          <w:p w14:paraId="147F06D4">
            <w:pPr>
              <w:jc w:val="right"/>
              <w:rPr>
                <w:rFonts w:hint="default" w:ascii="Times New Roman" w:hAnsi="Times New Roman" w:eastAsia="宋体" w:cs="Times New Roman"/>
                <w:b/>
                <w:bCs/>
                <w:i w:val="0"/>
                <w:iCs w:val="0"/>
                <w:color w:val="000000"/>
                <w:sz w:val="21"/>
                <w:szCs w:val="21"/>
                <w:u w:val="none" w:color="auto"/>
              </w:rPr>
            </w:pPr>
          </w:p>
        </w:tc>
        <w:tc>
          <w:tcPr>
            <w:tcW w:w="792" w:type="dxa"/>
            <w:shd w:val="clear" w:color="auto" w:fill="auto"/>
            <w:vAlign w:val="center"/>
          </w:tcPr>
          <w:p w14:paraId="21928E48">
            <w:pPr>
              <w:jc w:val="right"/>
              <w:rPr>
                <w:rFonts w:hint="default" w:ascii="Times New Roman" w:hAnsi="Times New Roman" w:eastAsia="宋体" w:cs="Times New Roman"/>
                <w:b/>
                <w:bCs/>
                <w:i w:val="0"/>
                <w:iCs w:val="0"/>
                <w:color w:val="000000"/>
                <w:sz w:val="21"/>
                <w:szCs w:val="21"/>
                <w:u w:val="none" w:color="auto"/>
              </w:rPr>
            </w:pPr>
          </w:p>
        </w:tc>
        <w:tc>
          <w:tcPr>
            <w:tcW w:w="1279" w:type="dxa"/>
            <w:shd w:val="clear" w:color="auto" w:fill="auto"/>
            <w:vAlign w:val="center"/>
          </w:tcPr>
          <w:p w14:paraId="207BAB97">
            <w:pPr>
              <w:jc w:val="right"/>
              <w:rPr>
                <w:rFonts w:hint="default" w:ascii="Times New Roman" w:hAnsi="Times New Roman" w:eastAsia="宋体" w:cs="Times New Roman"/>
                <w:b/>
                <w:bCs/>
                <w:i w:val="0"/>
                <w:iCs w:val="0"/>
                <w:color w:val="000000"/>
                <w:sz w:val="21"/>
                <w:szCs w:val="21"/>
                <w:u w:val="none" w:color="auto"/>
              </w:rPr>
            </w:pPr>
          </w:p>
        </w:tc>
        <w:tc>
          <w:tcPr>
            <w:tcW w:w="792" w:type="dxa"/>
            <w:shd w:val="clear" w:color="auto" w:fill="auto"/>
            <w:vAlign w:val="center"/>
          </w:tcPr>
          <w:p w14:paraId="5CFEFC0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b/>
                <w:bCs/>
                <w:i w:val="0"/>
                <w:iCs w:val="0"/>
                <w:snapToGrid w:val="0"/>
                <w:color w:val="000000"/>
                <w:kern w:val="0"/>
                <w:sz w:val="22"/>
                <w:szCs w:val="22"/>
                <w:u w:val="none"/>
                <w:lang w:val="en-US" w:eastAsia="zh-CN" w:bidi="ar"/>
              </w:rPr>
              <w:t>93.99</w:t>
            </w:r>
          </w:p>
        </w:tc>
      </w:tr>
      <w:tr w14:paraId="0315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9" w:type="dxa"/>
            <w:shd w:val="clear" w:color="auto" w:fill="auto"/>
            <w:vAlign w:val="center"/>
          </w:tcPr>
          <w:p w14:paraId="1EEFC20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2050203</w:t>
            </w:r>
          </w:p>
        </w:tc>
        <w:tc>
          <w:tcPr>
            <w:tcW w:w="1865" w:type="dxa"/>
            <w:shd w:val="clear" w:color="auto" w:fill="auto"/>
            <w:vAlign w:val="center"/>
          </w:tcPr>
          <w:p w14:paraId="2299217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1035" w:type="dxa"/>
            <w:shd w:val="clear" w:color="auto" w:fill="auto"/>
            <w:vAlign w:val="center"/>
          </w:tcPr>
          <w:p w14:paraId="230EE6A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1,960.45</w:t>
            </w:r>
          </w:p>
        </w:tc>
        <w:tc>
          <w:tcPr>
            <w:tcW w:w="1035" w:type="dxa"/>
            <w:shd w:val="clear" w:color="auto" w:fill="auto"/>
            <w:vAlign w:val="center"/>
          </w:tcPr>
          <w:p w14:paraId="7543448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1,866.46</w:t>
            </w:r>
          </w:p>
        </w:tc>
        <w:tc>
          <w:tcPr>
            <w:tcW w:w="1036" w:type="dxa"/>
            <w:shd w:val="clear" w:color="auto" w:fill="auto"/>
            <w:vAlign w:val="center"/>
          </w:tcPr>
          <w:p w14:paraId="41D81BB7">
            <w:pPr>
              <w:jc w:val="right"/>
              <w:rPr>
                <w:rFonts w:hint="default" w:ascii="Times New Roman" w:hAnsi="Times New Roman" w:eastAsia="宋体" w:cs="Times New Roman"/>
                <w:b/>
                <w:bCs/>
                <w:i w:val="0"/>
                <w:iCs w:val="0"/>
                <w:color w:val="000000"/>
                <w:sz w:val="21"/>
                <w:szCs w:val="21"/>
                <w:u w:val="none" w:color="auto"/>
              </w:rPr>
            </w:pPr>
          </w:p>
        </w:tc>
        <w:tc>
          <w:tcPr>
            <w:tcW w:w="792" w:type="dxa"/>
            <w:shd w:val="clear" w:color="auto" w:fill="auto"/>
            <w:vAlign w:val="center"/>
          </w:tcPr>
          <w:p w14:paraId="24D2206A">
            <w:pPr>
              <w:jc w:val="right"/>
              <w:rPr>
                <w:rFonts w:hint="default" w:ascii="Times New Roman" w:hAnsi="Times New Roman" w:eastAsia="宋体" w:cs="Times New Roman"/>
                <w:b/>
                <w:bCs/>
                <w:i w:val="0"/>
                <w:iCs w:val="0"/>
                <w:color w:val="000000"/>
                <w:sz w:val="21"/>
                <w:szCs w:val="21"/>
                <w:u w:val="none" w:color="auto"/>
              </w:rPr>
            </w:pPr>
          </w:p>
        </w:tc>
        <w:tc>
          <w:tcPr>
            <w:tcW w:w="792" w:type="dxa"/>
            <w:shd w:val="clear" w:color="auto" w:fill="auto"/>
            <w:vAlign w:val="center"/>
          </w:tcPr>
          <w:p w14:paraId="71D8F091">
            <w:pPr>
              <w:jc w:val="right"/>
              <w:rPr>
                <w:rFonts w:hint="default" w:ascii="Times New Roman" w:hAnsi="Times New Roman" w:eastAsia="宋体" w:cs="Times New Roman"/>
                <w:b/>
                <w:bCs/>
                <w:i w:val="0"/>
                <w:iCs w:val="0"/>
                <w:color w:val="000000"/>
                <w:sz w:val="21"/>
                <w:szCs w:val="21"/>
                <w:u w:val="none" w:color="auto"/>
              </w:rPr>
            </w:pPr>
          </w:p>
        </w:tc>
        <w:tc>
          <w:tcPr>
            <w:tcW w:w="1279" w:type="dxa"/>
            <w:shd w:val="clear" w:color="auto" w:fill="auto"/>
            <w:vAlign w:val="center"/>
          </w:tcPr>
          <w:p w14:paraId="1F6A1258">
            <w:pPr>
              <w:jc w:val="right"/>
              <w:rPr>
                <w:rFonts w:hint="default" w:ascii="Times New Roman" w:hAnsi="Times New Roman" w:eastAsia="宋体" w:cs="Times New Roman"/>
                <w:b/>
                <w:bCs/>
                <w:i w:val="0"/>
                <w:iCs w:val="0"/>
                <w:color w:val="000000"/>
                <w:sz w:val="21"/>
                <w:szCs w:val="21"/>
                <w:u w:val="none" w:color="auto"/>
              </w:rPr>
            </w:pPr>
          </w:p>
        </w:tc>
        <w:tc>
          <w:tcPr>
            <w:tcW w:w="792" w:type="dxa"/>
            <w:shd w:val="clear" w:color="auto" w:fill="auto"/>
            <w:vAlign w:val="center"/>
          </w:tcPr>
          <w:p w14:paraId="476A989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93.99</w:t>
            </w:r>
          </w:p>
        </w:tc>
      </w:tr>
      <w:tr w14:paraId="5AA8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9" w:type="dxa"/>
            <w:shd w:val="clear" w:color="auto" w:fill="auto"/>
            <w:vAlign w:val="center"/>
          </w:tcPr>
          <w:p w14:paraId="230B830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2080505</w:t>
            </w:r>
          </w:p>
        </w:tc>
        <w:tc>
          <w:tcPr>
            <w:tcW w:w="1865" w:type="dxa"/>
            <w:shd w:val="clear" w:color="auto" w:fill="auto"/>
            <w:vAlign w:val="center"/>
          </w:tcPr>
          <w:p w14:paraId="0FB7B83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035" w:type="dxa"/>
            <w:shd w:val="clear" w:color="auto" w:fill="auto"/>
            <w:vAlign w:val="center"/>
          </w:tcPr>
          <w:p w14:paraId="039F6DF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100.43</w:t>
            </w:r>
          </w:p>
        </w:tc>
        <w:tc>
          <w:tcPr>
            <w:tcW w:w="1035" w:type="dxa"/>
            <w:shd w:val="clear" w:color="auto" w:fill="auto"/>
            <w:vAlign w:val="center"/>
          </w:tcPr>
          <w:p w14:paraId="5A4CFA4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100.43</w:t>
            </w:r>
          </w:p>
        </w:tc>
        <w:tc>
          <w:tcPr>
            <w:tcW w:w="1036" w:type="dxa"/>
            <w:shd w:val="clear" w:color="auto" w:fill="auto"/>
            <w:vAlign w:val="center"/>
          </w:tcPr>
          <w:p w14:paraId="497F979F">
            <w:pPr>
              <w:jc w:val="right"/>
              <w:rPr>
                <w:rFonts w:hint="default" w:ascii="Times New Roman" w:hAnsi="Times New Roman" w:eastAsia="宋体" w:cs="Times New Roman"/>
                <w:b/>
                <w:bCs/>
                <w:i w:val="0"/>
                <w:iCs w:val="0"/>
                <w:color w:val="000000"/>
                <w:sz w:val="21"/>
                <w:szCs w:val="21"/>
                <w:u w:val="none" w:color="auto"/>
              </w:rPr>
            </w:pPr>
          </w:p>
        </w:tc>
        <w:tc>
          <w:tcPr>
            <w:tcW w:w="792" w:type="dxa"/>
            <w:shd w:val="clear" w:color="auto" w:fill="auto"/>
            <w:vAlign w:val="center"/>
          </w:tcPr>
          <w:p w14:paraId="0E8AF52F">
            <w:pPr>
              <w:jc w:val="right"/>
              <w:rPr>
                <w:rFonts w:hint="default" w:ascii="Times New Roman" w:hAnsi="Times New Roman" w:eastAsia="宋体" w:cs="Times New Roman"/>
                <w:b/>
                <w:bCs/>
                <w:i w:val="0"/>
                <w:iCs w:val="0"/>
                <w:color w:val="000000"/>
                <w:sz w:val="21"/>
                <w:szCs w:val="21"/>
                <w:u w:val="none" w:color="auto"/>
              </w:rPr>
            </w:pPr>
          </w:p>
        </w:tc>
        <w:tc>
          <w:tcPr>
            <w:tcW w:w="792" w:type="dxa"/>
            <w:shd w:val="clear" w:color="auto" w:fill="auto"/>
            <w:vAlign w:val="center"/>
          </w:tcPr>
          <w:p w14:paraId="238EF595">
            <w:pPr>
              <w:jc w:val="right"/>
              <w:rPr>
                <w:rFonts w:hint="default" w:ascii="Times New Roman" w:hAnsi="Times New Roman" w:eastAsia="宋体" w:cs="Times New Roman"/>
                <w:b/>
                <w:bCs/>
                <w:i w:val="0"/>
                <w:iCs w:val="0"/>
                <w:color w:val="000000"/>
                <w:sz w:val="21"/>
                <w:szCs w:val="21"/>
                <w:u w:val="none" w:color="auto"/>
              </w:rPr>
            </w:pPr>
          </w:p>
        </w:tc>
        <w:tc>
          <w:tcPr>
            <w:tcW w:w="1279" w:type="dxa"/>
            <w:shd w:val="clear" w:color="auto" w:fill="auto"/>
            <w:vAlign w:val="center"/>
          </w:tcPr>
          <w:p w14:paraId="49692E52">
            <w:pPr>
              <w:jc w:val="right"/>
              <w:rPr>
                <w:rFonts w:hint="default" w:ascii="Times New Roman" w:hAnsi="Times New Roman" w:eastAsia="宋体" w:cs="Times New Roman"/>
                <w:b/>
                <w:bCs/>
                <w:i w:val="0"/>
                <w:iCs w:val="0"/>
                <w:color w:val="000000"/>
                <w:sz w:val="21"/>
                <w:szCs w:val="21"/>
                <w:u w:val="none" w:color="auto"/>
              </w:rPr>
            </w:pPr>
          </w:p>
        </w:tc>
        <w:tc>
          <w:tcPr>
            <w:tcW w:w="792" w:type="dxa"/>
            <w:shd w:val="clear" w:color="auto" w:fill="auto"/>
            <w:vAlign w:val="center"/>
          </w:tcPr>
          <w:p w14:paraId="15F5C5B9">
            <w:pPr>
              <w:jc w:val="right"/>
              <w:rPr>
                <w:rFonts w:hint="default" w:ascii="Times New Roman" w:hAnsi="Times New Roman" w:eastAsia="宋体" w:cs="Times New Roman"/>
                <w:b/>
                <w:bCs/>
                <w:i w:val="0"/>
                <w:iCs w:val="0"/>
                <w:color w:val="000000"/>
                <w:sz w:val="21"/>
                <w:szCs w:val="21"/>
                <w:u w:val="none" w:color="auto"/>
              </w:rPr>
            </w:pPr>
          </w:p>
        </w:tc>
      </w:tr>
      <w:tr w14:paraId="7411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69" w:type="dxa"/>
            <w:shd w:val="clear" w:color="auto" w:fill="auto"/>
            <w:vAlign w:val="center"/>
          </w:tcPr>
          <w:p w14:paraId="13A6BC4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2080506</w:t>
            </w:r>
          </w:p>
        </w:tc>
        <w:tc>
          <w:tcPr>
            <w:tcW w:w="1865" w:type="dxa"/>
            <w:shd w:val="clear" w:color="auto" w:fill="auto"/>
            <w:vAlign w:val="center"/>
          </w:tcPr>
          <w:p w14:paraId="5D32442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机关事业单位职业年金缴费支出</w:t>
            </w:r>
          </w:p>
        </w:tc>
        <w:tc>
          <w:tcPr>
            <w:tcW w:w="1035" w:type="dxa"/>
            <w:shd w:val="clear" w:color="auto" w:fill="auto"/>
            <w:vAlign w:val="center"/>
          </w:tcPr>
          <w:p w14:paraId="1370C9E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29.74</w:t>
            </w:r>
          </w:p>
        </w:tc>
        <w:tc>
          <w:tcPr>
            <w:tcW w:w="1035" w:type="dxa"/>
            <w:shd w:val="clear" w:color="auto" w:fill="auto"/>
            <w:vAlign w:val="center"/>
          </w:tcPr>
          <w:p w14:paraId="772DED9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29.74</w:t>
            </w:r>
          </w:p>
        </w:tc>
        <w:tc>
          <w:tcPr>
            <w:tcW w:w="1036" w:type="dxa"/>
            <w:shd w:val="clear" w:color="auto" w:fill="auto"/>
            <w:vAlign w:val="center"/>
          </w:tcPr>
          <w:p w14:paraId="522F5BA7">
            <w:pPr>
              <w:jc w:val="right"/>
              <w:rPr>
                <w:rFonts w:hint="default" w:ascii="Times New Roman" w:hAnsi="Times New Roman" w:eastAsia="宋体" w:cs="Times New Roman"/>
                <w:i w:val="0"/>
                <w:iCs w:val="0"/>
                <w:color w:val="000000"/>
                <w:sz w:val="21"/>
                <w:szCs w:val="21"/>
                <w:u w:val="none" w:color="auto"/>
              </w:rPr>
            </w:pPr>
          </w:p>
        </w:tc>
        <w:tc>
          <w:tcPr>
            <w:tcW w:w="792" w:type="dxa"/>
            <w:shd w:val="clear" w:color="auto" w:fill="auto"/>
            <w:vAlign w:val="center"/>
          </w:tcPr>
          <w:p w14:paraId="4D03EEE9">
            <w:pPr>
              <w:jc w:val="right"/>
              <w:rPr>
                <w:rFonts w:hint="default" w:ascii="Times New Roman" w:hAnsi="Times New Roman" w:eastAsia="宋体" w:cs="Times New Roman"/>
                <w:i w:val="0"/>
                <w:iCs w:val="0"/>
                <w:color w:val="000000"/>
                <w:sz w:val="21"/>
                <w:szCs w:val="21"/>
                <w:u w:val="none" w:color="auto"/>
              </w:rPr>
            </w:pPr>
          </w:p>
        </w:tc>
        <w:tc>
          <w:tcPr>
            <w:tcW w:w="792" w:type="dxa"/>
            <w:shd w:val="clear" w:color="auto" w:fill="auto"/>
            <w:vAlign w:val="center"/>
          </w:tcPr>
          <w:p w14:paraId="66DFA22C">
            <w:pPr>
              <w:jc w:val="right"/>
              <w:rPr>
                <w:rFonts w:hint="default" w:ascii="Times New Roman" w:hAnsi="Times New Roman" w:eastAsia="宋体" w:cs="Times New Roman"/>
                <w:i w:val="0"/>
                <w:iCs w:val="0"/>
                <w:color w:val="000000"/>
                <w:sz w:val="21"/>
                <w:szCs w:val="21"/>
                <w:u w:val="none" w:color="auto"/>
              </w:rPr>
            </w:pPr>
          </w:p>
        </w:tc>
        <w:tc>
          <w:tcPr>
            <w:tcW w:w="1279" w:type="dxa"/>
            <w:shd w:val="clear" w:color="auto" w:fill="auto"/>
            <w:vAlign w:val="center"/>
          </w:tcPr>
          <w:p w14:paraId="189F08F6">
            <w:pPr>
              <w:jc w:val="right"/>
              <w:rPr>
                <w:rFonts w:hint="default" w:ascii="Times New Roman" w:hAnsi="Times New Roman" w:eastAsia="宋体" w:cs="Times New Roman"/>
                <w:i w:val="0"/>
                <w:iCs w:val="0"/>
                <w:color w:val="000000"/>
                <w:sz w:val="21"/>
                <w:szCs w:val="21"/>
                <w:u w:val="none" w:color="auto"/>
              </w:rPr>
            </w:pPr>
          </w:p>
        </w:tc>
        <w:tc>
          <w:tcPr>
            <w:tcW w:w="792" w:type="dxa"/>
            <w:shd w:val="clear" w:color="auto" w:fill="auto"/>
            <w:vAlign w:val="center"/>
          </w:tcPr>
          <w:p w14:paraId="3C1D8D8A">
            <w:pPr>
              <w:jc w:val="right"/>
              <w:rPr>
                <w:rFonts w:hint="default" w:ascii="Times New Roman" w:hAnsi="Times New Roman" w:eastAsia="宋体" w:cs="Times New Roman"/>
                <w:i w:val="0"/>
                <w:iCs w:val="0"/>
                <w:color w:val="000000"/>
                <w:sz w:val="21"/>
                <w:szCs w:val="21"/>
                <w:u w:val="none" w:color="auto"/>
              </w:rPr>
            </w:pPr>
          </w:p>
        </w:tc>
      </w:tr>
    </w:tbl>
    <w:p w14:paraId="6DAABAE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注：本表反映部门本年度取得的各项收入情况。</w:t>
      </w:r>
    </w:p>
    <w:p w14:paraId="1FFBC881">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0B585C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年度支出决算表</w:t>
      </w:r>
    </w:p>
    <w:p w14:paraId="010F0700">
      <w:pPr>
        <w:pStyle w:val="7"/>
        <w:jc w:val="righ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公开03表</w:t>
      </w:r>
    </w:p>
    <w:p w14:paraId="345EC02D">
      <w:pPr>
        <w:pStyle w:val="7"/>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部门：武汉市光谷第四初级中学</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9"/>
        <w:gridCol w:w="1865"/>
        <w:gridCol w:w="1223"/>
        <w:gridCol w:w="1110"/>
        <w:gridCol w:w="990"/>
        <w:gridCol w:w="931"/>
        <w:gridCol w:w="905"/>
        <w:gridCol w:w="1703"/>
      </w:tblGrid>
      <w:tr w14:paraId="6D42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2"/>
            <w:shd w:val="clear" w:color="auto" w:fill="auto"/>
            <w:vAlign w:val="center"/>
          </w:tcPr>
          <w:p w14:paraId="65BA0D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项目</w:t>
            </w:r>
          </w:p>
        </w:tc>
        <w:tc>
          <w:tcPr>
            <w:tcW w:w="1223" w:type="dxa"/>
            <w:vMerge w:val="restart"/>
            <w:shd w:val="clear" w:color="auto" w:fill="auto"/>
            <w:vAlign w:val="center"/>
          </w:tcPr>
          <w:p w14:paraId="1FBBA8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1110" w:type="dxa"/>
            <w:vMerge w:val="restart"/>
            <w:shd w:val="clear" w:color="auto" w:fill="auto"/>
            <w:vAlign w:val="center"/>
          </w:tcPr>
          <w:p w14:paraId="78962E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990" w:type="dxa"/>
            <w:vMerge w:val="restart"/>
            <w:shd w:val="clear" w:color="auto" w:fill="auto"/>
            <w:vAlign w:val="center"/>
          </w:tcPr>
          <w:p w14:paraId="40C0D9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项目支出</w:t>
            </w:r>
          </w:p>
        </w:tc>
        <w:tc>
          <w:tcPr>
            <w:tcW w:w="931" w:type="dxa"/>
            <w:vMerge w:val="restart"/>
            <w:shd w:val="clear" w:color="auto" w:fill="auto"/>
            <w:vAlign w:val="center"/>
          </w:tcPr>
          <w:p w14:paraId="251DB5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上缴上级支出</w:t>
            </w:r>
          </w:p>
        </w:tc>
        <w:tc>
          <w:tcPr>
            <w:tcW w:w="905" w:type="dxa"/>
            <w:vMerge w:val="restart"/>
            <w:shd w:val="clear" w:color="auto" w:fill="auto"/>
            <w:vAlign w:val="center"/>
          </w:tcPr>
          <w:p w14:paraId="383F5E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经营支出</w:t>
            </w:r>
          </w:p>
        </w:tc>
        <w:tc>
          <w:tcPr>
            <w:tcW w:w="1703" w:type="dxa"/>
            <w:vMerge w:val="restart"/>
            <w:shd w:val="clear" w:color="auto" w:fill="auto"/>
            <w:vAlign w:val="center"/>
          </w:tcPr>
          <w:p w14:paraId="4132BA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对附属单位补助支出</w:t>
            </w:r>
          </w:p>
        </w:tc>
      </w:tr>
      <w:tr w14:paraId="4594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69" w:type="dxa"/>
            <w:vMerge w:val="restart"/>
            <w:shd w:val="clear" w:color="auto" w:fill="auto"/>
            <w:vAlign w:val="center"/>
          </w:tcPr>
          <w:p w14:paraId="03400D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865" w:type="dxa"/>
            <w:vMerge w:val="restart"/>
            <w:shd w:val="clear" w:color="auto" w:fill="auto"/>
            <w:vAlign w:val="center"/>
          </w:tcPr>
          <w:p w14:paraId="78D26B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223" w:type="dxa"/>
            <w:vMerge w:val="continue"/>
            <w:shd w:val="clear" w:color="auto" w:fill="auto"/>
            <w:vAlign w:val="center"/>
          </w:tcPr>
          <w:p w14:paraId="6A4C3C07">
            <w:pPr>
              <w:jc w:val="center"/>
              <w:rPr>
                <w:rFonts w:hint="default" w:ascii="Times New Roman" w:hAnsi="Times New Roman" w:eastAsia="宋体" w:cs="Times New Roman"/>
                <w:i w:val="0"/>
                <w:iCs w:val="0"/>
                <w:color w:val="000000"/>
                <w:sz w:val="21"/>
                <w:szCs w:val="21"/>
                <w:u w:val="none" w:color="auto"/>
              </w:rPr>
            </w:pPr>
          </w:p>
        </w:tc>
        <w:tc>
          <w:tcPr>
            <w:tcW w:w="1110" w:type="dxa"/>
            <w:vMerge w:val="continue"/>
            <w:shd w:val="clear" w:color="auto" w:fill="auto"/>
            <w:vAlign w:val="center"/>
          </w:tcPr>
          <w:p w14:paraId="57A47D52">
            <w:pPr>
              <w:jc w:val="center"/>
              <w:rPr>
                <w:rFonts w:hint="default" w:ascii="Times New Roman" w:hAnsi="Times New Roman" w:eastAsia="宋体" w:cs="Times New Roman"/>
                <w:i w:val="0"/>
                <w:iCs w:val="0"/>
                <w:color w:val="000000"/>
                <w:sz w:val="21"/>
                <w:szCs w:val="21"/>
                <w:u w:val="none" w:color="auto"/>
              </w:rPr>
            </w:pPr>
          </w:p>
        </w:tc>
        <w:tc>
          <w:tcPr>
            <w:tcW w:w="990" w:type="dxa"/>
            <w:vMerge w:val="continue"/>
            <w:shd w:val="clear" w:color="auto" w:fill="auto"/>
            <w:vAlign w:val="center"/>
          </w:tcPr>
          <w:p w14:paraId="327DF4E3">
            <w:pPr>
              <w:jc w:val="center"/>
              <w:rPr>
                <w:rFonts w:hint="default" w:ascii="Times New Roman" w:hAnsi="Times New Roman" w:eastAsia="宋体" w:cs="Times New Roman"/>
                <w:i w:val="0"/>
                <w:iCs w:val="0"/>
                <w:color w:val="000000"/>
                <w:sz w:val="21"/>
                <w:szCs w:val="21"/>
                <w:u w:val="none" w:color="auto"/>
              </w:rPr>
            </w:pPr>
          </w:p>
        </w:tc>
        <w:tc>
          <w:tcPr>
            <w:tcW w:w="931" w:type="dxa"/>
            <w:vMerge w:val="continue"/>
            <w:shd w:val="clear" w:color="auto" w:fill="auto"/>
            <w:vAlign w:val="center"/>
          </w:tcPr>
          <w:p w14:paraId="135BB65F">
            <w:pPr>
              <w:jc w:val="center"/>
              <w:rPr>
                <w:rFonts w:hint="default" w:ascii="Times New Roman" w:hAnsi="Times New Roman" w:eastAsia="宋体" w:cs="Times New Roman"/>
                <w:i w:val="0"/>
                <w:iCs w:val="0"/>
                <w:color w:val="000000"/>
                <w:sz w:val="21"/>
                <w:szCs w:val="21"/>
                <w:u w:val="none" w:color="auto"/>
              </w:rPr>
            </w:pPr>
          </w:p>
        </w:tc>
        <w:tc>
          <w:tcPr>
            <w:tcW w:w="905" w:type="dxa"/>
            <w:vMerge w:val="continue"/>
            <w:shd w:val="clear" w:color="auto" w:fill="auto"/>
            <w:vAlign w:val="center"/>
          </w:tcPr>
          <w:p w14:paraId="71C4D920">
            <w:pPr>
              <w:jc w:val="center"/>
              <w:rPr>
                <w:rFonts w:hint="default" w:ascii="Times New Roman" w:hAnsi="Times New Roman" w:eastAsia="宋体" w:cs="Times New Roman"/>
                <w:i w:val="0"/>
                <w:iCs w:val="0"/>
                <w:color w:val="000000"/>
                <w:sz w:val="21"/>
                <w:szCs w:val="21"/>
                <w:u w:val="none" w:color="auto"/>
              </w:rPr>
            </w:pPr>
          </w:p>
        </w:tc>
        <w:tc>
          <w:tcPr>
            <w:tcW w:w="1703" w:type="dxa"/>
            <w:vMerge w:val="continue"/>
            <w:shd w:val="clear" w:color="auto" w:fill="auto"/>
            <w:vAlign w:val="center"/>
          </w:tcPr>
          <w:p w14:paraId="373C5CAE">
            <w:pPr>
              <w:jc w:val="center"/>
              <w:rPr>
                <w:rFonts w:hint="default" w:ascii="Times New Roman" w:hAnsi="Times New Roman" w:eastAsia="宋体" w:cs="Times New Roman"/>
                <w:i w:val="0"/>
                <w:iCs w:val="0"/>
                <w:color w:val="000000"/>
                <w:sz w:val="21"/>
                <w:szCs w:val="21"/>
                <w:u w:val="none" w:color="auto"/>
              </w:rPr>
            </w:pPr>
          </w:p>
        </w:tc>
      </w:tr>
      <w:tr w14:paraId="263C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0" w:type="auto"/>
            <w:vMerge w:val="continue"/>
            <w:shd w:val="clear" w:color="auto" w:fill="auto"/>
            <w:vAlign w:val="center"/>
          </w:tcPr>
          <w:p w14:paraId="385F57DB">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2F1E729E">
            <w:pPr>
              <w:jc w:val="center"/>
              <w:rPr>
                <w:rFonts w:hint="default" w:ascii="Times New Roman" w:hAnsi="Times New Roman" w:eastAsia="宋体" w:cs="Times New Roman"/>
                <w:i w:val="0"/>
                <w:iCs w:val="0"/>
                <w:color w:val="000000"/>
                <w:sz w:val="21"/>
                <w:szCs w:val="21"/>
                <w:u w:val="none" w:color="auto"/>
              </w:rPr>
            </w:pPr>
          </w:p>
        </w:tc>
        <w:tc>
          <w:tcPr>
            <w:tcW w:w="1223" w:type="dxa"/>
            <w:vMerge w:val="continue"/>
            <w:shd w:val="clear" w:color="auto" w:fill="auto"/>
            <w:vAlign w:val="center"/>
          </w:tcPr>
          <w:p w14:paraId="5740E050">
            <w:pPr>
              <w:jc w:val="center"/>
              <w:rPr>
                <w:rFonts w:hint="default" w:ascii="Times New Roman" w:hAnsi="Times New Roman" w:eastAsia="宋体" w:cs="Times New Roman"/>
                <w:i w:val="0"/>
                <w:iCs w:val="0"/>
                <w:color w:val="000000"/>
                <w:sz w:val="21"/>
                <w:szCs w:val="21"/>
                <w:u w:val="none" w:color="auto"/>
              </w:rPr>
            </w:pPr>
          </w:p>
        </w:tc>
        <w:tc>
          <w:tcPr>
            <w:tcW w:w="1110" w:type="dxa"/>
            <w:vMerge w:val="continue"/>
            <w:shd w:val="clear" w:color="auto" w:fill="auto"/>
            <w:vAlign w:val="center"/>
          </w:tcPr>
          <w:p w14:paraId="394C6CEF">
            <w:pPr>
              <w:jc w:val="center"/>
              <w:rPr>
                <w:rFonts w:hint="default" w:ascii="Times New Roman" w:hAnsi="Times New Roman" w:eastAsia="宋体" w:cs="Times New Roman"/>
                <w:i w:val="0"/>
                <w:iCs w:val="0"/>
                <w:color w:val="000000"/>
                <w:sz w:val="21"/>
                <w:szCs w:val="21"/>
                <w:u w:val="none" w:color="auto"/>
              </w:rPr>
            </w:pPr>
          </w:p>
        </w:tc>
        <w:tc>
          <w:tcPr>
            <w:tcW w:w="990" w:type="dxa"/>
            <w:vMerge w:val="continue"/>
            <w:shd w:val="clear" w:color="auto" w:fill="auto"/>
            <w:vAlign w:val="center"/>
          </w:tcPr>
          <w:p w14:paraId="0472C5D0">
            <w:pPr>
              <w:jc w:val="center"/>
              <w:rPr>
                <w:rFonts w:hint="default" w:ascii="Times New Roman" w:hAnsi="Times New Roman" w:eastAsia="宋体" w:cs="Times New Roman"/>
                <w:i w:val="0"/>
                <w:iCs w:val="0"/>
                <w:color w:val="000000"/>
                <w:sz w:val="21"/>
                <w:szCs w:val="21"/>
                <w:u w:val="none" w:color="auto"/>
              </w:rPr>
            </w:pPr>
          </w:p>
        </w:tc>
        <w:tc>
          <w:tcPr>
            <w:tcW w:w="931" w:type="dxa"/>
            <w:vMerge w:val="continue"/>
            <w:shd w:val="clear" w:color="auto" w:fill="auto"/>
            <w:vAlign w:val="center"/>
          </w:tcPr>
          <w:p w14:paraId="7F7694EC">
            <w:pPr>
              <w:jc w:val="center"/>
              <w:rPr>
                <w:rFonts w:hint="default" w:ascii="Times New Roman" w:hAnsi="Times New Roman" w:eastAsia="宋体" w:cs="Times New Roman"/>
                <w:i w:val="0"/>
                <w:iCs w:val="0"/>
                <w:color w:val="000000"/>
                <w:sz w:val="21"/>
                <w:szCs w:val="21"/>
                <w:u w:val="none" w:color="auto"/>
              </w:rPr>
            </w:pPr>
          </w:p>
        </w:tc>
        <w:tc>
          <w:tcPr>
            <w:tcW w:w="905" w:type="dxa"/>
            <w:vMerge w:val="continue"/>
            <w:shd w:val="clear" w:color="auto" w:fill="auto"/>
            <w:vAlign w:val="center"/>
          </w:tcPr>
          <w:p w14:paraId="1F454CA7">
            <w:pPr>
              <w:jc w:val="center"/>
              <w:rPr>
                <w:rFonts w:hint="default" w:ascii="Times New Roman" w:hAnsi="Times New Roman" w:eastAsia="宋体" w:cs="Times New Roman"/>
                <w:i w:val="0"/>
                <w:iCs w:val="0"/>
                <w:color w:val="000000"/>
                <w:sz w:val="21"/>
                <w:szCs w:val="21"/>
                <w:u w:val="none" w:color="auto"/>
              </w:rPr>
            </w:pPr>
          </w:p>
        </w:tc>
        <w:tc>
          <w:tcPr>
            <w:tcW w:w="1703" w:type="dxa"/>
            <w:vMerge w:val="continue"/>
            <w:shd w:val="clear" w:color="auto" w:fill="auto"/>
            <w:vAlign w:val="center"/>
          </w:tcPr>
          <w:p w14:paraId="234E9126">
            <w:pPr>
              <w:jc w:val="center"/>
              <w:rPr>
                <w:rFonts w:hint="default" w:ascii="Times New Roman" w:hAnsi="Times New Roman" w:eastAsia="宋体" w:cs="Times New Roman"/>
                <w:i w:val="0"/>
                <w:iCs w:val="0"/>
                <w:color w:val="000000"/>
                <w:sz w:val="21"/>
                <w:szCs w:val="21"/>
                <w:u w:val="none" w:color="auto"/>
              </w:rPr>
            </w:pPr>
          </w:p>
        </w:tc>
      </w:tr>
      <w:tr w14:paraId="3968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0" w:type="auto"/>
            <w:vMerge w:val="continue"/>
            <w:shd w:val="clear" w:color="auto" w:fill="auto"/>
            <w:vAlign w:val="center"/>
          </w:tcPr>
          <w:p w14:paraId="0213A860">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7F812161">
            <w:pPr>
              <w:jc w:val="center"/>
              <w:rPr>
                <w:rFonts w:hint="default" w:ascii="Times New Roman" w:hAnsi="Times New Roman" w:eastAsia="宋体" w:cs="Times New Roman"/>
                <w:i w:val="0"/>
                <w:iCs w:val="0"/>
                <w:color w:val="000000"/>
                <w:sz w:val="21"/>
                <w:szCs w:val="21"/>
                <w:u w:val="none" w:color="auto"/>
              </w:rPr>
            </w:pPr>
          </w:p>
        </w:tc>
        <w:tc>
          <w:tcPr>
            <w:tcW w:w="1223" w:type="dxa"/>
            <w:vMerge w:val="continue"/>
            <w:shd w:val="clear" w:color="auto" w:fill="auto"/>
            <w:vAlign w:val="center"/>
          </w:tcPr>
          <w:p w14:paraId="1AC70422">
            <w:pPr>
              <w:jc w:val="center"/>
              <w:rPr>
                <w:rFonts w:hint="default" w:ascii="Times New Roman" w:hAnsi="Times New Roman" w:eastAsia="宋体" w:cs="Times New Roman"/>
                <w:i w:val="0"/>
                <w:iCs w:val="0"/>
                <w:color w:val="000000"/>
                <w:sz w:val="21"/>
                <w:szCs w:val="21"/>
                <w:u w:val="none" w:color="auto"/>
              </w:rPr>
            </w:pPr>
          </w:p>
        </w:tc>
        <w:tc>
          <w:tcPr>
            <w:tcW w:w="1110" w:type="dxa"/>
            <w:vMerge w:val="continue"/>
            <w:shd w:val="clear" w:color="auto" w:fill="auto"/>
            <w:vAlign w:val="center"/>
          </w:tcPr>
          <w:p w14:paraId="4DD58639">
            <w:pPr>
              <w:jc w:val="center"/>
              <w:rPr>
                <w:rFonts w:hint="default" w:ascii="Times New Roman" w:hAnsi="Times New Roman" w:eastAsia="宋体" w:cs="Times New Roman"/>
                <w:i w:val="0"/>
                <w:iCs w:val="0"/>
                <w:color w:val="000000"/>
                <w:sz w:val="21"/>
                <w:szCs w:val="21"/>
                <w:u w:val="none" w:color="auto"/>
              </w:rPr>
            </w:pPr>
          </w:p>
        </w:tc>
        <w:tc>
          <w:tcPr>
            <w:tcW w:w="990" w:type="dxa"/>
            <w:vMerge w:val="continue"/>
            <w:shd w:val="clear" w:color="auto" w:fill="auto"/>
            <w:vAlign w:val="center"/>
          </w:tcPr>
          <w:p w14:paraId="3DD7BCBA">
            <w:pPr>
              <w:jc w:val="center"/>
              <w:rPr>
                <w:rFonts w:hint="default" w:ascii="Times New Roman" w:hAnsi="Times New Roman" w:eastAsia="宋体" w:cs="Times New Roman"/>
                <w:i w:val="0"/>
                <w:iCs w:val="0"/>
                <w:color w:val="000000"/>
                <w:sz w:val="21"/>
                <w:szCs w:val="21"/>
                <w:u w:val="none" w:color="auto"/>
              </w:rPr>
            </w:pPr>
          </w:p>
        </w:tc>
        <w:tc>
          <w:tcPr>
            <w:tcW w:w="931" w:type="dxa"/>
            <w:vMerge w:val="continue"/>
            <w:shd w:val="clear" w:color="auto" w:fill="auto"/>
            <w:vAlign w:val="center"/>
          </w:tcPr>
          <w:p w14:paraId="25B4365A">
            <w:pPr>
              <w:jc w:val="center"/>
              <w:rPr>
                <w:rFonts w:hint="default" w:ascii="Times New Roman" w:hAnsi="Times New Roman" w:eastAsia="宋体" w:cs="Times New Roman"/>
                <w:i w:val="0"/>
                <w:iCs w:val="0"/>
                <w:color w:val="000000"/>
                <w:sz w:val="21"/>
                <w:szCs w:val="21"/>
                <w:u w:val="none" w:color="auto"/>
              </w:rPr>
            </w:pPr>
          </w:p>
        </w:tc>
        <w:tc>
          <w:tcPr>
            <w:tcW w:w="905" w:type="dxa"/>
            <w:vMerge w:val="continue"/>
            <w:shd w:val="clear" w:color="auto" w:fill="auto"/>
            <w:vAlign w:val="center"/>
          </w:tcPr>
          <w:p w14:paraId="0C278FAE">
            <w:pPr>
              <w:jc w:val="center"/>
              <w:rPr>
                <w:rFonts w:hint="default" w:ascii="Times New Roman" w:hAnsi="Times New Roman" w:eastAsia="宋体" w:cs="Times New Roman"/>
                <w:i w:val="0"/>
                <w:iCs w:val="0"/>
                <w:color w:val="000000"/>
                <w:sz w:val="21"/>
                <w:szCs w:val="21"/>
                <w:u w:val="none" w:color="auto"/>
              </w:rPr>
            </w:pPr>
          </w:p>
        </w:tc>
        <w:tc>
          <w:tcPr>
            <w:tcW w:w="1703" w:type="dxa"/>
            <w:vMerge w:val="continue"/>
            <w:shd w:val="clear" w:color="auto" w:fill="auto"/>
            <w:vAlign w:val="center"/>
          </w:tcPr>
          <w:p w14:paraId="541880EE">
            <w:pPr>
              <w:jc w:val="center"/>
              <w:rPr>
                <w:rFonts w:hint="default" w:ascii="Times New Roman" w:hAnsi="Times New Roman" w:eastAsia="宋体" w:cs="Times New Roman"/>
                <w:i w:val="0"/>
                <w:iCs w:val="0"/>
                <w:color w:val="000000"/>
                <w:sz w:val="21"/>
                <w:szCs w:val="21"/>
                <w:u w:val="none" w:color="auto"/>
              </w:rPr>
            </w:pPr>
          </w:p>
        </w:tc>
      </w:tr>
      <w:tr w14:paraId="4622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2"/>
            <w:shd w:val="clear" w:color="auto" w:fill="auto"/>
            <w:vAlign w:val="center"/>
          </w:tcPr>
          <w:p w14:paraId="7F6DC1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栏次</w:t>
            </w:r>
          </w:p>
        </w:tc>
        <w:tc>
          <w:tcPr>
            <w:tcW w:w="1223" w:type="dxa"/>
            <w:shd w:val="clear" w:color="auto" w:fill="auto"/>
            <w:vAlign w:val="center"/>
          </w:tcPr>
          <w:p w14:paraId="59901B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w:t>
            </w:r>
          </w:p>
        </w:tc>
        <w:tc>
          <w:tcPr>
            <w:tcW w:w="1110" w:type="dxa"/>
            <w:shd w:val="clear" w:color="auto" w:fill="auto"/>
            <w:vAlign w:val="center"/>
          </w:tcPr>
          <w:p w14:paraId="324569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w:t>
            </w:r>
          </w:p>
        </w:tc>
        <w:tc>
          <w:tcPr>
            <w:tcW w:w="990" w:type="dxa"/>
            <w:shd w:val="clear" w:color="auto" w:fill="auto"/>
            <w:vAlign w:val="center"/>
          </w:tcPr>
          <w:p w14:paraId="5E78E2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3</w:t>
            </w:r>
          </w:p>
        </w:tc>
        <w:tc>
          <w:tcPr>
            <w:tcW w:w="931" w:type="dxa"/>
            <w:shd w:val="clear" w:color="auto" w:fill="auto"/>
            <w:vAlign w:val="center"/>
          </w:tcPr>
          <w:p w14:paraId="76817F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4</w:t>
            </w:r>
          </w:p>
        </w:tc>
        <w:tc>
          <w:tcPr>
            <w:tcW w:w="905" w:type="dxa"/>
            <w:shd w:val="clear" w:color="auto" w:fill="auto"/>
            <w:vAlign w:val="center"/>
          </w:tcPr>
          <w:p w14:paraId="30F81A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5</w:t>
            </w:r>
          </w:p>
        </w:tc>
        <w:tc>
          <w:tcPr>
            <w:tcW w:w="1703" w:type="dxa"/>
            <w:shd w:val="clear" w:color="auto" w:fill="auto"/>
            <w:vAlign w:val="center"/>
          </w:tcPr>
          <w:p w14:paraId="580E56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6</w:t>
            </w:r>
          </w:p>
        </w:tc>
      </w:tr>
      <w:tr w14:paraId="75EA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34" w:type="dxa"/>
            <w:gridSpan w:val="2"/>
            <w:shd w:val="clear" w:color="auto" w:fill="auto"/>
            <w:vAlign w:val="center"/>
          </w:tcPr>
          <w:p w14:paraId="2DE122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合计</w:t>
            </w:r>
          </w:p>
        </w:tc>
        <w:tc>
          <w:tcPr>
            <w:tcW w:w="1223" w:type="dxa"/>
            <w:shd w:val="clear" w:color="auto" w:fill="auto"/>
            <w:vAlign w:val="center"/>
          </w:tcPr>
          <w:p w14:paraId="5DD1B9F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b/>
                <w:bCs/>
                <w:i w:val="0"/>
                <w:iCs w:val="0"/>
                <w:snapToGrid w:val="0"/>
                <w:color w:val="000000"/>
                <w:kern w:val="0"/>
                <w:sz w:val="22"/>
                <w:szCs w:val="22"/>
                <w:u w:val="none"/>
                <w:lang w:val="en-US" w:eastAsia="zh-CN" w:bidi="ar"/>
              </w:rPr>
              <w:t>2,090.89</w:t>
            </w:r>
          </w:p>
        </w:tc>
        <w:tc>
          <w:tcPr>
            <w:tcW w:w="1110" w:type="dxa"/>
            <w:shd w:val="clear" w:color="auto" w:fill="auto"/>
            <w:vAlign w:val="center"/>
          </w:tcPr>
          <w:p w14:paraId="3C4412D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b/>
                <w:bCs/>
                <w:i w:val="0"/>
                <w:iCs w:val="0"/>
                <w:snapToGrid w:val="0"/>
                <w:color w:val="000000"/>
                <w:kern w:val="0"/>
                <w:sz w:val="22"/>
                <w:szCs w:val="22"/>
                <w:u w:val="none"/>
                <w:lang w:val="en-US" w:eastAsia="zh-CN" w:bidi="ar"/>
              </w:rPr>
              <w:t>1,991.86</w:t>
            </w:r>
          </w:p>
        </w:tc>
        <w:tc>
          <w:tcPr>
            <w:tcW w:w="990" w:type="dxa"/>
            <w:shd w:val="clear" w:color="auto" w:fill="auto"/>
            <w:vAlign w:val="center"/>
          </w:tcPr>
          <w:p w14:paraId="1B73321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b/>
                <w:bCs/>
                <w:i w:val="0"/>
                <w:iCs w:val="0"/>
                <w:snapToGrid w:val="0"/>
                <w:color w:val="000000"/>
                <w:kern w:val="0"/>
                <w:sz w:val="22"/>
                <w:szCs w:val="22"/>
                <w:u w:val="none"/>
                <w:lang w:val="en-US" w:eastAsia="zh-CN" w:bidi="ar"/>
              </w:rPr>
              <w:t>99.03</w:t>
            </w:r>
          </w:p>
        </w:tc>
        <w:tc>
          <w:tcPr>
            <w:tcW w:w="931" w:type="dxa"/>
            <w:shd w:val="clear" w:color="auto" w:fill="auto"/>
            <w:vAlign w:val="center"/>
          </w:tcPr>
          <w:p w14:paraId="7BDC2A40">
            <w:pPr>
              <w:jc w:val="right"/>
              <w:rPr>
                <w:rFonts w:hint="default" w:ascii="Times New Roman" w:hAnsi="Times New Roman" w:eastAsia="宋体" w:cs="Times New Roman"/>
                <w:b/>
                <w:bCs/>
                <w:i w:val="0"/>
                <w:iCs w:val="0"/>
                <w:color w:val="000000"/>
                <w:sz w:val="21"/>
                <w:szCs w:val="21"/>
                <w:u w:val="none" w:color="auto"/>
              </w:rPr>
            </w:pPr>
          </w:p>
        </w:tc>
        <w:tc>
          <w:tcPr>
            <w:tcW w:w="905" w:type="dxa"/>
            <w:shd w:val="clear" w:color="auto" w:fill="auto"/>
            <w:vAlign w:val="center"/>
          </w:tcPr>
          <w:p w14:paraId="3090E41A">
            <w:pPr>
              <w:jc w:val="right"/>
              <w:rPr>
                <w:rFonts w:hint="default" w:ascii="Times New Roman" w:hAnsi="Times New Roman" w:eastAsia="宋体" w:cs="Times New Roman"/>
                <w:b/>
                <w:bCs/>
                <w:i w:val="0"/>
                <w:iCs w:val="0"/>
                <w:color w:val="000000"/>
                <w:sz w:val="21"/>
                <w:szCs w:val="21"/>
                <w:u w:val="none" w:color="auto"/>
              </w:rPr>
            </w:pPr>
          </w:p>
        </w:tc>
        <w:tc>
          <w:tcPr>
            <w:tcW w:w="1703" w:type="dxa"/>
            <w:shd w:val="clear" w:color="auto" w:fill="auto"/>
            <w:vAlign w:val="center"/>
          </w:tcPr>
          <w:p w14:paraId="546EF950">
            <w:pPr>
              <w:jc w:val="right"/>
              <w:rPr>
                <w:rFonts w:hint="default" w:ascii="Times New Roman" w:hAnsi="Times New Roman" w:eastAsia="宋体" w:cs="Times New Roman"/>
                <w:b/>
                <w:bCs/>
                <w:i w:val="0"/>
                <w:iCs w:val="0"/>
                <w:color w:val="000000"/>
                <w:sz w:val="21"/>
                <w:szCs w:val="21"/>
                <w:u w:val="none" w:color="auto"/>
              </w:rPr>
            </w:pPr>
          </w:p>
        </w:tc>
      </w:tr>
      <w:tr w14:paraId="3536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69" w:type="dxa"/>
            <w:shd w:val="clear" w:color="auto" w:fill="auto"/>
            <w:vAlign w:val="center"/>
          </w:tcPr>
          <w:p w14:paraId="1328594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2050203</w:t>
            </w:r>
          </w:p>
        </w:tc>
        <w:tc>
          <w:tcPr>
            <w:tcW w:w="1865" w:type="dxa"/>
            <w:shd w:val="clear" w:color="auto" w:fill="auto"/>
            <w:vAlign w:val="center"/>
          </w:tcPr>
          <w:p w14:paraId="301F3DC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1223" w:type="dxa"/>
            <w:shd w:val="clear" w:color="auto" w:fill="auto"/>
            <w:vAlign w:val="center"/>
          </w:tcPr>
          <w:p w14:paraId="5F2096B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1,960.72</w:t>
            </w:r>
          </w:p>
        </w:tc>
        <w:tc>
          <w:tcPr>
            <w:tcW w:w="1110" w:type="dxa"/>
            <w:shd w:val="clear" w:color="auto" w:fill="auto"/>
            <w:vAlign w:val="center"/>
          </w:tcPr>
          <w:p w14:paraId="056FCA8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1,861.69</w:t>
            </w:r>
          </w:p>
        </w:tc>
        <w:tc>
          <w:tcPr>
            <w:tcW w:w="990" w:type="dxa"/>
            <w:shd w:val="clear" w:color="auto" w:fill="auto"/>
            <w:vAlign w:val="center"/>
          </w:tcPr>
          <w:p w14:paraId="1846DAB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99.03</w:t>
            </w:r>
          </w:p>
        </w:tc>
        <w:tc>
          <w:tcPr>
            <w:tcW w:w="931" w:type="dxa"/>
            <w:shd w:val="clear" w:color="auto" w:fill="auto"/>
            <w:vAlign w:val="center"/>
          </w:tcPr>
          <w:p w14:paraId="24ADDB60">
            <w:pPr>
              <w:jc w:val="right"/>
              <w:rPr>
                <w:rFonts w:hint="default" w:ascii="Times New Roman" w:hAnsi="Times New Roman" w:eastAsia="宋体" w:cs="Times New Roman"/>
                <w:b/>
                <w:bCs/>
                <w:i w:val="0"/>
                <w:iCs w:val="0"/>
                <w:color w:val="000000"/>
                <w:sz w:val="21"/>
                <w:szCs w:val="21"/>
                <w:u w:val="none" w:color="auto"/>
              </w:rPr>
            </w:pPr>
          </w:p>
        </w:tc>
        <w:tc>
          <w:tcPr>
            <w:tcW w:w="905" w:type="dxa"/>
            <w:shd w:val="clear" w:color="auto" w:fill="auto"/>
            <w:vAlign w:val="center"/>
          </w:tcPr>
          <w:p w14:paraId="477AD817">
            <w:pPr>
              <w:jc w:val="right"/>
              <w:rPr>
                <w:rFonts w:hint="default" w:ascii="Times New Roman" w:hAnsi="Times New Roman" w:eastAsia="宋体" w:cs="Times New Roman"/>
                <w:b/>
                <w:bCs/>
                <w:i w:val="0"/>
                <w:iCs w:val="0"/>
                <w:color w:val="000000"/>
                <w:sz w:val="21"/>
                <w:szCs w:val="21"/>
                <w:u w:val="none" w:color="auto"/>
              </w:rPr>
            </w:pPr>
          </w:p>
        </w:tc>
        <w:tc>
          <w:tcPr>
            <w:tcW w:w="1703" w:type="dxa"/>
            <w:shd w:val="clear" w:color="auto" w:fill="auto"/>
            <w:vAlign w:val="center"/>
          </w:tcPr>
          <w:p w14:paraId="5E48DE25">
            <w:pPr>
              <w:jc w:val="right"/>
              <w:rPr>
                <w:rFonts w:hint="default" w:ascii="Times New Roman" w:hAnsi="Times New Roman" w:eastAsia="宋体" w:cs="Times New Roman"/>
                <w:b/>
                <w:bCs/>
                <w:i w:val="0"/>
                <w:iCs w:val="0"/>
                <w:color w:val="000000"/>
                <w:sz w:val="21"/>
                <w:szCs w:val="21"/>
                <w:u w:val="none" w:color="auto"/>
              </w:rPr>
            </w:pPr>
          </w:p>
        </w:tc>
      </w:tr>
      <w:tr w14:paraId="27FE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69" w:type="dxa"/>
            <w:shd w:val="clear" w:color="auto" w:fill="auto"/>
            <w:vAlign w:val="center"/>
          </w:tcPr>
          <w:p w14:paraId="0D8BC09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2080505</w:t>
            </w:r>
          </w:p>
        </w:tc>
        <w:tc>
          <w:tcPr>
            <w:tcW w:w="1865" w:type="dxa"/>
            <w:shd w:val="clear" w:color="auto" w:fill="auto"/>
            <w:vAlign w:val="center"/>
          </w:tcPr>
          <w:p w14:paraId="14BA53C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223" w:type="dxa"/>
            <w:shd w:val="clear" w:color="auto" w:fill="auto"/>
            <w:vAlign w:val="center"/>
          </w:tcPr>
          <w:p w14:paraId="64BB8BD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100.43</w:t>
            </w:r>
          </w:p>
        </w:tc>
        <w:tc>
          <w:tcPr>
            <w:tcW w:w="1110" w:type="dxa"/>
            <w:shd w:val="clear" w:color="auto" w:fill="auto"/>
            <w:vAlign w:val="center"/>
          </w:tcPr>
          <w:p w14:paraId="561A9FD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100.43</w:t>
            </w:r>
          </w:p>
        </w:tc>
        <w:tc>
          <w:tcPr>
            <w:tcW w:w="990" w:type="dxa"/>
            <w:shd w:val="clear" w:color="auto" w:fill="auto"/>
            <w:vAlign w:val="center"/>
          </w:tcPr>
          <w:p w14:paraId="21A5718C">
            <w:pPr>
              <w:jc w:val="right"/>
              <w:rPr>
                <w:rFonts w:hint="default" w:ascii="Times New Roman" w:hAnsi="Times New Roman" w:eastAsia="宋体" w:cs="Times New Roman"/>
                <w:b/>
                <w:bCs/>
                <w:i w:val="0"/>
                <w:iCs w:val="0"/>
                <w:color w:val="000000"/>
                <w:sz w:val="21"/>
                <w:szCs w:val="21"/>
                <w:u w:val="none" w:color="auto"/>
              </w:rPr>
            </w:pPr>
          </w:p>
        </w:tc>
        <w:tc>
          <w:tcPr>
            <w:tcW w:w="931" w:type="dxa"/>
            <w:shd w:val="clear" w:color="auto" w:fill="auto"/>
            <w:vAlign w:val="center"/>
          </w:tcPr>
          <w:p w14:paraId="2EDAA58E">
            <w:pPr>
              <w:jc w:val="right"/>
              <w:rPr>
                <w:rFonts w:hint="default" w:ascii="Times New Roman" w:hAnsi="Times New Roman" w:eastAsia="宋体" w:cs="Times New Roman"/>
                <w:b/>
                <w:bCs/>
                <w:i w:val="0"/>
                <w:iCs w:val="0"/>
                <w:color w:val="000000"/>
                <w:sz w:val="21"/>
                <w:szCs w:val="21"/>
                <w:u w:val="none" w:color="auto"/>
              </w:rPr>
            </w:pPr>
          </w:p>
        </w:tc>
        <w:tc>
          <w:tcPr>
            <w:tcW w:w="905" w:type="dxa"/>
            <w:shd w:val="clear" w:color="auto" w:fill="auto"/>
            <w:vAlign w:val="center"/>
          </w:tcPr>
          <w:p w14:paraId="41F9F36F">
            <w:pPr>
              <w:jc w:val="right"/>
              <w:rPr>
                <w:rFonts w:hint="default" w:ascii="Times New Roman" w:hAnsi="Times New Roman" w:eastAsia="宋体" w:cs="Times New Roman"/>
                <w:b/>
                <w:bCs/>
                <w:i w:val="0"/>
                <w:iCs w:val="0"/>
                <w:color w:val="000000"/>
                <w:sz w:val="21"/>
                <w:szCs w:val="21"/>
                <w:u w:val="none" w:color="auto"/>
              </w:rPr>
            </w:pPr>
          </w:p>
        </w:tc>
        <w:tc>
          <w:tcPr>
            <w:tcW w:w="1703" w:type="dxa"/>
            <w:shd w:val="clear" w:color="auto" w:fill="auto"/>
            <w:vAlign w:val="center"/>
          </w:tcPr>
          <w:p w14:paraId="21DBF072">
            <w:pPr>
              <w:jc w:val="right"/>
              <w:rPr>
                <w:rFonts w:hint="default" w:ascii="Times New Roman" w:hAnsi="Times New Roman" w:eastAsia="宋体" w:cs="Times New Roman"/>
                <w:b/>
                <w:bCs/>
                <w:i w:val="0"/>
                <w:iCs w:val="0"/>
                <w:color w:val="000000"/>
                <w:sz w:val="21"/>
                <w:szCs w:val="21"/>
                <w:u w:val="none" w:color="auto"/>
              </w:rPr>
            </w:pPr>
          </w:p>
        </w:tc>
      </w:tr>
      <w:tr w14:paraId="75E8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469" w:type="dxa"/>
            <w:shd w:val="clear" w:color="auto" w:fill="auto"/>
            <w:vAlign w:val="center"/>
          </w:tcPr>
          <w:p w14:paraId="500C475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2080506</w:t>
            </w:r>
          </w:p>
        </w:tc>
        <w:tc>
          <w:tcPr>
            <w:tcW w:w="1865" w:type="dxa"/>
            <w:shd w:val="clear" w:color="auto" w:fill="auto"/>
            <w:vAlign w:val="center"/>
          </w:tcPr>
          <w:p w14:paraId="5E17162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机关事业单位职业年金缴费支出</w:t>
            </w:r>
          </w:p>
        </w:tc>
        <w:tc>
          <w:tcPr>
            <w:tcW w:w="1223" w:type="dxa"/>
            <w:shd w:val="clear" w:color="auto" w:fill="auto"/>
            <w:vAlign w:val="center"/>
          </w:tcPr>
          <w:p w14:paraId="5F7C282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29.74</w:t>
            </w:r>
          </w:p>
        </w:tc>
        <w:tc>
          <w:tcPr>
            <w:tcW w:w="1110" w:type="dxa"/>
            <w:shd w:val="clear" w:color="auto" w:fill="auto"/>
            <w:vAlign w:val="center"/>
          </w:tcPr>
          <w:p w14:paraId="44175BA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29.74</w:t>
            </w:r>
          </w:p>
        </w:tc>
        <w:tc>
          <w:tcPr>
            <w:tcW w:w="990" w:type="dxa"/>
            <w:shd w:val="clear" w:color="auto" w:fill="auto"/>
            <w:vAlign w:val="center"/>
          </w:tcPr>
          <w:p w14:paraId="60811FB3">
            <w:pPr>
              <w:jc w:val="right"/>
              <w:rPr>
                <w:rFonts w:hint="default" w:ascii="Times New Roman" w:hAnsi="Times New Roman" w:eastAsia="宋体" w:cs="Times New Roman"/>
                <w:i w:val="0"/>
                <w:iCs w:val="0"/>
                <w:color w:val="000000"/>
                <w:sz w:val="21"/>
                <w:szCs w:val="21"/>
                <w:u w:val="none" w:color="auto"/>
              </w:rPr>
            </w:pPr>
          </w:p>
        </w:tc>
        <w:tc>
          <w:tcPr>
            <w:tcW w:w="931" w:type="dxa"/>
            <w:shd w:val="clear" w:color="auto" w:fill="auto"/>
            <w:vAlign w:val="center"/>
          </w:tcPr>
          <w:p w14:paraId="021CC56A">
            <w:pPr>
              <w:jc w:val="right"/>
              <w:rPr>
                <w:rFonts w:hint="default" w:ascii="Times New Roman" w:hAnsi="Times New Roman" w:eastAsia="宋体" w:cs="Times New Roman"/>
                <w:i w:val="0"/>
                <w:iCs w:val="0"/>
                <w:color w:val="000000"/>
                <w:sz w:val="21"/>
                <w:szCs w:val="21"/>
                <w:u w:val="none" w:color="auto"/>
              </w:rPr>
            </w:pPr>
          </w:p>
        </w:tc>
        <w:tc>
          <w:tcPr>
            <w:tcW w:w="905" w:type="dxa"/>
            <w:shd w:val="clear" w:color="auto" w:fill="auto"/>
            <w:vAlign w:val="center"/>
          </w:tcPr>
          <w:p w14:paraId="6B907BA7">
            <w:pPr>
              <w:jc w:val="right"/>
              <w:rPr>
                <w:rFonts w:hint="default" w:ascii="Times New Roman" w:hAnsi="Times New Roman" w:eastAsia="宋体" w:cs="Times New Roman"/>
                <w:i w:val="0"/>
                <w:iCs w:val="0"/>
                <w:color w:val="000000"/>
                <w:sz w:val="21"/>
                <w:szCs w:val="21"/>
                <w:u w:val="none" w:color="auto"/>
              </w:rPr>
            </w:pPr>
          </w:p>
        </w:tc>
        <w:tc>
          <w:tcPr>
            <w:tcW w:w="1703" w:type="dxa"/>
            <w:shd w:val="clear" w:color="auto" w:fill="auto"/>
            <w:vAlign w:val="center"/>
          </w:tcPr>
          <w:p w14:paraId="7820A5E3">
            <w:pPr>
              <w:jc w:val="right"/>
              <w:rPr>
                <w:rFonts w:hint="default" w:ascii="Times New Roman" w:hAnsi="Times New Roman" w:eastAsia="宋体" w:cs="Times New Roman"/>
                <w:i w:val="0"/>
                <w:iCs w:val="0"/>
                <w:color w:val="000000"/>
                <w:sz w:val="21"/>
                <w:szCs w:val="21"/>
                <w:u w:val="none" w:color="auto"/>
              </w:rPr>
            </w:pPr>
          </w:p>
        </w:tc>
      </w:tr>
    </w:tbl>
    <w:p w14:paraId="5E0BC91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注：本表反映部门本年度各项支出情况。</w:t>
      </w:r>
    </w:p>
    <w:p w14:paraId="42F9698D">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6F1A39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年度财政拨款收入支出决算总表</w:t>
      </w:r>
    </w:p>
    <w:p w14:paraId="73016C71">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公开04表</w:t>
      </w:r>
    </w:p>
    <w:p w14:paraId="140AE2A2">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部门：武汉市光谷第四初级中学</w:t>
      </w:r>
      <w:r>
        <w:rPr>
          <w:rFonts w:hint="default" w:ascii="Times New Roman" w:hAnsi="Times New Roman" w:eastAsia="微软雅黑" w:cs="Times New Roman"/>
          <w:sz w:val="16"/>
          <w:szCs w:val="16"/>
          <w:u w:val="none" w:color="auto"/>
        </w:rPr>
        <w:t xml:space="preserve">                  </w:t>
      </w:r>
      <w:r>
        <w:rPr>
          <w:rFonts w:hint="default" w:ascii="Times New Roman" w:hAnsi="Times New Roman" w:eastAsia="微软雅黑" w:cs="Times New Roman"/>
          <w:sz w:val="16"/>
          <w:szCs w:val="16"/>
          <w:u w:val="none" w:color="auto"/>
          <w:lang w:val="en-US" w:eastAsia="zh-CN"/>
        </w:rPr>
        <w:t xml:space="preserve">                     </w:t>
      </w:r>
      <w:r>
        <w:rPr>
          <w:rFonts w:hint="default" w:ascii="Times New Roman" w:hAnsi="Times New Roman" w:eastAsia="微软雅黑" w:cs="Times New Roman"/>
          <w:sz w:val="16"/>
          <w:szCs w:val="16"/>
          <w:u w:val="none" w:color="auto"/>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89"/>
        <w:gridCol w:w="1098"/>
        <w:gridCol w:w="2027"/>
        <w:gridCol w:w="521"/>
        <w:gridCol w:w="414"/>
        <w:gridCol w:w="1152"/>
        <w:gridCol w:w="1350"/>
        <w:gridCol w:w="1343"/>
      </w:tblGrid>
      <w:tr w14:paraId="1A36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4252" w:type="dxa"/>
            <w:gridSpan w:val="3"/>
            <w:shd w:val="clear" w:color="auto" w:fill="auto"/>
            <w:vAlign w:val="center"/>
          </w:tcPr>
          <w:p w14:paraId="4A873C1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收     入</w:t>
            </w:r>
          </w:p>
        </w:tc>
        <w:tc>
          <w:tcPr>
            <w:tcW w:w="6807" w:type="dxa"/>
            <w:gridSpan w:val="6"/>
            <w:shd w:val="clear" w:color="auto" w:fill="auto"/>
            <w:vAlign w:val="center"/>
          </w:tcPr>
          <w:p w14:paraId="5A49D4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支     出</w:t>
            </w:r>
          </w:p>
        </w:tc>
      </w:tr>
      <w:tr w14:paraId="26CB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14:paraId="0D9F77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项  目</w:t>
            </w:r>
          </w:p>
        </w:tc>
        <w:tc>
          <w:tcPr>
            <w:tcW w:w="489" w:type="dxa"/>
            <w:vMerge w:val="restart"/>
            <w:shd w:val="clear" w:color="auto" w:fill="auto"/>
            <w:vAlign w:val="center"/>
          </w:tcPr>
          <w:p w14:paraId="592689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行次</w:t>
            </w:r>
          </w:p>
        </w:tc>
        <w:tc>
          <w:tcPr>
            <w:tcW w:w="1098" w:type="dxa"/>
            <w:vMerge w:val="restart"/>
            <w:shd w:val="clear" w:color="auto" w:fill="auto"/>
            <w:vAlign w:val="center"/>
          </w:tcPr>
          <w:p w14:paraId="64C2BB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决算数</w:t>
            </w:r>
          </w:p>
        </w:tc>
        <w:tc>
          <w:tcPr>
            <w:tcW w:w="2027" w:type="dxa"/>
            <w:vMerge w:val="restart"/>
            <w:shd w:val="clear" w:color="auto" w:fill="auto"/>
            <w:vAlign w:val="center"/>
          </w:tcPr>
          <w:p w14:paraId="48AEB1AF">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项目</w:t>
            </w:r>
          </w:p>
        </w:tc>
        <w:tc>
          <w:tcPr>
            <w:tcW w:w="521" w:type="dxa"/>
            <w:vMerge w:val="restart"/>
            <w:shd w:val="clear" w:color="auto" w:fill="auto"/>
            <w:vAlign w:val="center"/>
          </w:tcPr>
          <w:p w14:paraId="5505D93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行次</w:t>
            </w:r>
          </w:p>
        </w:tc>
        <w:tc>
          <w:tcPr>
            <w:tcW w:w="4259" w:type="dxa"/>
            <w:gridSpan w:val="4"/>
            <w:shd w:val="clear" w:color="auto" w:fill="auto"/>
            <w:vAlign w:val="center"/>
          </w:tcPr>
          <w:p w14:paraId="320F96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决算数</w:t>
            </w:r>
          </w:p>
        </w:tc>
      </w:tr>
      <w:tr w14:paraId="4D9B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14:paraId="02C30DD4">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color="auto"/>
              </w:rPr>
            </w:pPr>
          </w:p>
        </w:tc>
        <w:tc>
          <w:tcPr>
            <w:tcW w:w="489" w:type="dxa"/>
            <w:vMerge w:val="continue"/>
            <w:shd w:val="clear" w:color="auto" w:fill="auto"/>
            <w:vAlign w:val="center"/>
          </w:tcPr>
          <w:p w14:paraId="09A6A34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color="auto"/>
              </w:rPr>
            </w:pPr>
          </w:p>
        </w:tc>
        <w:tc>
          <w:tcPr>
            <w:tcW w:w="1098" w:type="dxa"/>
            <w:vMerge w:val="continue"/>
            <w:shd w:val="clear" w:color="auto" w:fill="auto"/>
            <w:vAlign w:val="center"/>
          </w:tcPr>
          <w:p w14:paraId="642C714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color="auto"/>
              </w:rPr>
            </w:pPr>
          </w:p>
        </w:tc>
        <w:tc>
          <w:tcPr>
            <w:tcW w:w="2027" w:type="dxa"/>
            <w:vMerge w:val="continue"/>
            <w:shd w:val="clear" w:color="auto" w:fill="auto"/>
            <w:vAlign w:val="bottom"/>
          </w:tcPr>
          <w:p w14:paraId="0F49E61E">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color="auto"/>
              </w:rPr>
            </w:pPr>
          </w:p>
        </w:tc>
        <w:tc>
          <w:tcPr>
            <w:tcW w:w="521" w:type="dxa"/>
            <w:vMerge w:val="continue"/>
            <w:shd w:val="clear" w:color="auto" w:fill="auto"/>
            <w:vAlign w:val="center"/>
          </w:tcPr>
          <w:p w14:paraId="774E75D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color="auto"/>
              </w:rPr>
            </w:pPr>
          </w:p>
        </w:tc>
        <w:tc>
          <w:tcPr>
            <w:tcW w:w="414" w:type="dxa"/>
            <w:shd w:val="clear" w:color="auto" w:fill="auto"/>
            <w:vAlign w:val="center"/>
          </w:tcPr>
          <w:p w14:paraId="060163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合计</w:t>
            </w:r>
          </w:p>
        </w:tc>
        <w:tc>
          <w:tcPr>
            <w:tcW w:w="1152" w:type="dxa"/>
            <w:shd w:val="clear" w:color="auto" w:fill="auto"/>
            <w:vAlign w:val="center"/>
          </w:tcPr>
          <w:p w14:paraId="2BD451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一般公共预算财政拨款</w:t>
            </w:r>
          </w:p>
        </w:tc>
        <w:tc>
          <w:tcPr>
            <w:tcW w:w="1350" w:type="dxa"/>
            <w:shd w:val="clear" w:color="auto" w:fill="auto"/>
            <w:vAlign w:val="center"/>
          </w:tcPr>
          <w:p w14:paraId="2BF18D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政府性基金预算财政拨款</w:t>
            </w:r>
          </w:p>
        </w:tc>
        <w:tc>
          <w:tcPr>
            <w:tcW w:w="1343" w:type="dxa"/>
            <w:shd w:val="clear" w:color="auto" w:fill="auto"/>
            <w:vAlign w:val="center"/>
          </w:tcPr>
          <w:p w14:paraId="4CD20E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国有资本经营预算财政拨款</w:t>
            </w:r>
          </w:p>
        </w:tc>
      </w:tr>
      <w:tr w14:paraId="7AB3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F278A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栏次</w:t>
            </w:r>
          </w:p>
        </w:tc>
        <w:tc>
          <w:tcPr>
            <w:tcW w:w="489" w:type="dxa"/>
            <w:shd w:val="clear" w:color="auto" w:fill="auto"/>
            <w:vAlign w:val="center"/>
          </w:tcPr>
          <w:p w14:paraId="06C1E7D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color="auto"/>
              </w:rPr>
            </w:pPr>
          </w:p>
        </w:tc>
        <w:tc>
          <w:tcPr>
            <w:tcW w:w="1098" w:type="dxa"/>
            <w:shd w:val="clear" w:color="auto" w:fill="auto"/>
            <w:vAlign w:val="center"/>
          </w:tcPr>
          <w:p w14:paraId="0FA627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w:t>
            </w:r>
          </w:p>
        </w:tc>
        <w:tc>
          <w:tcPr>
            <w:tcW w:w="2027" w:type="dxa"/>
            <w:shd w:val="clear" w:color="auto" w:fill="auto"/>
            <w:vAlign w:val="bottom"/>
          </w:tcPr>
          <w:p w14:paraId="5AECA0C4">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栏次</w:t>
            </w:r>
          </w:p>
        </w:tc>
        <w:tc>
          <w:tcPr>
            <w:tcW w:w="521" w:type="dxa"/>
            <w:shd w:val="clear" w:color="auto" w:fill="auto"/>
            <w:vAlign w:val="center"/>
          </w:tcPr>
          <w:p w14:paraId="76B2CF6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color="auto"/>
              </w:rPr>
            </w:pPr>
          </w:p>
        </w:tc>
        <w:tc>
          <w:tcPr>
            <w:tcW w:w="414" w:type="dxa"/>
            <w:shd w:val="clear" w:color="auto" w:fill="auto"/>
            <w:vAlign w:val="center"/>
          </w:tcPr>
          <w:p w14:paraId="058E13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w:t>
            </w:r>
          </w:p>
        </w:tc>
        <w:tc>
          <w:tcPr>
            <w:tcW w:w="1152" w:type="dxa"/>
            <w:shd w:val="clear" w:color="auto" w:fill="auto"/>
            <w:vAlign w:val="center"/>
          </w:tcPr>
          <w:p w14:paraId="1962F2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w:t>
            </w:r>
          </w:p>
        </w:tc>
        <w:tc>
          <w:tcPr>
            <w:tcW w:w="1350" w:type="dxa"/>
            <w:shd w:val="clear" w:color="auto" w:fill="auto"/>
            <w:vAlign w:val="center"/>
          </w:tcPr>
          <w:p w14:paraId="6CC40EC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w:t>
            </w:r>
          </w:p>
        </w:tc>
        <w:tc>
          <w:tcPr>
            <w:tcW w:w="1343" w:type="dxa"/>
            <w:shd w:val="clear" w:color="auto" w:fill="auto"/>
            <w:vAlign w:val="center"/>
          </w:tcPr>
          <w:p w14:paraId="18BFEB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w:t>
            </w:r>
          </w:p>
        </w:tc>
      </w:tr>
      <w:tr w14:paraId="0406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41F464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一、一般公共预算财政拨款</w:t>
            </w:r>
          </w:p>
        </w:tc>
        <w:tc>
          <w:tcPr>
            <w:tcW w:w="489" w:type="dxa"/>
            <w:shd w:val="clear" w:color="auto" w:fill="auto"/>
            <w:vAlign w:val="center"/>
          </w:tcPr>
          <w:p w14:paraId="42B7335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w:t>
            </w:r>
          </w:p>
        </w:tc>
        <w:tc>
          <w:tcPr>
            <w:tcW w:w="1098" w:type="dxa"/>
            <w:shd w:val="clear" w:color="auto" w:fill="auto"/>
            <w:vAlign w:val="center"/>
          </w:tcPr>
          <w:p w14:paraId="377048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11960D4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一、一般公共服务支出</w:t>
            </w:r>
          </w:p>
        </w:tc>
        <w:tc>
          <w:tcPr>
            <w:tcW w:w="521" w:type="dxa"/>
            <w:shd w:val="clear" w:color="auto" w:fill="auto"/>
            <w:vAlign w:val="center"/>
          </w:tcPr>
          <w:p w14:paraId="4C3D8A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33</w:t>
            </w:r>
          </w:p>
        </w:tc>
        <w:tc>
          <w:tcPr>
            <w:tcW w:w="414" w:type="dxa"/>
            <w:shd w:val="clear" w:color="auto" w:fill="auto"/>
            <w:vAlign w:val="center"/>
          </w:tcPr>
          <w:p w14:paraId="16721B2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62374B8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350" w:type="dxa"/>
            <w:shd w:val="clear" w:color="auto" w:fill="auto"/>
            <w:vAlign w:val="center"/>
          </w:tcPr>
          <w:p w14:paraId="0E3BDDC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343" w:type="dxa"/>
            <w:shd w:val="clear" w:color="auto" w:fill="auto"/>
            <w:vAlign w:val="center"/>
          </w:tcPr>
          <w:p w14:paraId="34052E0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r>
      <w:tr w14:paraId="706F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587985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二、政府性基金预算财政拨款</w:t>
            </w:r>
          </w:p>
        </w:tc>
        <w:tc>
          <w:tcPr>
            <w:tcW w:w="489" w:type="dxa"/>
            <w:shd w:val="clear" w:color="auto" w:fill="auto"/>
            <w:vAlign w:val="center"/>
          </w:tcPr>
          <w:p w14:paraId="56DF78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w:t>
            </w:r>
          </w:p>
        </w:tc>
        <w:tc>
          <w:tcPr>
            <w:tcW w:w="1098" w:type="dxa"/>
            <w:shd w:val="clear" w:color="auto" w:fill="auto"/>
            <w:vAlign w:val="center"/>
          </w:tcPr>
          <w:p w14:paraId="61A8968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79A3971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二、外交支出</w:t>
            </w:r>
          </w:p>
        </w:tc>
        <w:tc>
          <w:tcPr>
            <w:tcW w:w="521" w:type="dxa"/>
            <w:shd w:val="clear" w:color="auto" w:fill="auto"/>
            <w:vAlign w:val="center"/>
          </w:tcPr>
          <w:p w14:paraId="1DBA82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34</w:t>
            </w:r>
          </w:p>
        </w:tc>
        <w:tc>
          <w:tcPr>
            <w:tcW w:w="414" w:type="dxa"/>
            <w:shd w:val="clear" w:color="auto" w:fill="auto"/>
            <w:vAlign w:val="center"/>
          </w:tcPr>
          <w:p w14:paraId="6E4E125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06669F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350" w:type="dxa"/>
            <w:shd w:val="clear" w:color="auto" w:fill="auto"/>
            <w:vAlign w:val="center"/>
          </w:tcPr>
          <w:p w14:paraId="3EBFB0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343" w:type="dxa"/>
            <w:shd w:val="clear" w:color="auto" w:fill="auto"/>
            <w:vAlign w:val="center"/>
          </w:tcPr>
          <w:p w14:paraId="302CEBB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r>
      <w:tr w14:paraId="6303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673F4D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三、国有资本经营预算财政拨款</w:t>
            </w:r>
          </w:p>
        </w:tc>
        <w:tc>
          <w:tcPr>
            <w:tcW w:w="489" w:type="dxa"/>
            <w:shd w:val="clear" w:color="auto" w:fill="auto"/>
            <w:vAlign w:val="center"/>
          </w:tcPr>
          <w:p w14:paraId="49DFE5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w:t>
            </w:r>
          </w:p>
        </w:tc>
        <w:tc>
          <w:tcPr>
            <w:tcW w:w="1098" w:type="dxa"/>
            <w:shd w:val="clear" w:color="auto" w:fill="auto"/>
            <w:vAlign w:val="center"/>
          </w:tcPr>
          <w:p w14:paraId="4FCF55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30BDF4A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三、国防支出</w:t>
            </w:r>
          </w:p>
        </w:tc>
        <w:tc>
          <w:tcPr>
            <w:tcW w:w="521" w:type="dxa"/>
            <w:shd w:val="clear" w:color="auto" w:fill="auto"/>
            <w:vAlign w:val="center"/>
          </w:tcPr>
          <w:p w14:paraId="09DB46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35</w:t>
            </w:r>
          </w:p>
        </w:tc>
        <w:tc>
          <w:tcPr>
            <w:tcW w:w="414" w:type="dxa"/>
            <w:shd w:val="clear" w:color="auto" w:fill="auto"/>
            <w:vAlign w:val="center"/>
          </w:tcPr>
          <w:p w14:paraId="550CD8C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009CBC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350" w:type="dxa"/>
            <w:shd w:val="clear" w:color="auto" w:fill="auto"/>
            <w:vAlign w:val="center"/>
          </w:tcPr>
          <w:p w14:paraId="083752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343" w:type="dxa"/>
            <w:shd w:val="clear" w:color="auto" w:fill="auto"/>
            <w:vAlign w:val="center"/>
          </w:tcPr>
          <w:p w14:paraId="31C055B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r>
      <w:tr w14:paraId="20C7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74C166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1A540A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w:t>
            </w:r>
          </w:p>
        </w:tc>
        <w:tc>
          <w:tcPr>
            <w:tcW w:w="1098" w:type="dxa"/>
            <w:shd w:val="clear" w:color="auto" w:fill="auto"/>
            <w:vAlign w:val="center"/>
          </w:tcPr>
          <w:p w14:paraId="443D20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082C0E3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四、公共安全支出</w:t>
            </w:r>
          </w:p>
        </w:tc>
        <w:tc>
          <w:tcPr>
            <w:tcW w:w="521" w:type="dxa"/>
            <w:shd w:val="clear" w:color="auto" w:fill="auto"/>
            <w:vAlign w:val="center"/>
          </w:tcPr>
          <w:p w14:paraId="6810DF8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36</w:t>
            </w:r>
          </w:p>
        </w:tc>
        <w:tc>
          <w:tcPr>
            <w:tcW w:w="414" w:type="dxa"/>
            <w:shd w:val="clear" w:color="auto" w:fill="auto"/>
            <w:vAlign w:val="center"/>
          </w:tcPr>
          <w:p w14:paraId="5B8D2B0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39B2CD8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350" w:type="dxa"/>
            <w:shd w:val="clear" w:color="auto" w:fill="auto"/>
            <w:vAlign w:val="center"/>
          </w:tcPr>
          <w:p w14:paraId="6D65A1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343" w:type="dxa"/>
            <w:shd w:val="clear" w:color="auto" w:fill="auto"/>
            <w:vAlign w:val="center"/>
          </w:tcPr>
          <w:p w14:paraId="4C5E2C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r>
      <w:tr w14:paraId="386F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C561C7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524BE9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w:t>
            </w:r>
          </w:p>
        </w:tc>
        <w:tc>
          <w:tcPr>
            <w:tcW w:w="1098" w:type="dxa"/>
            <w:shd w:val="clear" w:color="auto" w:fill="auto"/>
            <w:vAlign w:val="center"/>
          </w:tcPr>
          <w:p w14:paraId="24422D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1510F43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五、教育支出</w:t>
            </w:r>
          </w:p>
        </w:tc>
        <w:tc>
          <w:tcPr>
            <w:tcW w:w="521" w:type="dxa"/>
            <w:shd w:val="clear" w:color="auto" w:fill="auto"/>
            <w:vAlign w:val="center"/>
          </w:tcPr>
          <w:p w14:paraId="455791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37</w:t>
            </w:r>
          </w:p>
        </w:tc>
        <w:tc>
          <w:tcPr>
            <w:tcW w:w="414" w:type="dxa"/>
            <w:shd w:val="clear" w:color="auto" w:fill="auto"/>
            <w:vAlign w:val="center"/>
          </w:tcPr>
          <w:p w14:paraId="37D165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34B9001B">
            <w:pPr>
              <w:keepNext w:val="0"/>
              <w:keepLines w:val="0"/>
              <w:widowControl/>
              <w:suppressLineNumbers w:val="0"/>
              <w:jc w:val="right"/>
              <w:textAlignment w:val="center"/>
              <w:rPr>
                <w:rFonts w:hint="default" w:ascii="Times New Roman" w:hAnsi="Times New Roman" w:eastAsia="宋体" w:cs="Times New Roman"/>
                <w:i w:val="0"/>
                <w:iCs w:val="0"/>
                <w:color w:val="000000"/>
                <w:sz w:val="13"/>
                <w:szCs w:val="13"/>
                <w:u w:val="none" w:color="auto"/>
              </w:rPr>
            </w:pPr>
            <w:r>
              <w:rPr>
                <w:rFonts w:hint="eastAsia" w:ascii="宋体" w:hAnsi="宋体" w:eastAsia="宋体" w:cs="宋体"/>
                <w:i w:val="0"/>
                <w:iCs w:val="0"/>
                <w:snapToGrid w:val="0"/>
                <w:color w:val="000000"/>
                <w:kern w:val="0"/>
                <w:sz w:val="18"/>
                <w:szCs w:val="18"/>
                <w:u w:val="none"/>
                <w:lang w:val="en-US" w:eastAsia="zh-CN" w:bidi="ar"/>
              </w:rPr>
              <w:t>1,866.46</w:t>
            </w:r>
          </w:p>
        </w:tc>
        <w:tc>
          <w:tcPr>
            <w:tcW w:w="1350" w:type="dxa"/>
            <w:shd w:val="clear" w:color="auto" w:fill="auto"/>
            <w:vAlign w:val="center"/>
          </w:tcPr>
          <w:p w14:paraId="2F94DBBF">
            <w:pPr>
              <w:keepNext w:val="0"/>
              <w:keepLines w:val="0"/>
              <w:widowControl/>
              <w:suppressLineNumbers w:val="0"/>
              <w:jc w:val="right"/>
              <w:textAlignment w:val="center"/>
              <w:rPr>
                <w:rFonts w:hint="default" w:ascii="Times New Roman" w:hAnsi="Times New Roman" w:eastAsia="宋体" w:cs="Times New Roman"/>
                <w:i w:val="0"/>
                <w:iCs w:val="0"/>
                <w:color w:val="000000"/>
                <w:sz w:val="13"/>
                <w:szCs w:val="13"/>
                <w:u w:val="none" w:color="auto"/>
              </w:rPr>
            </w:pPr>
            <w:r>
              <w:rPr>
                <w:rFonts w:hint="eastAsia" w:ascii="宋体" w:hAnsi="宋体" w:eastAsia="宋体" w:cs="宋体"/>
                <w:i w:val="0"/>
                <w:iCs w:val="0"/>
                <w:snapToGrid w:val="0"/>
                <w:color w:val="000000"/>
                <w:kern w:val="0"/>
                <w:sz w:val="18"/>
                <w:szCs w:val="18"/>
                <w:u w:val="none"/>
                <w:lang w:val="en-US" w:eastAsia="zh-CN" w:bidi="ar"/>
              </w:rPr>
              <w:t>1,866.46</w:t>
            </w:r>
          </w:p>
        </w:tc>
        <w:tc>
          <w:tcPr>
            <w:tcW w:w="1343" w:type="dxa"/>
            <w:shd w:val="clear" w:color="auto" w:fill="auto"/>
            <w:vAlign w:val="center"/>
          </w:tcPr>
          <w:p w14:paraId="45BCDE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5DDC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5005EC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0FE59C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6</w:t>
            </w:r>
          </w:p>
        </w:tc>
        <w:tc>
          <w:tcPr>
            <w:tcW w:w="1098" w:type="dxa"/>
            <w:shd w:val="clear" w:color="auto" w:fill="auto"/>
            <w:vAlign w:val="center"/>
          </w:tcPr>
          <w:p w14:paraId="7B301EA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4F9141A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六、科学技术支出</w:t>
            </w:r>
          </w:p>
        </w:tc>
        <w:tc>
          <w:tcPr>
            <w:tcW w:w="521" w:type="dxa"/>
            <w:shd w:val="clear" w:color="auto" w:fill="auto"/>
            <w:vAlign w:val="center"/>
          </w:tcPr>
          <w:p w14:paraId="24E34D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38</w:t>
            </w:r>
          </w:p>
        </w:tc>
        <w:tc>
          <w:tcPr>
            <w:tcW w:w="414" w:type="dxa"/>
            <w:shd w:val="clear" w:color="auto" w:fill="auto"/>
            <w:vAlign w:val="center"/>
          </w:tcPr>
          <w:p w14:paraId="2221632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4AF88F7E">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4F55B588">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1E38E5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1FA5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1F8DCE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7E5298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7</w:t>
            </w:r>
          </w:p>
        </w:tc>
        <w:tc>
          <w:tcPr>
            <w:tcW w:w="1098" w:type="dxa"/>
            <w:shd w:val="clear" w:color="auto" w:fill="auto"/>
            <w:vAlign w:val="center"/>
          </w:tcPr>
          <w:p w14:paraId="4A53E90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5D71FF2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七、文化旅游体育与传媒支出</w:t>
            </w:r>
          </w:p>
        </w:tc>
        <w:tc>
          <w:tcPr>
            <w:tcW w:w="521" w:type="dxa"/>
            <w:shd w:val="clear" w:color="auto" w:fill="auto"/>
            <w:vAlign w:val="center"/>
          </w:tcPr>
          <w:p w14:paraId="1C2313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39</w:t>
            </w:r>
          </w:p>
        </w:tc>
        <w:tc>
          <w:tcPr>
            <w:tcW w:w="414" w:type="dxa"/>
            <w:shd w:val="clear" w:color="auto" w:fill="auto"/>
            <w:vAlign w:val="center"/>
          </w:tcPr>
          <w:p w14:paraId="414108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41698BAC">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486B983F">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6457DF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7C2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C6CEBF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0D00730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8</w:t>
            </w:r>
          </w:p>
        </w:tc>
        <w:tc>
          <w:tcPr>
            <w:tcW w:w="1098" w:type="dxa"/>
            <w:shd w:val="clear" w:color="auto" w:fill="auto"/>
            <w:vAlign w:val="center"/>
          </w:tcPr>
          <w:p w14:paraId="5C8414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7C919E6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八、社会保障和就业支出</w:t>
            </w:r>
          </w:p>
        </w:tc>
        <w:tc>
          <w:tcPr>
            <w:tcW w:w="521" w:type="dxa"/>
            <w:shd w:val="clear" w:color="auto" w:fill="auto"/>
            <w:vAlign w:val="center"/>
          </w:tcPr>
          <w:p w14:paraId="59DEA1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40</w:t>
            </w:r>
          </w:p>
        </w:tc>
        <w:tc>
          <w:tcPr>
            <w:tcW w:w="414" w:type="dxa"/>
            <w:shd w:val="clear" w:color="auto" w:fill="auto"/>
            <w:vAlign w:val="center"/>
          </w:tcPr>
          <w:p w14:paraId="240522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746AEE8B">
            <w:pPr>
              <w:keepNext w:val="0"/>
              <w:keepLines w:val="0"/>
              <w:widowControl/>
              <w:suppressLineNumbers w:val="0"/>
              <w:jc w:val="right"/>
              <w:textAlignment w:val="center"/>
              <w:rPr>
                <w:rFonts w:hint="default" w:ascii="Times New Roman" w:hAnsi="Times New Roman" w:eastAsia="宋体" w:cs="Times New Roman"/>
                <w:i w:val="0"/>
                <w:iCs w:val="0"/>
                <w:color w:val="000000"/>
                <w:sz w:val="13"/>
                <w:szCs w:val="13"/>
                <w:u w:val="none" w:color="auto"/>
              </w:rPr>
            </w:pPr>
            <w:r>
              <w:rPr>
                <w:rFonts w:hint="eastAsia" w:ascii="宋体" w:hAnsi="宋体" w:eastAsia="宋体" w:cs="宋体"/>
                <w:i w:val="0"/>
                <w:iCs w:val="0"/>
                <w:snapToGrid w:val="0"/>
                <w:color w:val="000000"/>
                <w:kern w:val="0"/>
                <w:sz w:val="18"/>
                <w:szCs w:val="18"/>
                <w:u w:val="none"/>
                <w:lang w:val="en-US" w:eastAsia="zh-CN" w:bidi="ar"/>
              </w:rPr>
              <w:t>130.17</w:t>
            </w:r>
          </w:p>
        </w:tc>
        <w:tc>
          <w:tcPr>
            <w:tcW w:w="1350" w:type="dxa"/>
            <w:shd w:val="clear" w:color="auto" w:fill="auto"/>
            <w:vAlign w:val="center"/>
          </w:tcPr>
          <w:p w14:paraId="3AABC188">
            <w:pPr>
              <w:keepNext w:val="0"/>
              <w:keepLines w:val="0"/>
              <w:widowControl/>
              <w:suppressLineNumbers w:val="0"/>
              <w:jc w:val="right"/>
              <w:textAlignment w:val="center"/>
              <w:rPr>
                <w:rFonts w:hint="default" w:ascii="Times New Roman" w:hAnsi="Times New Roman" w:eastAsia="宋体" w:cs="Times New Roman"/>
                <w:i w:val="0"/>
                <w:iCs w:val="0"/>
                <w:color w:val="000000"/>
                <w:sz w:val="13"/>
                <w:szCs w:val="13"/>
                <w:u w:val="none" w:color="auto"/>
              </w:rPr>
            </w:pPr>
            <w:r>
              <w:rPr>
                <w:rFonts w:hint="eastAsia" w:ascii="宋体" w:hAnsi="宋体" w:eastAsia="宋体" w:cs="宋体"/>
                <w:i w:val="0"/>
                <w:iCs w:val="0"/>
                <w:snapToGrid w:val="0"/>
                <w:color w:val="000000"/>
                <w:kern w:val="0"/>
                <w:sz w:val="18"/>
                <w:szCs w:val="18"/>
                <w:u w:val="none"/>
                <w:lang w:val="en-US" w:eastAsia="zh-CN" w:bidi="ar"/>
              </w:rPr>
              <w:t>130.17</w:t>
            </w:r>
          </w:p>
        </w:tc>
        <w:tc>
          <w:tcPr>
            <w:tcW w:w="1343" w:type="dxa"/>
            <w:shd w:val="clear" w:color="auto" w:fill="auto"/>
            <w:vAlign w:val="center"/>
          </w:tcPr>
          <w:p w14:paraId="36B970C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4B83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4B62F3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417B82E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9</w:t>
            </w:r>
          </w:p>
        </w:tc>
        <w:tc>
          <w:tcPr>
            <w:tcW w:w="1098" w:type="dxa"/>
            <w:shd w:val="clear" w:color="auto" w:fill="auto"/>
            <w:vAlign w:val="center"/>
          </w:tcPr>
          <w:p w14:paraId="46722B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54686B7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九、卫生健康支出</w:t>
            </w:r>
          </w:p>
        </w:tc>
        <w:tc>
          <w:tcPr>
            <w:tcW w:w="521" w:type="dxa"/>
            <w:shd w:val="clear" w:color="auto" w:fill="auto"/>
            <w:vAlign w:val="center"/>
          </w:tcPr>
          <w:p w14:paraId="3B4158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41</w:t>
            </w:r>
          </w:p>
        </w:tc>
        <w:tc>
          <w:tcPr>
            <w:tcW w:w="414" w:type="dxa"/>
            <w:shd w:val="clear" w:color="auto" w:fill="auto"/>
            <w:vAlign w:val="center"/>
          </w:tcPr>
          <w:p w14:paraId="72AA8C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605BC403">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49B67BEB">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78741E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1653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204C0C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3D4D26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10</w:t>
            </w:r>
          </w:p>
        </w:tc>
        <w:tc>
          <w:tcPr>
            <w:tcW w:w="1098" w:type="dxa"/>
            <w:shd w:val="clear" w:color="auto" w:fill="auto"/>
            <w:vAlign w:val="center"/>
          </w:tcPr>
          <w:p w14:paraId="58BF6DF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62CB238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十、节能环保支出</w:t>
            </w:r>
          </w:p>
        </w:tc>
        <w:tc>
          <w:tcPr>
            <w:tcW w:w="521" w:type="dxa"/>
            <w:shd w:val="clear" w:color="auto" w:fill="auto"/>
            <w:vAlign w:val="center"/>
          </w:tcPr>
          <w:p w14:paraId="01FA26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42</w:t>
            </w:r>
          </w:p>
        </w:tc>
        <w:tc>
          <w:tcPr>
            <w:tcW w:w="414" w:type="dxa"/>
            <w:shd w:val="clear" w:color="auto" w:fill="auto"/>
            <w:vAlign w:val="center"/>
          </w:tcPr>
          <w:p w14:paraId="7E784B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6F010337">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61D9EB8B">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42E94F3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1BE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2A2F3F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3029E4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11</w:t>
            </w:r>
          </w:p>
        </w:tc>
        <w:tc>
          <w:tcPr>
            <w:tcW w:w="1098" w:type="dxa"/>
            <w:shd w:val="clear" w:color="auto" w:fill="auto"/>
            <w:vAlign w:val="center"/>
          </w:tcPr>
          <w:p w14:paraId="0BD13F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367EEF0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十一、城乡社区支出</w:t>
            </w:r>
          </w:p>
        </w:tc>
        <w:tc>
          <w:tcPr>
            <w:tcW w:w="521" w:type="dxa"/>
            <w:shd w:val="clear" w:color="auto" w:fill="auto"/>
            <w:vAlign w:val="center"/>
          </w:tcPr>
          <w:p w14:paraId="79D39E0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43</w:t>
            </w:r>
          </w:p>
        </w:tc>
        <w:tc>
          <w:tcPr>
            <w:tcW w:w="414" w:type="dxa"/>
            <w:shd w:val="clear" w:color="auto" w:fill="auto"/>
            <w:vAlign w:val="center"/>
          </w:tcPr>
          <w:p w14:paraId="77DE577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7C815C6B">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41837A02">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6D699E3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5561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A5416F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3B2013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12</w:t>
            </w:r>
          </w:p>
        </w:tc>
        <w:tc>
          <w:tcPr>
            <w:tcW w:w="1098" w:type="dxa"/>
            <w:shd w:val="clear" w:color="auto" w:fill="auto"/>
            <w:vAlign w:val="center"/>
          </w:tcPr>
          <w:p w14:paraId="4349DE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6E9EB31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十二、农林水支出</w:t>
            </w:r>
          </w:p>
        </w:tc>
        <w:tc>
          <w:tcPr>
            <w:tcW w:w="521" w:type="dxa"/>
            <w:shd w:val="clear" w:color="auto" w:fill="auto"/>
            <w:vAlign w:val="center"/>
          </w:tcPr>
          <w:p w14:paraId="50E94C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44</w:t>
            </w:r>
          </w:p>
        </w:tc>
        <w:tc>
          <w:tcPr>
            <w:tcW w:w="414" w:type="dxa"/>
            <w:shd w:val="clear" w:color="auto" w:fill="auto"/>
            <w:vAlign w:val="center"/>
          </w:tcPr>
          <w:p w14:paraId="476855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23800698">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720BB90F">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28BB73A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052D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D6CD5E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589A1E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13</w:t>
            </w:r>
          </w:p>
        </w:tc>
        <w:tc>
          <w:tcPr>
            <w:tcW w:w="1098" w:type="dxa"/>
            <w:shd w:val="clear" w:color="auto" w:fill="auto"/>
            <w:vAlign w:val="center"/>
          </w:tcPr>
          <w:p w14:paraId="562BB7D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0505653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十三、交通运输支出</w:t>
            </w:r>
          </w:p>
        </w:tc>
        <w:tc>
          <w:tcPr>
            <w:tcW w:w="521" w:type="dxa"/>
            <w:shd w:val="clear" w:color="auto" w:fill="auto"/>
            <w:vAlign w:val="center"/>
          </w:tcPr>
          <w:p w14:paraId="4F70C1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45</w:t>
            </w:r>
          </w:p>
        </w:tc>
        <w:tc>
          <w:tcPr>
            <w:tcW w:w="414" w:type="dxa"/>
            <w:shd w:val="clear" w:color="auto" w:fill="auto"/>
            <w:vAlign w:val="center"/>
          </w:tcPr>
          <w:p w14:paraId="6DB9C5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43D2F3EF">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1A5841A3">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4C796C2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6849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03772DB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670BBE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14</w:t>
            </w:r>
          </w:p>
        </w:tc>
        <w:tc>
          <w:tcPr>
            <w:tcW w:w="1098" w:type="dxa"/>
            <w:shd w:val="clear" w:color="auto" w:fill="auto"/>
            <w:vAlign w:val="center"/>
          </w:tcPr>
          <w:p w14:paraId="177DDC0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7806E68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十四、资源勘探工业信息等支出</w:t>
            </w:r>
          </w:p>
        </w:tc>
        <w:tc>
          <w:tcPr>
            <w:tcW w:w="521" w:type="dxa"/>
            <w:shd w:val="clear" w:color="auto" w:fill="auto"/>
            <w:vAlign w:val="center"/>
          </w:tcPr>
          <w:p w14:paraId="695A3B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46</w:t>
            </w:r>
          </w:p>
        </w:tc>
        <w:tc>
          <w:tcPr>
            <w:tcW w:w="414" w:type="dxa"/>
            <w:shd w:val="clear" w:color="auto" w:fill="auto"/>
            <w:vAlign w:val="center"/>
          </w:tcPr>
          <w:p w14:paraId="7444DD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7001EA04">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24ED988E">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71D508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5261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7CC93B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6A3E05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15</w:t>
            </w:r>
          </w:p>
        </w:tc>
        <w:tc>
          <w:tcPr>
            <w:tcW w:w="1098" w:type="dxa"/>
            <w:shd w:val="clear" w:color="auto" w:fill="auto"/>
            <w:vAlign w:val="center"/>
          </w:tcPr>
          <w:p w14:paraId="6535E3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05250D6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十五、商业服务业等支出</w:t>
            </w:r>
          </w:p>
        </w:tc>
        <w:tc>
          <w:tcPr>
            <w:tcW w:w="521" w:type="dxa"/>
            <w:shd w:val="clear" w:color="auto" w:fill="auto"/>
            <w:vAlign w:val="center"/>
          </w:tcPr>
          <w:p w14:paraId="1564D7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47</w:t>
            </w:r>
          </w:p>
        </w:tc>
        <w:tc>
          <w:tcPr>
            <w:tcW w:w="414" w:type="dxa"/>
            <w:shd w:val="clear" w:color="auto" w:fill="auto"/>
            <w:vAlign w:val="center"/>
          </w:tcPr>
          <w:p w14:paraId="42834B8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6E1DFF7C">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74F83916">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7E9B8D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1B17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9D569A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579B5A4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16</w:t>
            </w:r>
          </w:p>
        </w:tc>
        <w:tc>
          <w:tcPr>
            <w:tcW w:w="1098" w:type="dxa"/>
            <w:shd w:val="clear" w:color="auto" w:fill="auto"/>
            <w:vAlign w:val="center"/>
          </w:tcPr>
          <w:p w14:paraId="6DE29A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30ACA8A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十六、金融支出</w:t>
            </w:r>
          </w:p>
        </w:tc>
        <w:tc>
          <w:tcPr>
            <w:tcW w:w="521" w:type="dxa"/>
            <w:shd w:val="clear" w:color="auto" w:fill="auto"/>
            <w:vAlign w:val="center"/>
          </w:tcPr>
          <w:p w14:paraId="7C2174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48</w:t>
            </w:r>
          </w:p>
        </w:tc>
        <w:tc>
          <w:tcPr>
            <w:tcW w:w="414" w:type="dxa"/>
            <w:shd w:val="clear" w:color="auto" w:fill="auto"/>
            <w:vAlign w:val="center"/>
          </w:tcPr>
          <w:p w14:paraId="0F09BE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73FB85E2">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51A7E3BB">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70DA7E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230E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D5E2B5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523EE2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17</w:t>
            </w:r>
          </w:p>
        </w:tc>
        <w:tc>
          <w:tcPr>
            <w:tcW w:w="1098" w:type="dxa"/>
            <w:shd w:val="clear" w:color="auto" w:fill="auto"/>
            <w:vAlign w:val="center"/>
          </w:tcPr>
          <w:p w14:paraId="4B8287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0FDDAD9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十七、援助其他地区支出</w:t>
            </w:r>
          </w:p>
        </w:tc>
        <w:tc>
          <w:tcPr>
            <w:tcW w:w="521" w:type="dxa"/>
            <w:shd w:val="clear" w:color="auto" w:fill="auto"/>
            <w:vAlign w:val="center"/>
          </w:tcPr>
          <w:p w14:paraId="003275E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49</w:t>
            </w:r>
          </w:p>
        </w:tc>
        <w:tc>
          <w:tcPr>
            <w:tcW w:w="414" w:type="dxa"/>
            <w:shd w:val="clear" w:color="auto" w:fill="auto"/>
            <w:vAlign w:val="center"/>
          </w:tcPr>
          <w:p w14:paraId="4F3F498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4B25BA19">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6F3134C6">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30196A5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173A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1A5A5F7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202082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18</w:t>
            </w:r>
          </w:p>
        </w:tc>
        <w:tc>
          <w:tcPr>
            <w:tcW w:w="1098" w:type="dxa"/>
            <w:shd w:val="clear" w:color="auto" w:fill="auto"/>
            <w:vAlign w:val="center"/>
          </w:tcPr>
          <w:p w14:paraId="396B4C7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179623A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十八、自然资源海洋气象等支出</w:t>
            </w:r>
          </w:p>
        </w:tc>
        <w:tc>
          <w:tcPr>
            <w:tcW w:w="521" w:type="dxa"/>
            <w:shd w:val="clear" w:color="auto" w:fill="auto"/>
            <w:vAlign w:val="center"/>
          </w:tcPr>
          <w:p w14:paraId="2D7F7E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50</w:t>
            </w:r>
          </w:p>
        </w:tc>
        <w:tc>
          <w:tcPr>
            <w:tcW w:w="414" w:type="dxa"/>
            <w:shd w:val="clear" w:color="auto" w:fill="auto"/>
            <w:vAlign w:val="center"/>
          </w:tcPr>
          <w:p w14:paraId="31D4587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51FB0EAF">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25F33908">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764396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6551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54C58C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27C651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19</w:t>
            </w:r>
          </w:p>
        </w:tc>
        <w:tc>
          <w:tcPr>
            <w:tcW w:w="1098" w:type="dxa"/>
            <w:shd w:val="clear" w:color="auto" w:fill="auto"/>
            <w:vAlign w:val="center"/>
          </w:tcPr>
          <w:p w14:paraId="0C991A0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71D8E2B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十九、住房保障支出</w:t>
            </w:r>
          </w:p>
        </w:tc>
        <w:tc>
          <w:tcPr>
            <w:tcW w:w="521" w:type="dxa"/>
            <w:shd w:val="clear" w:color="auto" w:fill="auto"/>
            <w:vAlign w:val="center"/>
          </w:tcPr>
          <w:p w14:paraId="6DF527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51</w:t>
            </w:r>
          </w:p>
        </w:tc>
        <w:tc>
          <w:tcPr>
            <w:tcW w:w="414" w:type="dxa"/>
            <w:shd w:val="clear" w:color="auto" w:fill="auto"/>
            <w:vAlign w:val="center"/>
          </w:tcPr>
          <w:p w14:paraId="1C81F4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14D5FC50">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0CE1D4F6">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656DF3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7C86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6803E7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78F01A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20</w:t>
            </w:r>
          </w:p>
        </w:tc>
        <w:tc>
          <w:tcPr>
            <w:tcW w:w="1098" w:type="dxa"/>
            <w:shd w:val="clear" w:color="auto" w:fill="auto"/>
            <w:vAlign w:val="center"/>
          </w:tcPr>
          <w:p w14:paraId="7FB1DE3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3B58C01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二十、粮油物资储备支出</w:t>
            </w:r>
          </w:p>
        </w:tc>
        <w:tc>
          <w:tcPr>
            <w:tcW w:w="521" w:type="dxa"/>
            <w:shd w:val="clear" w:color="auto" w:fill="auto"/>
            <w:vAlign w:val="center"/>
          </w:tcPr>
          <w:p w14:paraId="0C65AF9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52</w:t>
            </w:r>
          </w:p>
        </w:tc>
        <w:tc>
          <w:tcPr>
            <w:tcW w:w="414" w:type="dxa"/>
            <w:shd w:val="clear" w:color="auto" w:fill="auto"/>
            <w:vAlign w:val="center"/>
          </w:tcPr>
          <w:p w14:paraId="62E51E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4CBFCDB4">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3C555249">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71A9505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1E8B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06E32FA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52CD853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21</w:t>
            </w:r>
          </w:p>
        </w:tc>
        <w:tc>
          <w:tcPr>
            <w:tcW w:w="1098" w:type="dxa"/>
            <w:shd w:val="clear" w:color="auto" w:fill="auto"/>
            <w:vAlign w:val="center"/>
          </w:tcPr>
          <w:p w14:paraId="202EDA5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2BC84B1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二十一、国有资本经营预算支出</w:t>
            </w:r>
          </w:p>
        </w:tc>
        <w:tc>
          <w:tcPr>
            <w:tcW w:w="521" w:type="dxa"/>
            <w:shd w:val="clear" w:color="auto" w:fill="auto"/>
            <w:vAlign w:val="center"/>
          </w:tcPr>
          <w:p w14:paraId="6B7528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53</w:t>
            </w:r>
          </w:p>
        </w:tc>
        <w:tc>
          <w:tcPr>
            <w:tcW w:w="414" w:type="dxa"/>
            <w:shd w:val="clear" w:color="auto" w:fill="auto"/>
            <w:vAlign w:val="center"/>
          </w:tcPr>
          <w:p w14:paraId="612C39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5E59621B">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3425C953">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621C67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1ECC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14:paraId="0AE9726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660A23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22</w:t>
            </w:r>
          </w:p>
        </w:tc>
        <w:tc>
          <w:tcPr>
            <w:tcW w:w="1098" w:type="dxa"/>
            <w:shd w:val="clear" w:color="auto" w:fill="auto"/>
            <w:vAlign w:val="center"/>
          </w:tcPr>
          <w:p w14:paraId="1AEAB2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7A0C1A3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二十二、灾害防治及应急管理支出</w:t>
            </w:r>
          </w:p>
        </w:tc>
        <w:tc>
          <w:tcPr>
            <w:tcW w:w="521" w:type="dxa"/>
            <w:shd w:val="clear" w:color="auto" w:fill="auto"/>
            <w:vAlign w:val="center"/>
          </w:tcPr>
          <w:p w14:paraId="63C63E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54</w:t>
            </w:r>
          </w:p>
        </w:tc>
        <w:tc>
          <w:tcPr>
            <w:tcW w:w="414" w:type="dxa"/>
            <w:shd w:val="clear" w:color="auto" w:fill="auto"/>
            <w:vAlign w:val="center"/>
          </w:tcPr>
          <w:p w14:paraId="7AF3734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055FE19A">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22F811EF">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355AC0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20F8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E82F2F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058344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23</w:t>
            </w:r>
          </w:p>
        </w:tc>
        <w:tc>
          <w:tcPr>
            <w:tcW w:w="1098" w:type="dxa"/>
            <w:shd w:val="clear" w:color="auto" w:fill="auto"/>
            <w:vAlign w:val="center"/>
          </w:tcPr>
          <w:p w14:paraId="517C4E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31E21CD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二十三、其他支出</w:t>
            </w:r>
          </w:p>
        </w:tc>
        <w:tc>
          <w:tcPr>
            <w:tcW w:w="521" w:type="dxa"/>
            <w:shd w:val="clear" w:color="auto" w:fill="auto"/>
            <w:vAlign w:val="center"/>
          </w:tcPr>
          <w:p w14:paraId="650352B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55</w:t>
            </w:r>
          </w:p>
        </w:tc>
        <w:tc>
          <w:tcPr>
            <w:tcW w:w="414" w:type="dxa"/>
            <w:shd w:val="clear" w:color="auto" w:fill="auto"/>
            <w:vAlign w:val="center"/>
          </w:tcPr>
          <w:p w14:paraId="000722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280934AF">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19C24DA1">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196715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2869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67FCCE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color="auto"/>
              </w:rPr>
            </w:pPr>
          </w:p>
        </w:tc>
        <w:tc>
          <w:tcPr>
            <w:tcW w:w="489" w:type="dxa"/>
            <w:shd w:val="clear" w:color="auto" w:fill="auto"/>
            <w:vAlign w:val="center"/>
          </w:tcPr>
          <w:p w14:paraId="465460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24</w:t>
            </w:r>
          </w:p>
        </w:tc>
        <w:tc>
          <w:tcPr>
            <w:tcW w:w="1098" w:type="dxa"/>
            <w:shd w:val="clear" w:color="auto" w:fill="auto"/>
            <w:vAlign w:val="center"/>
          </w:tcPr>
          <w:p w14:paraId="19DC3E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5241A60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二十四、债务还本支出</w:t>
            </w:r>
          </w:p>
        </w:tc>
        <w:tc>
          <w:tcPr>
            <w:tcW w:w="521" w:type="dxa"/>
            <w:shd w:val="clear" w:color="auto" w:fill="auto"/>
            <w:vAlign w:val="center"/>
          </w:tcPr>
          <w:p w14:paraId="748C85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56</w:t>
            </w:r>
          </w:p>
        </w:tc>
        <w:tc>
          <w:tcPr>
            <w:tcW w:w="414" w:type="dxa"/>
            <w:shd w:val="clear" w:color="auto" w:fill="auto"/>
            <w:vAlign w:val="center"/>
          </w:tcPr>
          <w:p w14:paraId="2FD00A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5AE99C49">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23C6B63E">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576139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7635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3FB23A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44CEE3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25</w:t>
            </w:r>
          </w:p>
        </w:tc>
        <w:tc>
          <w:tcPr>
            <w:tcW w:w="1098" w:type="dxa"/>
            <w:shd w:val="clear" w:color="auto" w:fill="auto"/>
            <w:vAlign w:val="center"/>
          </w:tcPr>
          <w:p w14:paraId="3FB229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03F67F7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二十五、债务付息支出</w:t>
            </w:r>
          </w:p>
        </w:tc>
        <w:tc>
          <w:tcPr>
            <w:tcW w:w="521" w:type="dxa"/>
            <w:shd w:val="clear" w:color="auto" w:fill="auto"/>
            <w:vAlign w:val="center"/>
          </w:tcPr>
          <w:p w14:paraId="7F3733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57</w:t>
            </w:r>
          </w:p>
        </w:tc>
        <w:tc>
          <w:tcPr>
            <w:tcW w:w="414" w:type="dxa"/>
            <w:shd w:val="clear" w:color="auto" w:fill="auto"/>
            <w:vAlign w:val="center"/>
          </w:tcPr>
          <w:p w14:paraId="50EB12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6FB709E5">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756D7A22">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510D30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3F54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14:paraId="1B0E31E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489" w:type="dxa"/>
            <w:shd w:val="clear" w:color="auto" w:fill="auto"/>
            <w:vAlign w:val="center"/>
          </w:tcPr>
          <w:p w14:paraId="5379D6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26</w:t>
            </w:r>
          </w:p>
        </w:tc>
        <w:tc>
          <w:tcPr>
            <w:tcW w:w="1098" w:type="dxa"/>
            <w:shd w:val="clear" w:color="auto" w:fill="auto"/>
            <w:vAlign w:val="center"/>
          </w:tcPr>
          <w:p w14:paraId="6C9F56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2027" w:type="dxa"/>
            <w:shd w:val="clear" w:color="auto" w:fill="auto"/>
            <w:vAlign w:val="center"/>
          </w:tcPr>
          <w:p w14:paraId="19A032B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二十六、抗疫特别国债安排的支出</w:t>
            </w:r>
          </w:p>
        </w:tc>
        <w:tc>
          <w:tcPr>
            <w:tcW w:w="521" w:type="dxa"/>
            <w:shd w:val="clear" w:color="auto" w:fill="auto"/>
            <w:vAlign w:val="center"/>
          </w:tcPr>
          <w:p w14:paraId="44C04D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58</w:t>
            </w:r>
          </w:p>
        </w:tc>
        <w:tc>
          <w:tcPr>
            <w:tcW w:w="414" w:type="dxa"/>
            <w:shd w:val="clear" w:color="auto" w:fill="auto"/>
            <w:vAlign w:val="center"/>
          </w:tcPr>
          <w:p w14:paraId="7812EB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5C58A9AE">
            <w:pPr>
              <w:jc w:val="right"/>
              <w:rPr>
                <w:rFonts w:hint="default" w:ascii="Times New Roman" w:hAnsi="Times New Roman" w:eastAsia="宋体" w:cs="Times New Roman"/>
                <w:i w:val="0"/>
                <w:iCs w:val="0"/>
                <w:color w:val="000000"/>
                <w:sz w:val="13"/>
                <w:szCs w:val="13"/>
                <w:u w:val="none" w:color="auto"/>
              </w:rPr>
            </w:pPr>
          </w:p>
        </w:tc>
        <w:tc>
          <w:tcPr>
            <w:tcW w:w="1350" w:type="dxa"/>
            <w:shd w:val="clear" w:color="auto" w:fill="auto"/>
            <w:vAlign w:val="center"/>
          </w:tcPr>
          <w:p w14:paraId="4466236B">
            <w:pPr>
              <w:jc w:val="right"/>
              <w:rPr>
                <w:rFonts w:hint="default" w:ascii="Times New Roman" w:hAnsi="Times New Roman" w:eastAsia="宋体" w:cs="Times New Roman"/>
                <w:i w:val="0"/>
                <w:iCs w:val="0"/>
                <w:color w:val="000000"/>
                <w:sz w:val="13"/>
                <w:szCs w:val="13"/>
                <w:u w:val="none" w:color="auto"/>
              </w:rPr>
            </w:pPr>
          </w:p>
        </w:tc>
        <w:tc>
          <w:tcPr>
            <w:tcW w:w="1343" w:type="dxa"/>
            <w:shd w:val="clear" w:color="auto" w:fill="auto"/>
            <w:vAlign w:val="center"/>
          </w:tcPr>
          <w:p w14:paraId="271EE1F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4181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0C0F09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color="auto"/>
              </w:rPr>
            </w:pPr>
            <w:r>
              <w:rPr>
                <w:rFonts w:hint="default" w:ascii="Times New Roman" w:hAnsi="Times New Roman" w:eastAsia="宋体" w:cs="Times New Roman"/>
                <w:b/>
                <w:bCs/>
                <w:i w:val="0"/>
                <w:iCs w:val="0"/>
                <w:snapToGrid w:val="0"/>
                <w:color w:val="000000"/>
                <w:kern w:val="0"/>
                <w:sz w:val="18"/>
                <w:szCs w:val="18"/>
                <w:u w:val="none" w:color="auto"/>
                <w:lang w:val="en-US" w:eastAsia="zh-CN" w:bidi="ar"/>
              </w:rPr>
              <w:t>本年收入合计</w:t>
            </w:r>
          </w:p>
        </w:tc>
        <w:tc>
          <w:tcPr>
            <w:tcW w:w="489" w:type="dxa"/>
            <w:shd w:val="clear" w:color="auto" w:fill="auto"/>
            <w:vAlign w:val="center"/>
          </w:tcPr>
          <w:p w14:paraId="69F29C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27</w:t>
            </w:r>
          </w:p>
        </w:tc>
        <w:tc>
          <w:tcPr>
            <w:tcW w:w="1098" w:type="dxa"/>
            <w:shd w:val="clear" w:color="auto" w:fill="auto"/>
            <w:vAlign w:val="center"/>
          </w:tcPr>
          <w:p w14:paraId="7AF55996">
            <w:pPr>
              <w:keepNext w:val="0"/>
              <w:keepLines w:val="0"/>
              <w:widowControl/>
              <w:suppressLineNumbers w:val="0"/>
              <w:jc w:val="right"/>
              <w:textAlignment w:val="center"/>
              <w:rPr>
                <w:rFonts w:hint="default" w:ascii="Times New Roman" w:hAnsi="Times New Roman" w:eastAsia="宋体" w:cs="Times New Roman"/>
                <w:i w:val="0"/>
                <w:iCs w:val="0"/>
                <w:color w:val="000000"/>
                <w:sz w:val="8"/>
                <w:szCs w:val="8"/>
                <w:u w:val="none" w:color="auto"/>
              </w:rPr>
            </w:pPr>
            <w:r>
              <w:rPr>
                <w:rFonts w:hint="eastAsia" w:ascii="宋体" w:hAnsi="宋体" w:eastAsia="宋体" w:cs="宋体"/>
                <w:i w:val="0"/>
                <w:iCs w:val="0"/>
                <w:snapToGrid w:val="0"/>
                <w:color w:val="000000"/>
                <w:kern w:val="0"/>
                <w:sz w:val="18"/>
                <w:szCs w:val="18"/>
                <w:u w:val="none"/>
                <w:lang w:val="en-US" w:eastAsia="zh-CN" w:bidi="ar"/>
              </w:rPr>
              <w:t>1,996.63</w:t>
            </w:r>
          </w:p>
        </w:tc>
        <w:tc>
          <w:tcPr>
            <w:tcW w:w="2027" w:type="dxa"/>
            <w:shd w:val="clear" w:color="auto" w:fill="auto"/>
            <w:vAlign w:val="center"/>
          </w:tcPr>
          <w:p w14:paraId="0A041C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color="auto"/>
              </w:rPr>
            </w:pPr>
            <w:r>
              <w:rPr>
                <w:rFonts w:hint="default" w:ascii="Times New Roman" w:hAnsi="Times New Roman" w:eastAsia="宋体" w:cs="Times New Roman"/>
                <w:b/>
                <w:bCs/>
                <w:i w:val="0"/>
                <w:iCs w:val="0"/>
                <w:snapToGrid w:val="0"/>
                <w:color w:val="000000"/>
                <w:kern w:val="0"/>
                <w:sz w:val="18"/>
                <w:szCs w:val="18"/>
                <w:u w:val="none" w:color="auto"/>
                <w:lang w:val="en-US" w:eastAsia="zh-CN" w:bidi="ar"/>
              </w:rPr>
              <w:t>本年支出合计</w:t>
            </w:r>
          </w:p>
        </w:tc>
        <w:tc>
          <w:tcPr>
            <w:tcW w:w="521" w:type="dxa"/>
            <w:shd w:val="clear" w:color="auto" w:fill="auto"/>
            <w:vAlign w:val="center"/>
          </w:tcPr>
          <w:p w14:paraId="25CDF9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59</w:t>
            </w:r>
          </w:p>
        </w:tc>
        <w:tc>
          <w:tcPr>
            <w:tcW w:w="414" w:type="dxa"/>
            <w:shd w:val="clear" w:color="auto" w:fill="auto"/>
            <w:vAlign w:val="center"/>
          </w:tcPr>
          <w:p w14:paraId="2A0616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4E9555D3">
            <w:pPr>
              <w:keepNext w:val="0"/>
              <w:keepLines w:val="0"/>
              <w:widowControl/>
              <w:suppressLineNumbers w:val="0"/>
              <w:jc w:val="right"/>
              <w:textAlignment w:val="center"/>
              <w:rPr>
                <w:rFonts w:hint="default" w:ascii="Times New Roman" w:hAnsi="Times New Roman" w:eastAsia="宋体" w:cs="Times New Roman"/>
                <w:i w:val="0"/>
                <w:iCs w:val="0"/>
                <w:color w:val="000000"/>
                <w:sz w:val="13"/>
                <w:szCs w:val="13"/>
                <w:u w:val="none" w:color="auto"/>
              </w:rPr>
            </w:pPr>
            <w:r>
              <w:rPr>
                <w:rFonts w:hint="eastAsia" w:ascii="宋体" w:hAnsi="宋体" w:eastAsia="宋体" w:cs="宋体"/>
                <w:i w:val="0"/>
                <w:iCs w:val="0"/>
                <w:snapToGrid w:val="0"/>
                <w:color w:val="000000"/>
                <w:kern w:val="0"/>
                <w:sz w:val="18"/>
                <w:szCs w:val="18"/>
                <w:u w:val="none"/>
                <w:lang w:val="en-US" w:eastAsia="zh-CN" w:bidi="ar"/>
              </w:rPr>
              <w:t>1,996.63</w:t>
            </w:r>
          </w:p>
        </w:tc>
        <w:tc>
          <w:tcPr>
            <w:tcW w:w="1350" w:type="dxa"/>
            <w:shd w:val="clear" w:color="auto" w:fill="auto"/>
            <w:vAlign w:val="center"/>
          </w:tcPr>
          <w:p w14:paraId="1A96E7A4">
            <w:pPr>
              <w:keepNext w:val="0"/>
              <w:keepLines w:val="0"/>
              <w:widowControl/>
              <w:suppressLineNumbers w:val="0"/>
              <w:jc w:val="right"/>
              <w:textAlignment w:val="center"/>
              <w:rPr>
                <w:rFonts w:hint="default" w:ascii="Times New Roman" w:hAnsi="Times New Roman" w:eastAsia="宋体" w:cs="Times New Roman"/>
                <w:i w:val="0"/>
                <w:iCs w:val="0"/>
                <w:color w:val="000000"/>
                <w:sz w:val="13"/>
                <w:szCs w:val="13"/>
                <w:u w:val="none" w:color="auto"/>
              </w:rPr>
            </w:pPr>
            <w:r>
              <w:rPr>
                <w:rFonts w:hint="eastAsia" w:ascii="宋体" w:hAnsi="宋体" w:eastAsia="宋体" w:cs="宋体"/>
                <w:i w:val="0"/>
                <w:iCs w:val="0"/>
                <w:snapToGrid w:val="0"/>
                <w:color w:val="000000"/>
                <w:kern w:val="0"/>
                <w:sz w:val="18"/>
                <w:szCs w:val="18"/>
                <w:u w:val="none"/>
                <w:lang w:val="en-US" w:eastAsia="zh-CN" w:bidi="ar"/>
              </w:rPr>
              <w:t>1,996.63</w:t>
            </w:r>
          </w:p>
        </w:tc>
        <w:tc>
          <w:tcPr>
            <w:tcW w:w="1343" w:type="dxa"/>
            <w:shd w:val="clear" w:color="auto" w:fill="auto"/>
            <w:vAlign w:val="center"/>
          </w:tcPr>
          <w:p w14:paraId="0ACB82A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2"/>
                <w:szCs w:val="22"/>
                <w:u w:val="none" w:color="auto"/>
              </w:rPr>
            </w:pPr>
          </w:p>
        </w:tc>
      </w:tr>
      <w:tr w14:paraId="0AAE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7DF372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年初财政拨款结转和结余</w:t>
            </w:r>
          </w:p>
        </w:tc>
        <w:tc>
          <w:tcPr>
            <w:tcW w:w="489" w:type="dxa"/>
            <w:shd w:val="clear" w:color="auto" w:fill="auto"/>
            <w:vAlign w:val="center"/>
          </w:tcPr>
          <w:p w14:paraId="0FE0AF4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28</w:t>
            </w:r>
          </w:p>
        </w:tc>
        <w:tc>
          <w:tcPr>
            <w:tcW w:w="1098" w:type="dxa"/>
            <w:shd w:val="clear" w:color="auto" w:fill="auto"/>
            <w:vAlign w:val="center"/>
          </w:tcPr>
          <w:p w14:paraId="3082E7BE">
            <w:pPr>
              <w:jc w:val="right"/>
              <w:rPr>
                <w:rFonts w:hint="default" w:ascii="Times New Roman" w:hAnsi="Times New Roman" w:eastAsia="宋体" w:cs="Times New Roman"/>
                <w:i w:val="0"/>
                <w:iCs w:val="0"/>
                <w:color w:val="000000"/>
                <w:sz w:val="8"/>
                <w:szCs w:val="8"/>
                <w:u w:val="none" w:color="auto"/>
              </w:rPr>
            </w:pPr>
          </w:p>
        </w:tc>
        <w:tc>
          <w:tcPr>
            <w:tcW w:w="2027" w:type="dxa"/>
            <w:shd w:val="clear" w:color="auto" w:fill="auto"/>
            <w:vAlign w:val="center"/>
          </w:tcPr>
          <w:p w14:paraId="0185EAC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年末财政拨款结转和结余</w:t>
            </w:r>
          </w:p>
        </w:tc>
        <w:tc>
          <w:tcPr>
            <w:tcW w:w="521" w:type="dxa"/>
            <w:shd w:val="clear" w:color="auto" w:fill="auto"/>
            <w:vAlign w:val="center"/>
          </w:tcPr>
          <w:p w14:paraId="74CA7C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60</w:t>
            </w:r>
          </w:p>
        </w:tc>
        <w:tc>
          <w:tcPr>
            <w:tcW w:w="414" w:type="dxa"/>
            <w:shd w:val="clear" w:color="auto" w:fill="auto"/>
            <w:vAlign w:val="center"/>
          </w:tcPr>
          <w:p w14:paraId="1864B0B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2D01778B">
            <w:pPr>
              <w:jc w:val="right"/>
              <w:rPr>
                <w:rFonts w:hint="default" w:ascii="Times New Roman" w:hAnsi="Times New Roman" w:eastAsia="宋体" w:cs="Times New Roman"/>
                <w:i w:val="0"/>
                <w:iCs w:val="0"/>
                <w:color w:val="000000"/>
                <w:sz w:val="8"/>
                <w:szCs w:val="8"/>
                <w:u w:val="none" w:color="auto"/>
              </w:rPr>
            </w:pPr>
          </w:p>
        </w:tc>
        <w:tc>
          <w:tcPr>
            <w:tcW w:w="1350" w:type="dxa"/>
            <w:shd w:val="clear" w:color="auto" w:fill="auto"/>
            <w:vAlign w:val="center"/>
          </w:tcPr>
          <w:p w14:paraId="73A25D90">
            <w:pPr>
              <w:jc w:val="right"/>
              <w:rPr>
                <w:rFonts w:hint="default" w:ascii="Times New Roman" w:hAnsi="Times New Roman" w:eastAsia="宋体" w:cs="Times New Roman"/>
                <w:i w:val="0"/>
                <w:iCs w:val="0"/>
                <w:color w:val="000000"/>
                <w:sz w:val="8"/>
                <w:szCs w:val="8"/>
                <w:u w:val="none" w:color="auto"/>
              </w:rPr>
            </w:pPr>
          </w:p>
        </w:tc>
        <w:tc>
          <w:tcPr>
            <w:tcW w:w="1343" w:type="dxa"/>
            <w:shd w:val="clear" w:color="auto" w:fill="auto"/>
            <w:vAlign w:val="center"/>
          </w:tcPr>
          <w:p w14:paraId="20C40C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r>
      <w:tr w14:paraId="0EC6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1C7544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 xml:space="preserve">  一般公共预算财政拨款</w:t>
            </w:r>
          </w:p>
        </w:tc>
        <w:tc>
          <w:tcPr>
            <w:tcW w:w="489" w:type="dxa"/>
            <w:shd w:val="clear" w:color="auto" w:fill="auto"/>
            <w:vAlign w:val="center"/>
          </w:tcPr>
          <w:p w14:paraId="03738E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29</w:t>
            </w:r>
          </w:p>
        </w:tc>
        <w:tc>
          <w:tcPr>
            <w:tcW w:w="1098" w:type="dxa"/>
            <w:shd w:val="clear" w:color="auto" w:fill="auto"/>
            <w:vAlign w:val="center"/>
          </w:tcPr>
          <w:p w14:paraId="1573365D">
            <w:pPr>
              <w:jc w:val="right"/>
              <w:rPr>
                <w:rFonts w:hint="default" w:ascii="Times New Roman" w:hAnsi="Times New Roman" w:eastAsia="宋体" w:cs="Times New Roman"/>
                <w:i w:val="0"/>
                <w:iCs w:val="0"/>
                <w:color w:val="000000"/>
                <w:sz w:val="8"/>
                <w:szCs w:val="8"/>
                <w:u w:val="none" w:color="auto"/>
              </w:rPr>
            </w:pPr>
          </w:p>
        </w:tc>
        <w:tc>
          <w:tcPr>
            <w:tcW w:w="2027" w:type="dxa"/>
            <w:shd w:val="clear" w:color="auto" w:fill="auto"/>
            <w:vAlign w:val="center"/>
          </w:tcPr>
          <w:p w14:paraId="331485A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521" w:type="dxa"/>
            <w:shd w:val="clear" w:color="auto" w:fill="auto"/>
            <w:vAlign w:val="center"/>
          </w:tcPr>
          <w:p w14:paraId="25E421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61</w:t>
            </w:r>
          </w:p>
        </w:tc>
        <w:tc>
          <w:tcPr>
            <w:tcW w:w="414" w:type="dxa"/>
            <w:shd w:val="clear" w:color="auto" w:fill="auto"/>
            <w:vAlign w:val="center"/>
          </w:tcPr>
          <w:p w14:paraId="4ED09F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71300629">
            <w:pPr>
              <w:jc w:val="right"/>
              <w:rPr>
                <w:rFonts w:hint="default" w:ascii="Times New Roman" w:hAnsi="Times New Roman" w:eastAsia="宋体" w:cs="Times New Roman"/>
                <w:i w:val="0"/>
                <w:iCs w:val="0"/>
                <w:color w:val="000000"/>
                <w:sz w:val="8"/>
                <w:szCs w:val="8"/>
                <w:u w:val="none" w:color="auto"/>
              </w:rPr>
            </w:pPr>
          </w:p>
        </w:tc>
        <w:tc>
          <w:tcPr>
            <w:tcW w:w="1350" w:type="dxa"/>
            <w:shd w:val="clear" w:color="auto" w:fill="auto"/>
            <w:vAlign w:val="center"/>
          </w:tcPr>
          <w:p w14:paraId="300775C9">
            <w:pPr>
              <w:jc w:val="right"/>
              <w:rPr>
                <w:rFonts w:hint="default" w:ascii="Times New Roman" w:hAnsi="Times New Roman" w:eastAsia="宋体" w:cs="Times New Roman"/>
                <w:i w:val="0"/>
                <w:iCs w:val="0"/>
                <w:color w:val="000000"/>
                <w:sz w:val="8"/>
                <w:szCs w:val="8"/>
                <w:u w:val="none" w:color="auto"/>
              </w:rPr>
            </w:pPr>
          </w:p>
        </w:tc>
        <w:tc>
          <w:tcPr>
            <w:tcW w:w="1343" w:type="dxa"/>
            <w:shd w:val="clear" w:color="auto" w:fill="auto"/>
            <w:vAlign w:val="center"/>
          </w:tcPr>
          <w:p w14:paraId="6465350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r>
      <w:tr w14:paraId="6196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FD4F89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 xml:space="preserve">  政府性基金预算财政拨款</w:t>
            </w:r>
          </w:p>
        </w:tc>
        <w:tc>
          <w:tcPr>
            <w:tcW w:w="489" w:type="dxa"/>
            <w:shd w:val="clear" w:color="auto" w:fill="auto"/>
            <w:vAlign w:val="center"/>
          </w:tcPr>
          <w:p w14:paraId="21C32F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w:t>
            </w:r>
          </w:p>
        </w:tc>
        <w:tc>
          <w:tcPr>
            <w:tcW w:w="1098" w:type="dxa"/>
            <w:shd w:val="clear" w:color="auto" w:fill="auto"/>
            <w:vAlign w:val="center"/>
          </w:tcPr>
          <w:p w14:paraId="2B450964">
            <w:pPr>
              <w:jc w:val="right"/>
              <w:rPr>
                <w:rFonts w:hint="default" w:ascii="Times New Roman" w:hAnsi="Times New Roman" w:eastAsia="宋体" w:cs="Times New Roman"/>
                <w:i w:val="0"/>
                <w:iCs w:val="0"/>
                <w:color w:val="000000"/>
                <w:sz w:val="8"/>
                <w:szCs w:val="8"/>
                <w:u w:val="none" w:color="auto"/>
              </w:rPr>
            </w:pPr>
          </w:p>
        </w:tc>
        <w:tc>
          <w:tcPr>
            <w:tcW w:w="2027" w:type="dxa"/>
            <w:shd w:val="clear" w:color="auto" w:fill="auto"/>
            <w:vAlign w:val="center"/>
          </w:tcPr>
          <w:p w14:paraId="4C50FFC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521" w:type="dxa"/>
            <w:shd w:val="clear" w:color="auto" w:fill="auto"/>
            <w:vAlign w:val="center"/>
          </w:tcPr>
          <w:p w14:paraId="063F93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62</w:t>
            </w:r>
          </w:p>
        </w:tc>
        <w:tc>
          <w:tcPr>
            <w:tcW w:w="414" w:type="dxa"/>
            <w:shd w:val="clear" w:color="auto" w:fill="auto"/>
            <w:vAlign w:val="center"/>
          </w:tcPr>
          <w:p w14:paraId="64BF7EF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134CFBE1">
            <w:pPr>
              <w:jc w:val="right"/>
              <w:rPr>
                <w:rFonts w:hint="default" w:ascii="Times New Roman" w:hAnsi="Times New Roman" w:eastAsia="宋体" w:cs="Times New Roman"/>
                <w:i w:val="0"/>
                <w:iCs w:val="0"/>
                <w:color w:val="000000"/>
                <w:sz w:val="8"/>
                <w:szCs w:val="8"/>
                <w:u w:val="none" w:color="auto"/>
              </w:rPr>
            </w:pPr>
          </w:p>
        </w:tc>
        <w:tc>
          <w:tcPr>
            <w:tcW w:w="1350" w:type="dxa"/>
            <w:shd w:val="clear" w:color="auto" w:fill="auto"/>
            <w:vAlign w:val="center"/>
          </w:tcPr>
          <w:p w14:paraId="2F0CEE9C">
            <w:pPr>
              <w:jc w:val="right"/>
              <w:rPr>
                <w:rFonts w:hint="default" w:ascii="Times New Roman" w:hAnsi="Times New Roman" w:eastAsia="宋体" w:cs="Times New Roman"/>
                <w:i w:val="0"/>
                <w:iCs w:val="0"/>
                <w:color w:val="000000"/>
                <w:sz w:val="8"/>
                <w:szCs w:val="8"/>
                <w:u w:val="none" w:color="auto"/>
              </w:rPr>
            </w:pPr>
          </w:p>
        </w:tc>
        <w:tc>
          <w:tcPr>
            <w:tcW w:w="1343" w:type="dxa"/>
            <w:shd w:val="clear" w:color="auto" w:fill="auto"/>
            <w:vAlign w:val="center"/>
          </w:tcPr>
          <w:p w14:paraId="5747B0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r>
      <w:tr w14:paraId="059B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577079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 xml:space="preserve">  国有资本经营预算财政拨款</w:t>
            </w:r>
          </w:p>
        </w:tc>
        <w:tc>
          <w:tcPr>
            <w:tcW w:w="489" w:type="dxa"/>
            <w:shd w:val="clear" w:color="auto" w:fill="auto"/>
            <w:vAlign w:val="center"/>
          </w:tcPr>
          <w:p w14:paraId="400394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31</w:t>
            </w:r>
          </w:p>
        </w:tc>
        <w:tc>
          <w:tcPr>
            <w:tcW w:w="1098" w:type="dxa"/>
            <w:shd w:val="clear" w:color="auto" w:fill="auto"/>
            <w:vAlign w:val="center"/>
          </w:tcPr>
          <w:p w14:paraId="7EAE9B01">
            <w:pPr>
              <w:jc w:val="right"/>
              <w:rPr>
                <w:rFonts w:hint="default" w:ascii="Times New Roman" w:hAnsi="Times New Roman" w:eastAsia="宋体" w:cs="Times New Roman"/>
                <w:i w:val="0"/>
                <w:iCs w:val="0"/>
                <w:color w:val="000000"/>
                <w:sz w:val="8"/>
                <w:szCs w:val="8"/>
                <w:u w:val="none" w:color="auto"/>
              </w:rPr>
            </w:pPr>
          </w:p>
        </w:tc>
        <w:tc>
          <w:tcPr>
            <w:tcW w:w="2027" w:type="dxa"/>
            <w:shd w:val="clear" w:color="auto" w:fill="auto"/>
            <w:vAlign w:val="center"/>
          </w:tcPr>
          <w:p w14:paraId="4C34523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color="auto"/>
              </w:rPr>
            </w:pPr>
          </w:p>
        </w:tc>
        <w:tc>
          <w:tcPr>
            <w:tcW w:w="521" w:type="dxa"/>
            <w:shd w:val="clear" w:color="auto" w:fill="auto"/>
            <w:vAlign w:val="center"/>
          </w:tcPr>
          <w:p w14:paraId="1C67BE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63</w:t>
            </w:r>
          </w:p>
        </w:tc>
        <w:tc>
          <w:tcPr>
            <w:tcW w:w="414" w:type="dxa"/>
            <w:shd w:val="clear" w:color="auto" w:fill="auto"/>
            <w:vAlign w:val="center"/>
          </w:tcPr>
          <w:p w14:paraId="48D8CE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1C93C7E7">
            <w:pPr>
              <w:jc w:val="right"/>
              <w:rPr>
                <w:rFonts w:hint="default" w:ascii="Times New Roman" w:hAnsi="Times New Roman" w:eastAsia="宋体" w:cs="Times New Roman"/>
                <w:i w:val="0"/>
                <w:iCs w:val="0"/>
                <w:color w:val="000000"/>
                <w:sz w:val="8"/>
                <w:szCs w:val="8"/>
                <w:u w:val="none" w:color="auto"/>
              </w:rPr>
            </w:pPr>
          </w:p>
        </w:tc>
        <w:tc>
          <w:tcPr>
            <w:tcW w:w="1350" w:type="dxa"/>
            <w:shd w:val="clear" w:color="auto" w:fill="auto"/>
            <w:vAlign w:val="center"/>
          </w:tcPr>
          <w:p w14:paraId="2BC0C437">
            <w:pPr>
              <w:jc w:val="right"/>
              <w:rPr>
                <w:rFonts w:hint="default" w:ascii="Times New Roman" w:hAnsi="Times New Roman" w:eastAsia="宋体" w:cs="Times New Roman"/>
                <w:i w:val="0"/>
                <w:iCs w:val="0"/>
                <w:color w:val="000000"/>
                <w:sz w:val="8"/>
                <w:szCs w:val="8"/>
                <w:u w:val="none" w:color="auto"/>
              </w:rPr>
            </w:pPr>
          </w:p>
        </w:tc>
        <w:tc>
          <w:tcPr>
            <w:tcW w:w="1343" w:type="dxa"/>
            <w:shd w:val="clear" w:color="auto" w:fill="auto"/>
            <w:vAlign w:val="center"/>
          </w:tcPr>
          <w:p w14:paraId="0C7170D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r>
      <w:tr w14:paraId="2F2D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65" w:type="dxa"/>
            <w:shd w:val="clear" w:color="auto" w:fill="auto"/>
            <w:vAlign w:val="center"/>
          </w:tcPr>
          <w:p w14:paraId="7D88922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color="auto"/>
              </w:rPr>
            </w:pPr>
            <w:r>
              <w:rPr>
                <w:rFonts w:hint="default" w:ascii="Times New Roman" w:hAnsi="Times New Roman" w:eastAsia="宋体" w:cs="Times New Roman"/>
                <w:b/>
                <w:bCs/>
                <w:i w:val="0"/>
                <w:iCs w:val="0"/>
                <w:snapToGrid w:val="0"/>
                <w:color w:val="000000"/>
                <w:kern w:val="0"/>
                <w:sz w:val="18"/>
                <w:szCs w:val="18"/>
                <w:u w:val="none" w:color="auto"/>
                <w:lang w:val="en-US" w:eastAsia="zh-CN" w:bidi="ar"/>
              </w:rPr>
              <w:t>总计</w:t>
            </w:r>
          </w:p>
        </w:tc>
        <w:tc>
          <w:tcPr>
            <w:tcW w:w="489" w:type="dxa"/>
            <w:shd w:val="clear" w:color="auto" w:fill="auto"/>
            <w:vAlign w:val="center"/>
          </w:tcPr>
          <w:p w14:paraId="34A03D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32</w:t>
            </w:r>
          </w:p>
        </w:tc>
        <w:tc>
          <w:tcPr>
            <w:tcW w:w="1098" w:type="dxa"/>
            <w:shd w:val="clear" w:color="auto" w:fill="auto"/>
            <w:vAlign w:val="center"/>
          </w:tcPr>
          <w:p w14:paraId="19949F03">
            <w:pPr>
              <w:keepNext w:val="0"/>
              <w:keepLines w:val="0"/>
              <w:widowControl/>
              <w:suppressLineNumbers w:val="0"/>
              <w:jc w:val="right"/>
              <w:textAlignment w:val="center"/>
              <w:rPr>
                <w:rFonts w:hint="default" w:ascii="Times New Roman" w:hAnsi="Times New Roman" w:eastAsia="宋体" w:cs="Times New Roman"/>
                <w:i w:val="0"/>
                <w:iCs w:val="0"/>
                <w:color w:val="000000"/>
                <w:sz w:val="8"/>
                <w:szCs w:val="8"/>
                <w:u w:val="none" w:color="auto"/>
              </w:rPr>
            </w:pPr>
            <w:r>
              <w:rPr>
                <w:rFonts w:hint="eastAsia" w:ascii="宋体" w:hAnsi="宋体" w:eastAsia="宋体" w:cs="宋体"/>
                <w:i w:val="0"/>
                <w:iCs w:val="0"/>
                <w:snapToGrid w:val="0"/>
                <w:color w:val="000000"/>
                <w:kern w:val="0"/>
                <w:sz w:val="13"/>
                <w:szCs w:val="13"/>
                <w:u w:val="none"/>
                <w:lang w:val="en-US" w:eastAsia="zh-CN" w:bidi="ar"/>
              </w:rPr>
              <w:t>1,996.63</w:t>
            </w:r>
          </w:p>
        </w:tc>
        <w:tc>
          <w:tcPr>
            <w:tcW w:w="2027" w:type="dxa"/>
            <w:shd w:val="clear" w:color="auto" w:fill="auto"/>
            <w:vAlign w:val="center"/>
          </w:tcPr>
          <w:p w14:paraId="0BBF800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color="auto"/>
              </w:rPr>
            </w:pPr>
            <w:r>
              <w:rPr>
                <w:rFonts w:hint="default" w:ascii="Times New Roman" w:hAnsi="Times New Roman" w:eastAsia="宋体" w:cs="Times New Roman"/>
                <w:b/>
                <w:bCs/>
                <w:i w:val="0"/>
                <w:iCs w:val="0"/>
                <w:snapToGrid w:val="0"/>
                <w:color w:val="000000"/>
                <w:kern w:val="0"/>
                <w:sz w:val="18"/>
                <w:szCs w:val="18"/>
                <w:u w:val="none" w:color="auto"/>
                <w:lang w:val="en-US" w:eastAsia="zh-CN" w:bidi="ar"/>
              </w:rPr>
              <w:t>总计</w:t>
            </w:r>
          </w:p>
        </w:tc>
        <w:tc>
          <w:tcPr>
            <w:tcW w:w="521" w:type="dxa"/>
            <w:shd w:val="clear" w:color="auto" w:fill="auto"/>
            <w:vAlign w:val="center"/>
          </w:tcPr>
          <w:p w14:paraId="66FC4B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color="auto"/>
              </w:rPr>
            </w:pPr>
            <w:r>
              <w:rPr>
                <w:rFonts w:hint="default" w:ascii="Times New Roman" w:hAnsi="Times New Roman" w:eastAsia="宋体" w:cs="Times New Roman"/>
                <w:i w:val="0"/>
                <w:iCs w:val="0"/>
                <w:snapToGrid w:val="0"/>
                <w:color w:val="000000"/>
                <w:kern w:val="0"/>
                <w:sz w:val="18"/>
                <w:szCs w:val="18"/>
                <w:u w:val="none" w:color="auto"/>
                <w:lang w:val="en-US" w:eastAsia="zh-CN" w:bidi="ar"/>
              </w:rPr>
              <w:t>64</w:t>
            </w:r>
          </w:p>
        </w:tc>
        <w:tc>
          <w:tcPr>
            <w:tcW w:w="414" w:type="dxa"/>
            <w:shd w:val="clear" w:color="auto" w:fill="auto"/>
            <w:vAlign w:val="center"/>
          </w:tcPr>
          <w:p w14:paraId="50094D2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c>
          <w:tcPr>
            <w:tcW w:w="1152" w:type="dxa"/>
            <w:shd w:val="clear" w:color="auto" w:fill="auto"/>
            <w:vAlign w:val="center"/>
          </w:tcPr>
          <w:p w14:paraId="19163E27">
            <w:pPr>
              <w:keepNext w:val="0"/>
              <w:keepLines w:val="0"/>
              <w:widowControl/>
              <w:suppressLineNumbers w:val="0"/>
              <w:jc w:val="right"/>
              <w:textAlignment w:val="center"/>
              <w:rPr>
                <w:rFonts w:hint="default" w:ascii="Times New Roman" w:hAnsi="Times New Roman" w:eastAsia="宋体" w:cs="Times New Roman"/>
                <w:i w:val="0"/>
                <w:iCs w:val="0"/>
                <w:color w:val="000000"/>
                <w:sz w:val="8"/>
                <w:szCs w:val="8"/>
                <w:u w:val="none" w:color="auto"/>
              </w:rPr>
            </w:pPr>
            <w:r>
              <w:rPr>
                <w:rFonts w:hint="eastAsia" w:ascii="宋体" w:hAnsi="宋体" w:eastAsia="宋体" w:cs="宋体"/>
                <w:i w:val="0"/>
                <w:iCs w:val="0"/>
                <w:snapToGrid w:val="0"/>
                <w:color w:val="000000"/>
                <w:kern w:val="0"/>
                <w:sz w:val="13"/>
                <w:szCs w:val="13"/>
                <w:u w:val="none"/>
                <w:lang w:val="en-US" w:eastAsia="zh-CN" w:bidi="ar"/>
              </w:rPr>
              <w:t>1,996.63</w:t>
            </w:r>
          </w:p>
        </w:tc>
        <w:tc>
          <w:tcPr>
            <w:tcW w:w="1350" w:type="dxa"/>
            <w:shd w:val="clear" w:color="auto" w:fill="auto"/>
            <w:vAlign w:val="center"/>
          </w:tcPr>
          <w:p w14:paraId="4431610B">
            <w:pPr>
              <w:keepNext w:val="0"/>
              <w:keepLines w:val="0"/>
              <w:widowControl/>
              <w:suppressLineNumbers w:val="0"/>
              <w:jc w:val="right"/>
              <w:textAlignment w:val="center"/>
              <w:rPr>
                <w:rFonts w:hint="default" w:ascii="Times New Roman" w:hAnsi="Times New Roman" w:eastAsia="宋体" w:cs="Times New Roman"/>
                <w:i w:val="0"/>
                <w:iCs w:val="0"/>
                <w:color w:val="000000"/>
                <w:sz w:val="8"/>
                <w:szCs w:val="8"/>
                <w:u w:val="none" w:color="auto"/>
              </w:rPr>
            </w:pPr>
            <w:r>
              <w:rPr>
                <w:rFonts w:hint="eastAsia" w:ascii="宋体" w:hAnsi="宋体" w:eastAsia="宋体" w:cs="宋体"/>
                <w:i w:val="0"/>
                <w:iCs w:val="0"/>
                <w:snapToGrid w:val="0"/>
                <w:color w:val="000000"/>
                <w:kern w:val="0"/>
                <w:sz w:val="13"/>
                <w:szCs w:val="13"/>
                <w:u w:val="none"/>
                <w:lang w:val="en-US" w:eastAsia="zh-CN" w:bidi="ar"/>
              </w:rPr>
              <w:t>1,996.63</w:t>
            </w:r>
          </w:p>
        </w:tc>
        <w:tc>
          <w:tcPr>
            <w:tcW w:w="1343" w:type="dxa"/>
            <w:shd w:val="clear" w:color="auto" w:fill="auto"/>
            <w:vAlign w:val="center"/>
          </w:tcPr>
          <w:p w14:paraId="1039533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color="auto"/>
              </w:rPr>
            </w:pPr>
          </w:p>
        </w:tc>
      </w:tr>
    </w:tbl>
    <w:p w14:paraId="0333EBAA">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u w:val="none" w:color="auto"/>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u w:val="none" w:color="auto"/>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u w:val="none" w:color="auto"/>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u w:val="none" w:color="auto"/>
          <w:lang w:val="en-US" w:eastAsia="zh-CN" w:bidi="ar-SA"/>
        </w:rPr>
        <w:t>况。</w:t>
      </w:r>
    </w:p>
    <w:p w14:paraId="6F6D165F">
      <w:pPr>
        <w:pStyle w:val="2"/>
        <w:rPr>
          <w:rFonts w:hint="default"/>
          <w:u w:val="none" w:color="auto"/>
          <w:lang w:val="en-US" w:eastAsia="zh-CN"/>
        </w:rPr>
      </w:pPr>
    </w:p>
    <w:p w14:paraId="1E2A9342">
      <w:pPr>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br w:type="page"/>
      </w:r>
    </w:p>
    <w:p w14:paraId="3F4327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年度一般公共预算财政拨款支出决算表</w:t>
      </w:r>
    </w:p>
    <w:p w14:paraId="413F5D43">
      <w:pPr>
        <w:pStyle w:val="7"/>
        <w:jc w:val="righ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公开05表</w:t>
      </w:r>
    </w:p>
    <w:p w14:paraId="323DDC8A">
      <w:pPr>
        <w:pStyle w:val="7"/>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部门：武汉市光谷第四初级中学</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6"/>
        <w:gridCol w:w="3361"/>
        <w:gridCol w:w="1650"/>
        <w:gridCol w:w="1651"/>
        <w:gridCol w:w="1651"/>
      </w:tblGrid>
      <w:tr w14:paraId="37F9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07" w:type="dxa"/>
            <w:gridSpan w:val="2"/>
            <w:shd w:val="clear" w:color="auto" w:fill="auto"/>
            <w:vAlign w:val="center"/>
          </w:tcPr>
          <w:p w14:paraId="4C069A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项目</w:t>
            </w:r>
          </w:p>
        </w:tc>
        <w:tc>
          <w:tcPr>
            <w:tcW w:w="4952" w:type="dxa"/>
            <w:gridSpan w:val="3"/>
            <w:shd w:val="clear" w:color="auto" w:fill="auto"/>
            <w:vAlign w:val="center"/>
          </w:tcPr>
          <w:p w14:paraId="248D5E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本年支出</w:t>
            </w:r>
          </w:p>
        </w:tc>
      </w:tr>
      <w:tr w14:paraId="255F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846" w:type="dxa"/>
            <w:vMerge w:val="restart"/>
            <w:shd w:val="clear" w:color="auto" w:fill="auto"/>
            <w:vAlign w:val="center"/>
          </w:tcPr>
          <w:p w14:paraId="72362B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3361" w:type="dxa"/>
            <w:vMerge w:val="restart"/>
            <w:shd w:val="clear" w:color="auto" w:fill="auto"/>
            <w:vAlign w:val="center"/>
          </w:tcPr>
          <w:p w14:paraId="3E1BA7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650" w:type="dxa"/>
            <w:vMerge w:val="restart"/>
            <w:shd w:val="clear" w:color="auto" w:fill="auto"/>
            <w:vAlign w:val="center"/>
          </w:tcPr>
          <w:p w14:paraId="03EA8E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小计</w:t>
            </w:r>
          </w:p>
        </w:tc>
        <w:tc>
          <w:tcPr>
            <w:tcW w:w="1651" w:type="dxa"/>
            <w:vMerge w:val="restart"/>
            <w:shd w:val="clear" w:color="auto" w:fill="auto"/>
            <w:vAlign w:val="center"/>
          </w:tcPr>
          <w:p w14:paraId="414E2E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1651" w:type="dxa"/>
            <w:vMerge w:val="restart"/>
            <w:shd w:val="clear" w:color="auto" w:fill="auto"/>
            <w:vAlign w:val="center"/>
          </w:tcPr>
          <w:p w14:paraId="10CC90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项目支出</w:t>
            </w:r>
          </w:p>
        </w:tc>
      </w:tr>
      <w:tr w14:paraId="73BF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0" w:type="auto"/>
            <w:vMerge w:val="continue"/>
            <w:shd w:val="clear" w:color="auto" w:fill="auto"/>
            <w:vAlign w:val="center"/>
          </w:tcPr>
          <w:p w14:paraId="638AE526">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737C40EC">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1F719BD8">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3572D776">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59A75141">
            <w:pPr>
              <w:jc w:val="center"/>
              <w:rPr>
                <w:rFonts w:hint="default" w:ascii="Times New Roman" w:hAnsi="Times New Roman" w:eastAsia="宋体" w:cs="Times New Roman"/>
                <w:i w:val="0"/>
                <w:iCs w:val="0"/>
                <w:color w:val="000000"/>
                <w:sz w:val="21"/>
                <w:szCs w:val="21"/>
                <w:u w:val="none" w:color="auto"/>
              </w:rPr>
            </w:pPr>
          </w:p>
        </w:tc>
      </w:tr>
      <w:tr w14:paraId="40D4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shd w:val="clear" w:color="auto" w:fill="auto"/>
            <w:vAlign w:val="center"/>
          </w:tcPr>
          <w:p w14:paraId="51415EA0">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7F3E67BB">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04B1A0AB">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66BAD21E">
            <w:pPr>
              <w:jc w:val="center"/>
              <w:rPr>
                <w:rFonts w:hint="default" w:ascii="Times New Roman" w:hAnsi="Times New Roman" w:eastAsia="宋体" w:cs="Times New Roman"/>
                <w:i w:val="0"/>
                <w:iCs w:val="0"/>
                <w:color w:val="000000"/>
                <w:sz w:val="21"/>
                <w:szCs w:val="21"/>
                <w:u w:val="none" w:color="auto"/>
              </w:rPr>
            </w:pPr>
          </w:p>
        </w:tc>
        <w:tc>
          <w:tcPr>
            <w:tcW w:w="0" w:type="auto"/>
            <w:vMerge w:val="continue"/>
            <w:shd w:val="clear" w:color="auto" w:fill="auto"/>
            <w:vAlign w:val="center"/>
          </w:tcPr>
          <w:p w14:paraId="58934C97">
            <w:pPr>
              <w:jc w:val="center"/>
              <w:rPr>
                <w:rFonts w:hint="default" w:ascii="Times New Roman" w:hAnsi="Times New Roman" w:eastAsia="宋体" w:cs="Times New Roman"/>
                <w:i w:val="0"/>
                <w:iCs w:val="0"/>
                <w:color w:val="000000"/>
                <w:sz w:val="21"/>
                <w:szCs w:val="21"/>
                <w:u w:val="none" w:color="auto"/>
              </w:rPr>
            </w:pPr>
          </w:p>
        </w:tc>
      </w:tr>
      <w:tr w14:paraId="5A63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4207" w:type="dxa"/>
            <w:gridSpan w:val="2"/>
            <w:shd w:val="clear" w:color="auto" w:fill="auto"/>
            <w:vAlign w:val="center"/>
          </w:tcPr>
          <w:p w14:paraId="056C90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栏次</w:t>
            </w:r>
          </w:p>
        </w:tc>
        <w:tc>
          <w:tcPr>
            <w:tcW w:w="1650" w:type="dxa"/>
            <w:shd w:val="clear" w:color="auto" w:fill="auto"/>
            <w:vAlign w:val="center"/>
          </w:tcPr>
          <w:p w14:paraId="29327E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w:t>
            </w:r>
          </w:p>
        </w:tc>
        <w:tc>
          <w:tcPr>
            <w:tcW w:w="1651" w:type="dxa"/>
            <w:shd w:val="clear" w:color="auto" w:fill="auto"/>
            <w:vAlign w:val="center"/>
          </w:tcPr>
          <w:p w14:paraId="6AF58A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w:t>
            </w:r>
          </w:p>
        </w:tc>
        <w:tc>
          <w:tcPr>
            <w:tcW w:w="1651" w:type="dxa"/>
            <w:shd w:val="clear" w:color="auto" w:fill="auto"/>
            <w:vAlign w:val="center"/>
          </w:tcPr>
          <w:p w14:paraId="44BA80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3</w:t>
            </w:r>
          </w:p>
        </w:tc>
      </w:tr>
      <w:tr w14:paraId="6762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4207" w:type="dxa"/>
            <w:gridSpan w:val="2"/>
            <w:shd w:val="clear" w:color="auto" w:fill="auto"/>
            <w:vAlign w:val="center"/>
          </w:tcPr>
          <w:p w14:paraId="4C5CE5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合计</w:t>
            </w:r>
          </w:p>
        </w:tc>
        <w:tc>
          <w:tcPr>
            <w:tcW w:w="1650" w:type="dxa"/>
            <w:shd w:val="clear" w:color="auto" w:fill="auto"/>
            <w:vAlign w:val="center"/>
          </w:tcPr>
          <w:p w14:paraId="052B1C5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b/>
                <w:bCs/>
                <w:i w:val="0"/>
                <w:iCs w:val="0"/>
                <w:snapToGrid w:val="0"/>
                <w:color w:val="000000"/>
                <w:kern w:val="0"/>
                <w:sz w:val="22"/>
                <w:szCs w:val="22"/>
                <w:u w:val="none"/>
                <w:lang w:val="en-US" w:eastAsia="zh-CN" w:bidi="ar"/>
              </w:rPr>
              <w:t>1,996.63</w:t>
            </w:r>
          </w:p>
        </w:tc>
        <w:tc>
          <w:tcPr>
            <w:tcW w:w="1651" w:type="dxa"/>
            <w:shd w:val="clear" w:color="auto" w:fill="auto"/>
            <w:vAlign w:val="center"/>
          </w:tcPr>
          <w:p w14:paraId="72D8641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b/>
                <w:bCs/>
                <w:i w:val="0"/>
                <w:iCs w:val="0"/>
                <w:snapToGrid w:val="0"/>
                <w:color w:val="000000"/>
                <w:kern w:val="0"/>
                <w:sz w:val="22"/>
                <w:szCs w:val="22"/>
                <w:u w:val="none"/>
                <w:lang w:val="en-US" w:eastAsia="zh-CN" w:bidi="ar"/>
              </w:rPr>
              <w:t>1,915.14</w:t>
            </w:r>
          </w:p>
        </w:tc>
        <w:tc>
          <w:tcPr>
            <w:tcW w:w="1651" w:type="dxa"/>
            <w:shd w:val="clear" w:color="auto" w:fill="auto"/>
            <w:vAlign w:val="center"/>
          </w:tcPr>
          <w:p w14:paraId="2358DAC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b/>
                <w:bCs/>
                <w:i w:val="0"/>
                <w:iCs w:val="0"/>
                <w:snapToGrid w:val="0"/>
                <w:color w:val="000000"/>
                <w:kern w:val="0"/>
                <w:sz w:val="22"/>
                <w:szCs w:val="22"/>
                <w:u w:val="none"/>
                <w:lang w:val="en-US" w:eastAsia="zh-CN" w:bidi="ar"/>
              </w:rPr>
              <w:t>81.49</w:t>
            </w:r>
          </w:p>
        </w:tc>
      </w:tr>
      <w:tr w14:paraId="6B19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46" w:type="dxa"/>
            <w:shd w:val="clear" w:color="auto" w:fill="auto"/>
            <w:vAlign w:val="center"/>
          </w:tcPr>
          <w:p w14:paraId="5D1CA95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2050203</w:t>
            </w:r>
          </w:p>
        </w:tc>
        <w:tc>
          <w:tcPr>
            <w:tcW w:w="3361" w:type="dxa"/>
            <w:shd w:val="clear" w:color="auto" w:fill="auto"/>
            <w:vAlign w:val="center"/>
          </w:tcPr>
          <w:p w14:paraId="70D8C3F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1650" w:type="dxa"/>
            <w:shd w:val="clear" w:color="auto" w:fill="auto"/>
            <w:vAlign w:val="center"/>
          </w:tcPr>
          <w:p w14:paraId="20FA63B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1,866.46</w:t>
            </w:r>
          </w:p>
        </w:tc>
        <w:tc>
          <w:tcPr>
            <w:tcW w:w="1651" w:type="dxa"/>
            <w:shd w:val="clear" w:color="auto" w:fill="auto"/>
            <w:vAlign w:val="center"/>
          </w:tcPr>
          <w:p w14:paraId="7F74469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1,784.97</w:t>
            </w:r>
          </w:p>
        </w:tc>
        <w:tc>
          <w:tcPr>
            <w:tcW w:w="1651" w:type="dxa"/>
            <w:shd w:val="clear" w:color="auto" w:fill="auto"/>
            <w:vAlign w:val="center"/>
          </w:tcPr>
          <w:p w14:paraId="594473A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81.49</w:t>
            </w:r>
          </w:p>
        </w:tc>
      </w:tr>
      <w:tr w14:paraId="626B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46" w:type="dxa"/>
            <w:shd w:val="clear" w:color="auto" w:fill="auto"/>
            <w:vAlign w:val="center"/>
          </w:tcPr>
          <w:p w14:paraId="1449D8B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2080505</w:t>
            </w:r>
          </w:p>
        </w:tc>
        <w:tc>
          <w:tcPr>
            <w:tcW w:w="3361" w:type="dxa"/>
            <w:shd w:val="clear" w:color="auto" w:fill="auto"/>
            <w:vAlign w:val="center"/>
          </w:tcPr>
          <w:p w14:paraId="24058ED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650" w:type="dxa"/>
            <w:shd w:val="clear" w:color="auto" w:fill="auto"/>
            <w:vAlign w:val="center"/>
          </w:tcPr>
          <w:p w14:paraId="5E1CEB3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100.43</w:t>
            </w:r>
          </w:p>
        </w:tc>
        <w:tc>
          <w:tcPr>
            <w:tcW w:w="1651" w:type="dxa"/>
            <w:shd w:val="clear" w:color="auto" w:fill="auto"/>
            <w:vAlign w:val="center"/>
          </w:tcPr>
          <w:p w14:paraId="177DF63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100.43</w:t>
            </w:r>
          </w:p>
        </w:tc>
        <w:tc>
          <w:tcPr>
            <w:tcW w:w="1651" w:type="dxa"/>
            <w:shd w:val="clear" w:color="auto" w:fill="auto"/>
            <w:vAlign w:val="center"/>
          </w:tcPr>
          <w:p w14:paraId="04738AFE">
            <w:pPr>
              <w:jc w:val="right"/>
              <w:rPr>
                <w:rFonts w:hint="default" w:ascii="Times New Roman" w:hAnsi="Times New Roman" w:eastAsia="宋体" w:cs="Times New Roman"/>
                <w:b/>
                <w:bCs/>
                <w:i w:val="0"/>
                <w:iCs w:val="0"/>
                <w:color w:val="000000"/>
                <w:sz w:val="21"/>
                <w:szCs w:val="21"/>
                <w:u w:val="none" w:color="auto"/>
              </w:rPr>
            </w:pPr>
          </w:p>
        </w:tc>
      </w:tr>
      <w:tr w14:paraId="3A5F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846" w:type="dxa"/>
            <w:shd w:val="clear" w:color="auto" w:fill="auto"/>
            <w:vAlign w:val="center"/>
          </w:tcPr>
          <w:p w14:paraId="5DF3AC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2080506</w:t>
            </w:r>
          </w:p>
        </w:tc>
        <w:tc>
          <w:tcPr>
            <w:tcW w:w="3361" w:type="dxa"/>
            <w:shd w:val="clear" w:color="auto" w:fill="auto"/>
            <w:vAlign w:val="center"/>
          </w:tcPr>
          <w:p w14:paraId="347DF8B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机关事业单位职业年金缴费支出</w:t>
            </w:r>
          </w:p>
        </w:tc>
        <w:tc>
          <w:tcPr>
            <w:tcW w:w="1650" w:type="dxa"/>
            <w:shd w:val="clear" w:color="auto" w:fill="auto"/>
            <w:vAlign w:val="center"/>
          </w:tcPr>
          <w:p w14:paraId="3278211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29.74</w:t>
            </w:r>
          </w:p>
        </w:tc>
        <w:tc>
          <w:tcPr>
            <w:tcW w:w="1651" w:type="dxa"/>
            <w:shd w:val="clear" w:color="auto" w:fill="auto"/>
            <w:vAlign w:val="center"/>
          </w:tcPr>
          <w:p w14:paraId="5F29F18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color="auto"/>
              </w:rPr>
            </w:pPr>
            <w:r>
              <w:rPr>
                <w:rFonts w:hint="eastAsia" w:ascii="宋体" w:hAnsi="宋体" w:eastAsia="宋体" w:cs="宋体"/>
                <w:i w:val="0"/>
                <w:iCs w:val="0"/>
                <w:snapToGrid w:val="0"/>
                <w:color w:val="000000"/>
                <w:kern w:val="0"/>
                <w:sz w:val="22"/>
                <w:szCs w:val="22"/>
                <w:u w:val="none"/>
                <w:lang w:val="en-US" w:eastAsia="zh-CN" w:bidi="ar"/>
              </w:rPr>
              <w:t>29.74</w:t>
            </w:r>
          </w:p>
        </w:tc>
        <w:tc>
          <w:tcPr>
            <w:tcW w:w="1651" w:type="dxa"/>
            <w:shd w:val="clear" w:color="auto" w:fill="auto"/>
            <w:vAlign w:val="center"/>
          </w:tcPr>
          <w:p w14:paraId="4593E7B9">
            <w:pPr>
              <w:jc w:val="right"/>
              <w:rPr>
                <w:rFonts w:hint="default" w:ascii="Times New Roman" w:hAnsi="Times New Roman" w:eastAsia="宋体" w:cs="Times New Roman"/>
                <w:i w:val="0"/>
                <w:iCs w:val="0"/>
                <w:color w:val="000000"/>
                <w:sz w:val="21"/>
                <w:szCs w:val="21"/>
                <w:u w:val="none" w:color="auto"/>
              </w:rPr>
            </w:pPr>
          </w:p>
        </w:tc>
      </w:tr>
    </w:tbl>
    <w:p w14:paraId="1D950C7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注：本表反映部门本年度一般公共预算财政拨款支出情况。 </w:t>
      </w:r>
    </w:p>
    <w:p w14:paraId="45CAB89C">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16EF31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年度一般公共预算财政拨款基本支出决算明细表</w:t>
      </w:r>
    </w:p>
    <w:p w14:paraId="4FAF8B1D">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公开06表</w:t>
      </w:r>
    </w:p>
    <w:p w14:paraId="4F33FE91">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部门：武汉市光谷第四初级中学</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单位： 万元   </w:t>
      </w: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微软雅黑" w:cs="Times New Roman"/>
          <w:spacing w:val="-1"/>
          <w:sz w:val="18"/>
          <w:szCs w:val="18"/>
          <w:u w:val="none" w:color="auto"/>
          <w:lang w:val="en-US" w:eastAsia="zh-CN"/>
        </w:rPr>
        <w:t xml:space="preserve">                 </w:t>
      </w:r>
      <w:r>
        <w:rPr>
          <w:rFonts w:hint="default" w:ascii="Times New Roman" w:hAnsi="Times New Roman" w:eastAsia="微软雅黑" w:cs="Times New Roman"/>
          <w:spacing w:val="-1"/>
          <w:sz w:val="18"/>
          <w:szCs w:val="18"/>
          <w:u w:val="none" w:color="auto"/>
        </w:rPr>
        <w:t xml:space="preserve">    </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952"/>
        <w:gridCol w:w="735"/>
        <w:gridCol w:w="1770"/>
        <w:gridCol w:w="735"/>
        <w:gridCol w:w="840"/>
        <w:gridCol w:w="1714"/>
        <w:gridCol w:w="721"/>
      </w:tblGrid>
      <w:tr w14:paraId="79AF2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jc w:val="center"/>
        </w:trPr>
        <w:tc>
          <w:tcPr>
            <w:tcW w:w="4064" w:type="dxa"/>
            <w:gridSpan w:val="3"/>
            <w:vAlign w:val="center"/>
          </w:tcPr>
          <w:p w14:paraId="1FC72E56">
            <w:pPr>
              <w:spacing w:before="80" w:line="177" w:lineRule="auto"/>
              <w:ind w:left="1141"/>
              <w:jc w:val="center"/>
              <w:rPr>
                <w:rFonts w:hint="default" w:ascii="Times New Roman" w:hAnsi="Times New Roman" w:cs="Times New Roman" w:eastAsiaTheme="minorEastAsia"/>
                <w:sz w:val="18"/>
                <w:szCs w:val="18"/>
                <w:u w:val="none" w:color="auto"/>
              </w:rPr>
            </w:pPr>
            <w:r>
              <w:rPr>
                <w:rFonts w:hint="default" w:ascii="Times New Roman" w:hAnsi="Times New Roman" w:cs="Times New Roman" w:eastAsiaTheme="minorEastAsia"/>
                <w:spacing w:val="4"/>
                <w:sz w:val="18"/>
                <w:szCs w:val="18"/>
                <w:u w:val="none" w:color="auto"/>
              </w:rPr>
              <w:t>人员经费</w:t>
            </w:r>
          </w:p>
        </w:tc>
        <w:tc>
          <w:tcPr>
            <w:tcW w:w="6515" w:type="dxa"/>
            <w:gridSpan w:val="6"/>
            <w:vAlign w:val="center"/>
          </w:tcPr>
          <w:p w14:paraId="3F2E1CCB">
            <w:pPr>
              <w:spacing w:before="80" w:line="177" w:lineRule="auto"/>
              <w:ind w:left="2488"/>
              <w:jc w:val="center"/>
              <w:rPr>
                <w:rFonts w:hint="default" w:ascii="Times New Roman" w:hAnsi="Times New Roman" w:cs="Times New Roman" w:eastAsiaTheme="minorEastAsia"/>
                <w:sz w:val="18"/>
                <w:szCs w:val="18"/>
                <w:u w:val="none" w:color="auto"/>
              </w:rPr>
            </w:pPr>
            <w:r>
              <w:rPr>
                <w:rFonts w:hint="default" w:ascii="Times New Roman" w:hAnsi="Times New Roman" w:cs="Times New Roman" w:eastAsiaTheme="minorEastAsia"/>
                <w:spacing w:val="2"/>
                <w:sz w:val="18"/>
                <w:szCs w:val="18"/>
                <w:u w:val="none" w:color="auto"/>
              </w:rPr>
              <w:t>公用经费</w:t>
            </w:r>
          </w:p>
        </w:tc>
      </w:tr>
      <w:tr w14:paraId="2C2B5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746" w:type="dxa"/>
            <w:vAlign w:val="center"/>
          </w:tcPr>
          <w:p w14:paraId="471C46D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经济分类科目编码</w:t>
            </w:r>
          </w:p>
        </w:tc>
        <w:tc>
          <w:tcPr>
            <w:tcW w:w="2366" w:type="dxa"/>
            <w:vAlign w:val="center"/>
          </w:tcPr>
          <w:p w14:paraId="262EF5B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科目名称</w:t>
            </w:r>
          </w:p>
        </w:tc>
        <w:tc>
          <w:tcPr>
            <w:tcW w:w="952" w:type="dxa"/>
            <w:vAlign w:val="center"/>
          </w:tcPr>
          <w:p w14:paraId="74CF25B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决算数</w:t>
            </w:r>
          </w:p>
        </w:tc>
        <w:tc>
          <w:tcPr>
            <w:tcW w:w="735" w:type="dxa"/>
            <w:vAlign w:val="center"/>
          </w:tcPr>
          <w:p w14:paraId="0972538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经济分</w:t>
            </w:r>
          </w:p>
          <w:p w14:paraId="679F86F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类科目</w:t>
            </w:r>
          </w:p>
          <w:p w14:paraId="172D920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编码</w:t>
            </w:r>
          </w:p>
        </w:tc>
        <w:tc>
          <w:tcPr>
            <w:tcW w:w="1770" w:type="dxa"/>
            <w:vAlign w:val="center"/>
          </w:tcPr>
          <w:p w14:paraId="4F85040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科目名称</w:t>
            </w:r>
          </w:p>
        </w:tc>
        <w:tc>
          <w:tcPr>
            <w:tcW w:w="735" w:type="dxa"/>
            <w:vAlign w:val="center"/>
          </w:tcPr>
          <w:p w14:paraId="0452EFF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决算 数</w:t>
            </w:r>
          </w:p>
        </w:tc>
        <w:tc>
          <w:tcPr>
            <w:tcW w:w="840" w:type="dxa"/>
            <w:vAlign w:val="center"/>
          </w:tcPr>
          <w:p w14:paraId="6890F58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经济分</w:t>
            </w:r>
          </w:p>
          <w:p w14:paraId="43C395A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类科目</w:t>
            </w:r>
          </w:p>
          <w:p w14:paraId="142C49C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编码</w:t>
            </w:r>
          </w:p>
        </w:tc>
        <w:tc>
          <w:tcPr>
            <w:tcW w:w="1714" w:type="dxa"/>
            <w:vAlign w:val="center"/>
          </w:tcPr>
          <w:p w14:paraId="3BB3FEC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科目名称</w:t>
            </w:r>
          </w:p>
        </w:tc>
        <w:tc>
          <w:tcPr>
            <w:tcW w:w="721" w:type="dxa"/>
            <w:vAlign w:val="center"/>
          </w:tcPr>
          <w:p w14:paraId="7425DE2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决算数</w:t>
            </w:r>
          </w:p>
        </w:tc>
      </w:tr>
      <w:tr w14:paraId="2D969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1D2393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w:t>
            </w:r>
          </w:p>
        </w:tc>
        <w:tc>
          <w:tcPr>
            <w:tcW w:w="2366" w:type="dxa"/>
            <w:vAlign w:val="center"/>
          </w:tcPr>
          <w:p w14:paraId="4F0257C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工资福利支出</w:t>
            </w:r>
          </w:p>
        </w:tc>
        <w:tc>
          <w:tcPr>
            <w:tcW w:w="952" w:type="dxa"/>
            <w:vAlign w:val="center"/>
          </w:tcPr>
          <w:p w14:paraId="4FE1BEE2">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1,772.93</w:t>
            </w:r>
          </w:p>
        </w:tc>
        <w:tc>
          <w:tcPr>
            <w:tcW w:w="735" w:type="dxa"/>
            <w:vAlign w:val="center"/>
          </w:tcPr>
          <w:p w14:paraId="09F918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w:t>
            </w:r>
          </w:p>
        </w:tc>
        <w:tc>
          <w:tcPr>
            <w:tcW w:w="1770" w:type="dxa"/>
            <w:vAlign w:val="center"/>
          </w:tcPr>
          <w:p w14:paraId="38E489F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商品和服务支出</w:t>
            </w:r>
          </w:p>
        </w:tc>
        <w:tc>
          <w:tcPr>
            <w:tcW w:w="735" w:type="dxa"/>
            <w:vAlign w:val="center"/>
          </w:tcPr>
          <w:p w14:paraId="3E5726DE">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142.21</w:t>
            </w:r>
          </w:p>
        </w:tc>
        <w:tc>
          <w:tcPr>
            <w:tcW w:w="840" w:type="dxa"/>
            <w:vAlign w:val="center"/>
          </w:tcPr>
          <w:p w14:paraId="7684319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310</w:t>
            </w:r>
          </w:p>
        </w:tc>
        <w:tc>
          <w:tcPr>
            <w:tcW w:w="1714" w:type="dxa"/>
            <w:vAlign w:val="center"/>
          </w:tcPr>
          <w:p w14:paraId="36DBD90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资本性支出</w:t>
            </w:r>
          </w:p>
        </w:tc>
        <w:tc>
          <w:tcPr>
            <w:tcW w:w="721" w:type="dxa"/>
            <w:vAlign w:val="center"/>
          </w:tcPr>
          <w:p w14:paraId="2D0E7995">
            <w:pPr>
              <w:pStyle w:val="11"/>
              <w:jc w:val="center"/>
              <w:rPr>
                <w:rFonts w:hint="default" w:ascii="Times New Roman" w:hAnsi="Times New Roman" w:cs="Times New Roman" w:eastAsiaTheme="minorEastAsia"/>
                <w:sz w:val="18"/>
                <w:szCs w:val="18"/>
                <w:u w:val="none" w:color="auto"/>
              </w:rPr>
            </w:pPr>
          </w:p>
        </w:tc>
      </w:tr>
      <w:tr w14:paraId="466B4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56830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30101</w:t>
            </w:r>
          </w:p>
        </w:tc>
        <w:tc>
          <w:tcPr>
            <w:tcW w:w="2366" w:type="dxa"/>
            <w:vAlign w:val="center"/>
          </w:tcPr>
          <w:p w14:paraId="44443A8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基本工资</w:t>
            </w:r>
          </w:p>
        </w:tc>
        <w:tc>
          <w:tcPr>
            <w:tcW w:w="952" w:type="dxa"/>
            <w:vAlign w:val="center"/>
          </w:tcPr>
          <w:p w14:paraId="772861AA">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1,048.47</w:t>
            </w:r>
          </w:p>
        </w:tc>
        <w:tc>
          <w:tcPr>
            <w:tcW w:w="735" w:type="dxa"/>
            <w:vAlign w:val="center"/>
          </w:tcPr>
          <w:p w14:paraId="0731EF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30201</w:t>
            </w:r>
          </w:p>
        </w:tc>
        <w:tc>
          <w:tcPr>
            <w:tcW w:w="1770" w:type="dxa"/>
            <w:vAlign w:val="center"/>
          </w:tcPr>
          <w:p w14:paraId="2278F24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办公费</w:t>
            </w:r>
          </w:p>
        </w:tc>
        <w:tc>
          <w:tcPr>
            <w:tcW w:w="735" w:type="dxa"/>
            <w:vAlign w:val="center"/>
          </w:tcPr>
          <w:p w14:paraId="5BB30FBC">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5.41</w:t>
            </w:r>
          </w:p>
        </w:tc>
        <w:tc>
          <w:tcPr>
            <w:tcW w:w="840" w:type="dxa"/>
            <w:vAlign w:val="center"/>
          </w:tcPr>
          <w:p w14:paraId="530305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31002</w:t>
            </w:r>
          </w:p>
        </w:tc>
        <w:tc>
          <w:tcPr>
            <w:tcW w:w="1714" w:type="dxa"/>
            <w:vAlign w:val="center"/>
          </w:tcPr>
          <w:p w14:paraId="5C13950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办公设备购置</w:t>
            </w:r>
          </w:p>
        </w:tc>
        <w:tc>
          <w:tcPr>
            <w:tcW w:w="721" w:type="dxa"/>
            <w:vAlign w:val="center"/>
          </w:tcPr>
          <w:p w14:paraId="0A9D894E">
            <w:pPr>
              <w:pStyle w:val="11"/>
              <w:jc w:val="center"/>
              <w:rPr>
                <w:rFonts w:hint="default" w:ascii="Times New Roman" w:hAnsi="Times New Roman" w:cs="Times New Roman" w:eastAsiaTheme="minorEastAsia"/>
                <w:sz w:val="18"/>
                <w:szCs w:val="18"/>
                <w:u w:val="none" w:color="auto"/>
              </w:rPr>
            </w:pPr>
          </w:p>
        </w:tc>
      </w:tr>
      <w:tr w14:paraId="4C840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425D71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30102</w:t>
            </w:r>
          </w:p>
        </w:tc>
        <w:tc>
          <w:tcPr>
            <w:tcW w:w="2366" w:type="dxa"/>
            <w:vAlign w:val="center"/>
          </w:tcPr>
          <w:p w14:paraId="38A9C87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津贴补贴</w:t>
            </w:r>
          </w:p>
        </w:tc>
        <w:tc>
          <w:tcPr>
            <w:tcW w:w="952" w:type="dxa"/>
            <w:vAlign w:val="center"/>
          </w:tcPr>
          <w:p w14:paraId="1C3DBEA3">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314.77</w:t>
            </w:r>
          </w:p>
        </w:tc>
        <w:tc>
          <w:tcPr>
            <w:tcW w:w="735" w:type="dxa"/>
            <w:vAlign w:val="center"/>
          </w:tcPr>
          <w:p w14:paraId="5061B82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30202</w:t>
            </w:r>
          </w:p>
        </w:tc>
        <w:tc>
          <w:tcPr>
            <w:tcW w:w="1770" w:type="dxa"/>
            <w:vAlign w:val="center"/>
          </w:tcPr>
          <w:p w14:paraId="511A427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印刷费</w:t>
            </w:r>
          </w:p>
        </w:tc>
        <w:tc>
          <w:tcPr>
            <w:tcW w:w="735" w:type="dxa"/>
            <w:vAlign w:val="center"/>
          </w:tcPr>
          <w:p w14:paraId="6380A5D0">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9.00</w:t>
            </w:r>
          </w:p>
        </w:tc>
        <w:tc>
          <w:tcPr>
            <w:tcW w:w="840" w:type="dxa"/>
            <w:vAlign w:val="center"/>
          </w:tcPr>
          <w:p w14:paraId="072C10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31003</w:t>
            </w:r>
          </w:p>
        </w:tc>
        <w:tc>
          <w:tcPr>
            <w:tcW w:w="1714" w:type="dxa"/>
            <w:vAlign w:val="center"/>
          </w:tcPr>
          <w:p w14:paraId="1B21956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专用设备购置</w:t>
            </w:r>
          </w:p>
        </w:tc>
        <w:tc>
          <w:tcPr>
            <w:tcW w:w="721" w:type="dxa"/>
            <w:vAlign w:val="center"/>
          </w:tcPr>
          <w:p w14:paraId="3723480D">
            <w:pPr>
              <w:pStyle w:val="11"/>
              <w:jc w:val="center"/>
              <w:rPr>
                <w:rFonts w:hint="default" w:ascii="Times New Roman" w:hAnsi="Times New Roman" w:cs="Times New Roman" w:eastAsiaTheme="minorEastAsia"/>
                <w:sz w:val="18"/>
                <w:szCs w:val="18"/>
                <w:u w:val="none" w:color="auto"/>
              </w:rPr>
            </w:pPr>
          </w:p>
        </w:tc>
      </w:tr>
      <w:tr w14:paraId="1DF3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7951904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30103</w:t>
            </w:r>
          </w:p>
        </w:tc>
        <w:tc>
          <w:tcPr>
            <w:tcW w:w="2366" w:type="dxa"/>
            <w:vAlign w:val="center"/>
          </w:tcPr>
          <w:p w14:paraId="14B5697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奖金</w:t>
            </w:r>
          </w:p>
        </w:tc>
        <w:tc>
          <w:tcPr>
            <w:tcW w:w="952" w:type="dxa"/>
            <w:vAlign w:val="center"/>
          </w:tcPr>
          <w:p w14:paraId="3AE14A68">
            <w:pPr>
              <w:jc w:val="right"/>
              <w:rPr>
                <w:rFonts w:hint="default" w:ascii="Times New Roman" w:hAnsi="Times New Roman" w:cs="Times New Roman" w:eastAsiaTheme="minorEastAsia"/>
                <w:sz w:val="16"/>
                <w:szCs w:val="16"/>
                <w:u w:val="none" w:color="auto"/>
              </w:rPr>
            </w:pPr>
          </w:p>
        </w:tc>
        <w:tc>
          <w:tcPr>
            <w:tcW w:w="735" w:type="dxa"/>
            <w:vAlign w:val="center"/>
          </w:tcPr>
          <w:p w14:paraId="4DEDEE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30203</w:t>
            </w:r>
          </w:p>
        </w:tc>
        <w:tc>
          <w:tcPr>
            <w:tcW w:w="1770" w:type="dxa"/>
            <w:vAlign w:val="center"/>
          </w:tcPr>
          <w:p w14:paraId="58957CF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咨询费</w:t>
            </w:r>
          </w:p>
        </w:tc>
        <w:tc>
          <w:tcPr>
            <w:tcW w:w="735" w:type="dxa"/>
            <w:vAlign w:val="center"/>
          </w:tcPr>
          <w:p w14:paraId="0BBCCBFA">
            <w:pPr>
              <w:jc w:val="right"/>
              <w:rPr>
                <w:rFonts w:hint="default" w:ascii="Times New Roman" w:hAnsi="Times New Roman" w:cs="Times New Roman" w:eastAsiaTheme="minorEastAsia"/>
                <w:sz w:val="16"/>
                <w:szCs w:val="16"/>
                <w:u w:val="none" w:color="auto"/>
              </w:rPr>
            </w:pPr>
          </w:p>
        </w:tc>
        <w:tc>
          <w:tcPr>
            <w:tcW w:w="840" w:type="dxa"/>
            <w:vAlign w:val="center"/>
          </w:tcPr>
          <w:p w14:paraId="0ADBEA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31007</w:t>
            </w:r>
          </w:p>
        </w:tc>
        <w:tc>
          <w:tcPr>
            <w:tcW w:w="1714" w:type="dxa"/>
            <w:vAlign w:val="center"/>
          </w:tcPr>
          <w:p w14:paraId="76654C8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信息网络及软件购置更新</w:t>
            </w:r>
          </w:p>
        </w:tc>
        <w:tc>
          <w:tcPr>
            <w:tcW w:w="721" w:type="dxa"/>
            <w:vAlign w:val="center"/>
          </w:tcPr>
          <w:p w14:paraId="30435726">
            <w:pPr>
              <w:pStyle w:val="11"/>
              <w:spacing w:line="200" w:lineRule="exact"/>
              <w:jc w:val="center"/>
              <w:rPr>
                <w:rFonts w:hint="default" w:ascii="Times New Roman" w:hAnsi="Times New Roman" w:cs="Times New Roman" w:eastAsiaTheme="minorEastAsia"/>
                <w:sz w:val="18"/>
                <w:szCs w:val="18"/>
                <w:u w:val="none" w:color="auto"/>
              </w:rPr>
            </w:pPr>
          </w:p>
        </w:tc>
      </w:tr>
      <w:tr w14:paraId="37C77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12C806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30106</w:t>
            </w:r>
          </w:p>
        </w:tc>
        <w:tc>
          <w:tcPr>
            <w:tcW w:w="2366" w:type="dxa"/>
            <w:vAlign w:val="center"/>
          </w:tcPr>
          <w:p w14:paraId="4464FD2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伙食补助费</w:t>
            </w:r>
          </w:p>
        </w:tc>
        <w:tc>
          <w:tcPr>
            <w:tcW w:w="952" w:type="dxa"/>
            <w:vAlign w:val="center"/>
          </w:tcPr>
          <w:p w14:paraId="146593FD">
            <w:pPr>
              <w:jc w:val="right"/>
              <w:rPr>
                <w:rFonts w:hint="default" w:ascii="Times New Roman" w:hAnsi="Times New Roman" w:cs="Times New Roman" w:eastAsiaTheme="minorEastAsia"/>
                <w:sz w:val="16"/>
                <w:szCs w:val="16"/>
                <w:u w:val="none" w:color="auto"/>
              </w:rPr>
            </w:pPr>
          </w:p>
        </w:tc>
        <w:tc>
          <w:tcPr>
            <w:tcW w:w="735" w:type="dxa"/>
            <w:vAlign w:val="center"/>
          </w:tcPr>
          <w:p w14:paraId="4D36B2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30204</w:t>
            </w:r>
          </w:p>
        </w:tc>
        <w:tc>
          <w:tcPr>
            <w:tcW w:w="1770" w:type="dxa"/>
            <w:vAlign w:val="center"/>
          </w:tcPr>
          <w:p w14:paraId="3229DCE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手续费</w:t>
            </w:r>
          </w:p>
        </w:tc>
        <w:tc>
          <w:tcPr>
            <w:tcW w:w="735" w:type="dxa"/>
            <w:vAlign w:val="center"/>
          </w:tcPr>
          <w:p w14:paraId="63B921B4">
            <w:pPr>
              <w:jc w:val="right"/>
              <w:rPr>
                <w:rFonts w:hint="default" w:ascii="Times New Roman" w:hAnsi="Times New Roman" w:cs="Times New Roman" w:eastAsiaTheme="minorEastAsia"/>
                <w:sz w:val="16"/>
                <w:szCs w:val="16"/>
                <w:u w:val="none" w:color="auto"/>
              </w:rPr>
            </w:pPr>
          </w:p>
        </w:tc>
        <w:tc>
          <w:tcPr>
            <w:tcW w:w="840" w:type="dxa"/>
            <w:vAlign w:val="center"/>
          </w:tcPr>
          <w:p w14:paraId="1C234B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31013</w:t>
            </w:r>
          </w:p>
        </w:tc>
        <w:tc>
          <w:tcPr>
            <w:tcW w:w="1714" w:type="dxa"/>
            <w:vAlign w:val="center"/>
          </w:tcPr>
          <w:p w14:paraId="522C949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公务用车购置</w:t>
            </w:r>
          </w:p>
        </w:tc>
        <w:tc>
          <w:tcPr>
            <w:tcW w:w="721" w:type="dxa"/>
            <w:vAlign w:val="center"/>
          </w:tcPr>
          <w:p w14:paraId="76F5B838">
            <w:pPr>
              <w:pStyle w:val="11"/>
              <w:jc w:val="center"/>
              <w:rPr>
                <w:rFonts w:hint="default" w:ascii="Times New Roman" w:hAnsi="Times New Roman" w:cs="Times New Roman" w:eastAsiaTheme="minorEastAsia"/>
                <w:sz w:val="18"/>
                <w:szCs w:val="18"/>
                <w:u w:val="none" w:color="auto"/>
              </w:rPr>
            </w:pPr>
          </w:p>
        </w:tc>
      </w:tr>
      <w:tr w14:paraId="09DB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45075B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30107</w:t>
            </w:r>
          </w:p>
        </w:tc>
        <w:tc>
          <w:tcPr>
            <w:tcW w:w="2366" w:type="dxa"/>
            <w:vAlign w:val="center"/>
          </w:tcPr>
          <w:p w14:paraId="456B362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绩效工资</w:t>
            </w:r>
          </w:p>
        </w:tc>
        <w:tc>
          <w:tcPr>
            <w:tcW w:w="952" w:type="dxa"/>
            <w:vAlign w:val="center"/>
          </w:tcPr>
          <w:p w14:paraId="098A4E5C">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73.63</w:t>
            </w:r>
          </w:p>
        </w:tc>
        <w:tc>
          <w:tcPr>
            <w:tcW w:w="735" w:type="dxa"/>
            <w:vAlign w:val="center"/>
          </w:tcPr>
          <w:p w14:paraId="3AF38C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30205</w:t>
            </w:r>
          </w:p>
        </w:tc>
        <w:tc>
          <w:tcPr>
            <w:tcW w:w="1770" w:type="dxa"/>
            <w:vAlign w:val="center"/>
          </w:tcPr>
          <w:p w14:paraId="5395FD4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水费</w:t>
            </w:r>
          </w:p>
        </w:tc>
        <w:tc>
          <w:tcPr>
            <w:tcW w:w="735" w:type="dxa"/>
            <w:vAlign w:val="center"/>
          </w:tcPr>
          <w:p w14:paraId="0AE1EF17">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5.02</w:t>
            </w:r>
          </w:p>
        </w:tc>
        <w:tc>
          <w:tcPr>
            <w:tcW w:w="840" w:type="dxa"/>
            <w:vAlign w:val="center"/>
          </w:tcPr>
          <w:p w14:paraId="2FAD82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31021</w:t>
            </w:r>
          </w:p>
        </w:tc>
        <w:tc>
          <w:tcPr>
            <w:tcW w:w="1714" w:type="dxa"/>
            <w:vAlign w:val="center"/>
          </w:tcPr>
          <w:p w14:paraId="5D4E8D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文物和陈列品购置</w:t>
            </w:r>
          </w:p>
        </w:tc>
        <w:tc>
          <w:tcPr>
            <w:tcW w:w="721" w:type="dxa"/>
            <w:vAlign w:val="center"/>
          </w:tcPr>
          <w:p w14:paraId="2426BA33">
            <w:pPr>
              <w:pStyle w:val="11"/>
              <w:jc w:val="center"/>
              <w:rPr>
                <w:rFonts w:hint="default" w:ascii="Times New Roman" w:hAnsi="Times New Roman" w:cs="Times New Roman" w:eastAsiaTheme="minorEastAsia"/>
                <w:sz w:val="18"/>
                <w:szCs w:val="18"/>
                <w:u w:val="none" w:color="auto"/>
              </w:rPr>
            </w:pPr>
          </w:p>
        </w:tc>
      </w:tr>
      <w:tr w14:paraId="1781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369DC7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30108</w:t>
            </w:r>
          </w:p>
        </w:tc>
        <w:tc>
          <w:tcPr>
            <w:tcW w:w="2366" w:type="dxa"/>
            <w:vAlign w:val="center"/>
          </w:tcPr>
          <w:p w14:paraId="0517310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机关事业单位基本养老保险缴费</w:t>
            </w:r>
          </w:p>
        </w:tc>
        <w:tc>
          <w:tcPr>
            <w:tcW w:w="952" w:type="dxa"/>
            <w:vAlign w:val="center"/>
          </w:tcPr>
          <w:p w14:paraId="5A98BE63">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130.17</w:t>
            </w:r>
          </w:p>
        </w:tc>
        <w:tc>
          <w:tcPr>
            <w:tcW w:w="735" w:type="dxa"/>
            <w:vAlign w:val="center"/>
          </w:tcPr>
          <w:p w14:paraId="3C02D3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30206</w:t>
            </w:r>
          </w:p>
        </w:tc>
        <w:tc>
          <w:tcPr>
            <w:tcW w:w="1770" w:type="dxa"/>
            <w:vAlign w:val="center"/>
          </w:tcPr>
          <w:p w14:paraId="2B3A3DC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电费</w:t>
            </w:r>
          </w:p>
        </w:tc>
        <w:tc>
          <w:tcPr>
            <w:tcW w:w="735" w:type="dxa"/>
            <w:vAlign w:val="center"/>
          </w:tcPr>
          <w:p w14:paraId="039A8F65">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17.83</w:t>
            </w:r>
          </w:p>
        </w:tc>
        <w:tc>
          <w:tcPr>
            <w:tcW w:w="840" w:type="dxa"/>
            <w:vAlign w:val="center"/>
          </w:tcPr>
          <w:p w14:paraId="53AD89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31022</w:t>
            </w:r>
          </w:p>
        </w:tc>
        <w:tc>
          <w:tcPr>
            <w:tcW w:w="1714" w:type="dxa"/>
            <w:vAlign w:val="center"/>
          </w:tcPr>
          <w:p w14:paraId="6B2BEE3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无形资产购置</w:t>
            </w:r>
          </w:p>
        </w:tc>
        <w:tc>
          <w:tcPr>
            <w:tcW w:w="721" w:type="dxa"/>
            <w:vAlign w:val="center"/>
          </w:tcPr>
          <w:p w14:paraId="6AB50206">
            <w:pPr>
              <w:pStyle w:val="11"/>
              <w:jc w:val="center"/>
              <w:rPr>
                <w:rFonts w:hint="default" w:ascii="Times New Roman" w:hAnsi="Times New Roman" w:cs="Times New Roman" w:eastAsiaTheme="minorEastAsia"/>
                <w:sz w:val="18"/>
                <w:szCs w:val="18"/>
                <w:u w:val="none" w:color="auto"/>
              </w:rPr>
            </w:pPr>
          </w:p>
        </w:tc>
      </w:tr>
      <w:tr w14:paraId="5834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1EF3D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30109</w:t>
            </w:r>
          </w:p>
        </w:tc>
        <w:tc>
          <w:tcPr>
            <w:tcW w:w="2366" w:type="dxa"/>
            <w:vAlign w:val="center"/>
          </w:tcPr>
          <w:p w14:paraId="6DD3B18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职业年金缴费</w:t>
            </w:r>
          </w:p>
        </w:tc>
        <w:tc>
          <w:tcPr>
            <w:tcW w:w="952" w:type="dxa"/>
            <w:vAlign w:val="center"/>
          </w:tcPr>
          <w:p w14:paraId="43159561">
            <w:pPr>
              <w:jc w:val="right"/>
              <w:rPr>
                <w:rFonts w:hint="default" w:ascii="Times New Roman" w:hAnsi="Times New Roman" w:cs="Times New Roman" w:eastAsiaTheme="minorEastAsia"/>
                <w:sz w:val="16"/>
                <w:szCs w:val="16"/>
                <w:u w:val="none" w:color="auto"/>
              </w:rPr>
            </w:pPr>
          </w:p>
        </w:tc>
        <w:tc>
          <w:tcPr>
            <w:tcW w:w="735" w:type="dxa"/>
            <w:vAlign w:val="center"/>
          </w:tcPr>
          <w:p w14:paraId="36ADA1C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30207</w:t>
            </w:r>
          </w:p>
        </w:tc>
        <w:tc>
          <w:tcPr>
            <w:tcW w:w="1770" w:type="dxa"/>
            <w:vAlign w:val="center"/>
          </w:tcPr>
          <w:p w14:paraId="7E5A399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邮电费</w:t>
            </w:r>
          </w:p>
        </w:tc>
        <w:tc>
          <w:tcPr>
            <w:tcW w:w="735" w:type="dxa"/>
            <w:vAlign w:val="center"/>
          </w:tcPr>
          <w:p w14:paraId="40C46383">
            <w:pPr>
              <w:jc w:val="right"/>
              <w:rPr>
                <w:rFonts w:hint="default" w:ascii="Times New Roman" w:hAnsi="Times New Roman" w:cs="Times New Roman" w:eastAsiaTheme="minorEastAsia"/>
                <w:sz w:val="16"/>
                <w:szCs w:val="16"/>
                <w:u w:val="none" w:color="auto"/>
              </w:rPr>
            </w:pPr>
          </w:p>
        </w:tc>
        <w:tc>
          <w:tcPr>
            <w:tcW w:w="840" w:type="dxa"/>
            <w:vAlign w:val="center"/>
          </w:tcPr>
          <w:p w14:paraId="312969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31099</w:t>
            </w:r>
          </w:p>
        </w:tc>
        <w:tc>
          <w:tcPr>
            <w:tcW w:w="1714" w:type="dxa"/>
            <w:vAlign w:val="center"/>
          </w:tcPr>
          <w:p w14:paraId="49EF680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其他资本性支出</w:t>
            </w:r>
          </w:p>
        </w:tc>
        <w:tc>
          <w:tcPr>
            <w:tcW w:w="721" w:type="dxa"/>
            <w:vAlign w:val="center"/>
          </w:tcPr>
          <w:p w14:paraId="3E98FA1F">
            <w:pPr>
              <w:pStyle w:val="11"/>
              <w:jc w:val="center"/>
              <w:rPr>
                <w:rFonts w:hint="default" w:ascii="Times New Roman" w:hAnsi="Times New Roman" w:cs="Times New Roman" w:eastAsiaTheme="minorEastAsia"/>
                <w:sz w:val="18"/>
                <w:szCs w:val="18"/>
                <w:u w:val="none" w:color="auto"/>
              </w:rPr>
            </w:pPr>
          </w:p>
        </w:tc>
      </w:tr>
      <w:tr w14:paraId="44AE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053605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30110</w:t>
            </w:r>
          </w:p>
        </w:tc>
        <w:tc>
          <w:tcPr>
            <w:tcW w:w="2366" w:type="dxa"/>
            <w:vAlign w:val="center"/>
          </w:tcPr>
          <w:p w14:paraId="56ACE06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职工基本医疗保险缴费</w:t>
            </w:r>
          </w:p>
        </w:tc>
        <w:tc>
          <w:tcPr>
            <w:tcW w:w="952" w:type="dxa"/>
            <w:vAlign w:val="center"/>
          </w:tcPr>
          <w:p w14:paraId="0ED731DB">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71.95</w:t>
            </w:r>
          </w:p>
        </w:tc>
        <w:tc>
          <w:tcPr>
            <w:tcW w:w="735" w:type="dxa"/>
            <w:vAlign w:val="center"/>
          </w:tcPr>
          <w:p w14:paraId="7DA923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30208</w:t>
            </w:r>
          </w:p>
        </w:tc>
        <w:tc>
          <w:tcPr>
            <w:tcW w:w="1770" w:type="dxa"/>
            <w:vAlign w:val="center"/>
          </w:tcPr>
          <w:p w14:paraId="60E2B7D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取暖费</w:t>
            </w:r>
          </w:p>
        </w:tc>
        <w:tc>
          <w:tcPr>
            <w:tcW w:w="735" w:type="dxa"/>
            <w:vAlign w:val="center"/>
          </w:tcPr>
          <w:p w14:paraId="57A9322D">
            <w:pPr>
              <w:jc w:val="right"/>
              <w:rPr>
                <w:rFonts w:hint="default" w:ascii="Times New Roman" w:hAnsi="Times New Roman" w:cs="Times New Roman" w:eastAsiaTheme="minorEastAsia"/>
                <w:sz w:val="16"/>
                <w:szCs w:val="16"/>
                <w:u w:val="none" w:color="auto"/>
              </w:rPr>
            </w:pPr>
          </w:p>
        </w:tc>
        <w:tc>
          <w:tcPr>
            <w:tcW w:w="840" w:type="dxa"/>
            <w:vAlign w:val="center"/>
          </w:tcPr>
          <w:p w14:paraId="3A6FB1FB">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538B8742">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11CB4CA3">
            <w:pPr>
              <w:pStyle w:val="11"/>
              <w:jc w:val="center"/>
              <w:rPr>
                <w:rFonts w:hint="default" w:ascii="Times New Roman" w:hAnsi="Times New Roman" w:cs="Times New Roman" w:eastAsiaTheme="minorEastAsia"/>
                <w:sz w:val="18"/>
                <w:szCs w:val="18"/>
                <w:u w:val="none" w:color="auto"/>
              </w:rPr>
            </w:pPr>
          </w:p>
        </w:tc>
      </w:tr>
      <w:tr w14:paraId="56B8B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6E3778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30111</w:t>
            </w:r>
          </w:p>
        </w:tc>
        <w:tc>
          <w:tcPr>
            <w:tcW w:w="2366" w:type="dxa"/>
            <w:vAlign w:val="center"/>
          </w:tcPr>
          <w:p w14:paraId="04F872C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公务员医疗补助缴费</w:t>
            </w:r>
          </w:p>
        </w:tc>
        <w:tc>
          <w:tcPr>
            <w:tcW w:w="952" w:type="dxa"/>
            <w:vAlign w:val="center"/>
          </w:tcPr>
          <w:p w14:paraId="5983127D">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7.69</w:t>
            </w:r>
          </w:p>
        </w:tc>
        <w:tc>
          <w:tcPr>
            <w:tcW w:w="735" w:type="dxa"/>
            <w:vAlign w:val="center"/>
          </w:tcPr>
          <w:p w14:paraId="6B5DA4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30209</w:t>
            </w:r>
          </w:p>
        </w:tc>
        <w:tc>
          <w:tcPr>
            <w:tcW w:w="1770" w:type="dxa"/>
            <w:vAlign w:val="center"/>
          </w:tcPr>
          <w:p w14:paraId="7555DB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物业管理费</w:t>
            </w:r>
          </w:p>
        </w:tc>
        <w:tc>
          <w:tcPr>
            <w:tcW w:w="735" w:type="dxa"/>
            <w:vAlign w:val="center"/>
          </w:tcPr>
          <w:p w14:paraId="06EE00DA">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34.92</w:t>
            </w:r>
          </w:p>
        </w:tc>
        <w:tc>
          <w:tcPr>
            <w:tcW w:w="840" w:type="dxa"/>
            <w:vAlign w:val="center"/>
          </w:tcPr>
          <w:p w14:paraId="00D78047">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0B934387">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47EEE96D">
            <w:pPr>
              <w:pStyle w:val="11"/>
              <w:jc w:val="center"/>
              <w:rPr>
                <w:rFonts w:hint="default" w:ascii="Times New Roman" w:hAnsi="Times New Roman" w:cs="Times New Roman" w:eastAsiaTheme="minorEastAsia"/>
                <w:sz w:val="18"/>
                <w:szCs w:val="18"/>
                <w:u w:val="none" w:color="auto"/>
              </w:rPr>
            </w:pPr>
          </w:p>
        </w:tc>
      </w:tr>
      <w:tr w14:paraId="28A3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E4762D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30112</w:t>
            </w:r>
          </w:p>
        </w:tc>
        <w:tc>
          <w:tcPr>
            <w:tcW w:w="2366" w:type="dxa"/>
            <w:vAlign w:val="center"/>
          </w:tcPr>
          <w:p w14:paraId="567E937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其他社会保障缴费</w:t>
            </w:r>
          </w:p>
        </w:tc>
        <w:tc>
          <w:tcPr>
            <w:tcW w:w="952" w:type="dxa"/>
            <w:vAlign w:val="center"/>
          </w:tcPr>
          <w:p w14:paraId="52C03813">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7.77</w:t>
            </w:r>
          </w:p>
        </w:tc>
        <w:tc>
          <w:tcPr>
            <w:tcW w:w="735" w:type="dxa"/>
            <w:vAlign w:val="center"/>
          </w:tcPr>
          <w:p w14:paraId="7D869F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30211</w:t>
            </w:r>
          </w:p>
        </w:tc>
        <w:tc>
          <w:tcPr>
            <w:tcW w:w="1770" w:type="dxa"/>
            <w:vAlign w:val="center"/>
          </w:tcPr>
          <w:p w14:paraId="4B8A4AB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差旅费</w:t>
            </w:r>
          </w:p>
        </w:tc>
        <w:tc>
          <w:tcPr>
            <w:tcW w:w="735" w:type="dxa"/>
            <w:vAlign w:val="center"/>
          </w:tcPr>
          <w:p w14:paraId="1F5636E1">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1.75</w:t>
            </w:r>
          </w:p>
        </w:tc>
        <w:tc>
          <w:tcPr>
            <w:tcW w:w="840" w:type="dxa"/>
            <w:vAlign w:val="center"/>
          </w:tcPr>
          <w:p w14:paraId="2DC3FC7B">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01A7E5CA">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16A80AA3">
            <w:pPr>
              <w:pStyle w:val="11"/>
              <w:jc w:val="center"/>
              <w:rPr>
                <w:rFonts w:hint="default" w:ascii="Times New Roman" w:hAnsi="Times New Roman" w:cs="Times New Roman" w:eastAsiaTheme="minorEastAsia"/>
                <w:sz w:val="18"/>
                <w:szCs w:val="18"/>
                <w:u w:val="none" w:color="auto"/>
              </w:rPr>
            </w:pPr>
          </w:p>
        </w:tc>
      </w:tr>
      <w:tr w14:paraId="33837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0672C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30113</w:t>
            </w:r>
          </w:p>
        </w:tc>
        <w:tc>
          <w:tcPr>
            <w:tcW w:w="2366" w:type="dxa"/>
            <w:vAlign w:val="center"/>
          </w:tcPr>
          <w:p w14:paraId="68149C2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住房公积金</w:t>
            </w:r>
          </w:p>
        </w:tc>
        <w:tc>
          <w:tcPr>
            <w:tcW w:w="952" w:type="dxa"/>
            <w:vAlign w:val="center"/>
          </w:tcPr>
          <w:p w14:paraId="7E8E0687">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118.48</w:t>
            </w:r>
          </w:p>
        </w:tc>
        <w:tc>
          <w:tcPr>
            <w:tcW w:w="735" w:type="dxa"/>
            <w:vAlign w:val="center"/>
          </w:tcPr>
          <w:p w14:paraId="2FEFDE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30212</w:t>
            </w:r>
          </w:p>
        </w:tc>
        <w:tc>
          <w:tcPr>
            <w:tcW w:w="1770" w:type="dxa"/>
            <w:vAlign w:val="center"/>
          </w:tcPr>
          <w:p w14:paraId="69938F5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因公出国（境） 费用</w:t>
            </w:r>
          </w:p>
        </w:tc>
        <w:tc>
          <w:tcPr>
            <w:tcW w:w="735" w:type="dxa"/>
            <w:vAlign w:val="center"/>
          </w:tcPr>
          <w:p w14:paraId="59A54933">
            <w:pPr>
              <w:jc w:val="right"/>
              <w:rPr>
                <w:rFonts w:hint="default" w:ascii="Times New Roman" w:hAnsi="Times New Roman" w:cs="Times New Roman" w:eastAsiaTheme="minorEastAsia"/>
                <w:sz w:val="16"/>
                <w:szCs w:val="16"/>
                <w:u w:val="none" w:color="auto"/>
              </w:rPr>
            </w:pPr>
          </w:p>
        </w:tc>
        <w:tc>
          <w:tcPr>
            <w:tcW w:w="840" w:type="dxa"/>
            <w:vAlign w:val="center"/>
          </w:tcPr>
          <w:p w14:paraId="555C5C56">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191B6587">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05F91D6B">
            <w:pPr>
              <w:pStyle w:val="11"/>
              <w:jc w:val="center"/>
              <w:rPr>
                <w:rFonts w:hint="default" w:ascii="Times New Roman" w:hAnsi="Times New Roman" w:cs="Times New Roman" w:eastAsiaTheme="minorEastAsia"/>
                <w:sz w:val="18"/>
                <w:szCs w:val="18"/>
                <w:u w:val="none" w:color="auto"/>
              </w:rPr>
            </w:pPr>
          </w:p>
        </w:tc>
      </w:tr>
      <w:tr w14:paraId="462F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2B24DD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30114</w:t>
            </w:r>
          </w:p>
        </w:tc>
        <w:tc>
          <w:tcPr>
            <w:tcW w:w="2366" w:type="dxa"/>
            <w:vAlign w:val="center"/>
          </w:tcPr>
          <w:p w14:paraId="6F65D3F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医疗费</w:t>
            </w:r>
          </w:p>
        </w:tc>
        <w:tc>
          <w:tcPr>
            <w:tcW w:w="952" w:type="dxa"/>
            <w:vAlign w:val="center"/>
          </w:tcPr>
          <w:p w14:paraId="777652BD">
            <w:pPr>
              <w:jc w:val="right"/>
              <w:rPr>
                <w:rFonts w:hint="default" w:ascii="Times New Roman" w:hAnsi="Times New Roman" w:cs="Times New Roman" w:eastAsiaTheme="minorEastAsia"/>
                <w:sz w:val="16"/>
                <w:szCs w:val="16"/>
                <w:u w:val="none" w:color="auto"/>
              </w:rPr>
            </w:pPr>
          </w:p>
        </w:tc>
        <w:tc>
          <w:tcPr>
            <w:tcW w:w="735" w:type="dxa"/>
            <w:vAlign w:val="center"/>
          </w:tcPr>
          <w:p w14:paraId="7C1753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30213</w:t>
            </w:r>
          </w:p>
        </w:tc>
        <w:tc>
          <w:tcPr>
            <w:tcW w:w="1770" w:type="dxa"/>
            <w:vAlign w:val="center"/>
          </w:tcPr>
          <w:p w14:paraId="56F2D0D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维修（护） 费</w:t>
            </w:r>
          </w:p>
        </w:tc>
        <w:tc>
          <w:tcPr>
            <w:tcW w:w="735" w:type="dxa"/>
            <w:vAlign w:val="center"/>
          </w:tcPr>
          <w:p w14:paraId="6A674F78">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16.10</w:t>
            </w:r>
          </w:p>
        </w:tc>
        <w:tc>
          <w:tcPr>
            <w:tcW w:w="840" w:type="dxa"/>
            <w:vAlign w:val="center"/>
          </w:tcPr>
          <w:p w14:paraId="6BF38DEA">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7BEC1D02">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64D4F068">
            <w:pPr>
              <w:pStyle w:val="11"/>
              <w:jc w:val="center"/>
              <w:rPr>
                <w:rFonts w:hint="default" w:ascii="Times New Roman" w:hAnsi="Times New Roman" w:cs="Times New Roman" w:eastAsiaTheme="minorEastAsia"/>
                <w:sz w:val="18"/>
                <w:szCs w:val="18"/>
                <w:u w:val="none" w:color="auto"/>
              </w:rPr>
            </w:pPr>
          </w:p>
        </w:tc>
      </w:tr>
      <w:tr w14:paraId="6444A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3A3117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30199</w:t>
            </w:r>
          </w:p>
        </w:tc>
        <w:tc>
          <w:tcPr>
            <w:tcW w:w="2366" w:type="dxa"/>
            <w:vAlign w:val="center"/>
          </w:tcPr>
          <w:p w14:paraId="6BEE3BC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其他工资福利支出</w:t>
            </w:r>
          </w:p>
        </w:tc>
        <w:tc>
          <w:tcPr>
            <w:tcW w:w="952" w:type="dxa"/>
            <w:vAlign w:val="center"/>
          </w:tcPr>
          <w:p w14:paraId="582DB02D">
            <w:pPr>
              <w:jc w:val="right"/>
              <w:rPr>
                <w:rFonts w:hint="default" w:ascii="Times New Roman" w:hAnsi="Times New Roman" w:cs="Times New Roman" w:eastAsiaTheme="minorEastAsia"/>
                <w:sz w:val="16"/>
                <w:szCs w:val="16"/>
                <w:u w:val="none" w:color="auto"/>
              </w:rPr>
            </w:pPr>
          </w:p>
        </w:tc>
        <w:tc>
          <w:tcPr>
            <w:tcW w:w="735" w:type="dxa"/>
            <w:vAlign w:val="center"/>
          </w:tcPr>
          <w:p w14:paraId="1AC486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30214</w:t>
            </w:r>
          </w:p>
        </w:tc>
        <w:tc>
          <w:tcPr>
            <w:tcW w:w="1770" w:type="dxa"/>
            <w:vAlign w:val="center"/>
          </w:tcPr>
          <w:p w14:paraId="7ECC906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租赁费</w:t>
            </w:r>
          </w:p>
        </w:tc>
        <w:tc>
          <w:tcPr>
            <w:tcW w:w="735" w:type="dxa"/>
            <w:vAlign w:val="center"/>
          </w:tcPr>
          <w:p w14:paraId="2CE2D9B3">
            <w:pPr>
              <w:jc w:val="right"/>
              <w:rPr>
                <w:rFonts w:hint="default" w:ascii="Times New Roman" w:hAnsi="Times New Roman" w:cs="Times New Roman" w:eastAsiaTheme="minorEastAsia"/>
                <w:sz w:val="16"/>
                <w:szCs w:val="16"/>
                <w:u w:val="none" w:color="auto"/>
              </w:rPr>
            </w:pPr>
          </w:p>
        </w:tc>
        <w:tc>
          <w:tcPr>
            <w:tcW w:w="840" w:type="dxa"/>
            <w:vAlign w:val="center"/>
          </w:tcPr>
          <w:p w14:paraId="54686841">
            <w:pPr>
              <w:pStyle w:val="11"/>
              <w:spacing w:line="225" w:lineRule="exact"/>
              <w:jc w:val="center"/>
              <w:rPr>
                <w:rFonts w:hint="default" w:ascii="Times New Roman" w:hAnsi="Times New Roman" w:cs="Times New Roman" w:eastAsiaTheme="minorEastAsia"/>
                <w:sz w:val="18"/>
                <w:szCs w:val="18"/>
                <w:u w:val="none" w:color="auto"/>
              </w:rPr>
            </w:pPr>
          </w:p>
        </w:tc>
        <w:tc>
          <w:tcPr>
            <w:tcW w:w="1714" w:type="dxa"/>
            <w:vAlign w:val="center"/>
          </w:tcPr>
          <w:p w14:paraId="06C54625">
            <w:pPr>
              <w:pStyle w:val="11"/>
              <w:spacing w:line="225" w:lineRule="exact"/>
              <w:jc w:val="center"/>
              <w:rPr>
                <w:rFonts w:hint="default" w:ascii="Times New Roman" w:hAnsi="Times New Roman" w:cs="Times New Roman" w:eastAsiaTheme="minorEastAsia"/>
                <w:sz w:val="18"/>
                <w:szCs w:val="18"/>
                <w:u w:val="none" w:color="auto"/>
              </w:rPr>
            </w:pPr>
          </w:p>
        </w:tc>
        <w:tc>
          <w:tcPr>
            <w:tcW w:w="721" w:type="dxa"/>
            <w:vAlign w:val="center"/>
          </w:tcPr>
          <w:p w14:paraId="0C6BA365">
            <w:pPr>
              <w:pStyle w:val="11"/>
              <w:spacing w:line="225" w:lineRule="exact"/>
              <w:jc w:val="center"/>
              <w:rPr>
                <w:rFonts w:hint="default" w:ascii="Times New Roman" w:hAnsi="Times New Roman" w:cs="Times New Roman" w:eastAsiaTheme="minorEastAsia"/>
                <w:sz w:val="18"/>
                <w:szCs w:val="18"/>
                <w:u w:val="none" w:color="auto"/>
              </w:rPr>
            </w:pPr>
          </w:p>
        </w:tc>
      </w:tr>
      <w:tr w14:paraId="69535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78CB16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w:t>
            </w:r>
          </w:p>
        </w:tc>
        <w:tc>
          <w:tcPr>
            <w:tcW w:w="2366" w:type="dxa"/>
            <w:vAlign w:val="center"/>
          </w:tcPr>
          <w:p w14:paraId="255FD20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对个人和家庭的补助</w:t>
            </w:r>
          </w:p>
        </w:tc>
        <w:tc>
          <w:tcPr>
            <w:tcW w:w="952" w:type="dxa"/>
            <w:vAlign w:val="center"/>
          </w:tcPr>
          <w:p w14:paraId="7B0F5E88">
            <w:pPr>
              <w:jc w:val="right"/>
              <w:rPr>
                <w:rFonts w:hint="default" w:ascii="Times New Roman" w:hAnsi="Times New Roman" w:cs="Times New Roman" w:eastAsiaTheme="minorEastAsia"/>
                <w:sz w:val="16"/>
                <w:szCs w:val="16"/>
                <w:u w:val="none" w:color="auto"/>
              </w:rPr>
            </w:pPr>
          </w:p>
        </w:tc>
        <w:tc>
          <w:tcPr>
            <w:tcW w:w="735" w:type="dxa"/>
            <w:vAlign w:val="center"/>
          </w:tcPr>
          <w:p w14:paraId="168100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30215</w:t>
            </w:r>
          </w:p>
        </w:tc>
        <w:tc>
          <w:tcPr>
            <w:tcW w:w="1770" w:type="dxa"/>
            <w:vAlign w:val="center"/>
          </w:tcPr>
          <w:p w14:paraId="797DC81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会议费</w:t>
            </w:r>
          </w:p>
        </w:tc>
        <w:tc>
          <w:tcPr>
            <w:tcW w:w="735" w:type="dxa"/>
            <w:vAlign w:val="center"/>
          </w:tcPr>
          <w:p w14:paraId="2BE39833">
            <w:pPr>
              <w:jc w:val="right"/>
              <w:rPr>
                <w:rFonts w:hint="default" w:ascii="Times New Roman" w:hAnsi="Times New Roman" w:cs="Times New Roman" w:eastAsiaTheme="minorEastAsia"/>
                <w:sz w:val="16"/>
                <w:szCs w:val="16"/>
                <w:u w:val="none" w:color="auto"/>
              </w:rPr>
            </w:pPr>
          </w:p>
        </w:tc>
        <w:tc>
          <w:tcPr>
            <w:tcW w:w="840" w:type="dxa"/>
            <w:vAlign w:val="center"/>
          </w:tcPr>
          <w:p w14:paraId="440CC7D8">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6A3605A4">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7A429931">
            <w:pPr>
              <w:pStyle w:val="11"/>
              <w:jc w:val="center"/>
              <w:rPr>
                <w:rFonts w:hint="default" w:ascii="Times New Roman" w:hAnsi="Times New Roman" w:cs="Times New Roman" w:eastAsiaTheme="minorEastAsia"/>
                <w:sz w:val="18"/>
                <w:szCs w:val="18"/>
                <w:u w:val="none" w:color="auto"/>
              </w:rPr>
            </w:pPr>
          </w:p>
        </w:tc>
      </w:tr>
      <w:tr w14:paraId="49C0D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72A68C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30301</w:t>
            </w:r>
          </w:p>
        </w:tc>
        <w:tc>
          <w:tcPr>
            <w:tcW w:w="2366" w:type="dxa"/>
            <w:vAlign w:val="center"/>
          </w:tcPr>
          <w:p w14:paraId="5464C2E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离休费</w:t>
            </w:r>
          </w:p>
        </w:tc>
        <w:tc>
          <w:tcPr>
            <w:tcW w:w="952" w:type="dxa"/>
            <w:vAlign w:val="center"/>
          </w:tcPr>
          <w:p w14:paraId="7C63E300">
            <w:pPr>
              <w:jc w:val="right"/>
              <w:rPr>
                <w:rFonts w:hint="default" w:ascii="Times New Roman" w:hAnsi="Times New Roman" w:cs="Times New Roman" w:eastAsiaTheme="minorEastAsia"/>
                <w:sz w:val="16"/>
                <w:szCs w:val="16"/>
                <w:u w:val="none" w:color="auto"/>
              </w:rPr>
            </w:pPr>
          </w:p>
        </w:tc>
        <w:tc>
          <w:tcPr>
            <w:tcW w:w="735" w:type="dxa"/>
            <w:vAlign w:val="center"/>
          </w:tcPr>
          <w:p w14:paraId="7B50BB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30216</w:t>
            </w:r>
          </w:p>
        </w:tc>
        <w:tc>
          <w:tcPr>
            <w:tcW w:w="1770" w:type="dxa"/>
            <w:vAlign w:val="center"/>
          </w:tcPr>
          <w:p w14:paraId="7AD234B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培训费</w:t>
            </w:r>
          </w:p>
        </w:tc>
        <w:tc>
          <w:tcPr>
            <w:tcW w:w="735" w:type="dxa"/>
            <w:vAlign w:val="center"/>
          </w:tcPr>
          <w:p w14:paraId="036DF7F6">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0.71</w:t>
            </w:r>
          </w:p>
        </w:tc>
        <w:tc>
          <w:tcPr>
            <w:tcW w:w="840" w:type="dxa"/>
            <w:vAlign w:val="center"/>
          </w:tcPr>
          <w:p w14:paraId="5A9452C9">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26AD3460">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6A25AA9B">
            <w:pPr>
              <w:pStyle w:val="11"/>
              <w:jc w:val="center"/>
              <w:rPr>
                <w:rFonts w:hint="default" w:ascii="Times New Roman" w:hAnsi="Times New Roman" w:cs="Times New Roman" w:eastAsiaTheme="minorEastAsia"/>
                <w:sz w:val="18"/>
                <w:szCs w:val="18"/>
                <w:u w:val="none" w:color="auto"/>
              </w:rPr>
            </w:pPr>
          </w:p>
        </w:tc>
      </w:tr>
      <w:tr w14:paraId="21DCE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14:paraId="3DAA7F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30302</w:t>
            </w:r>
          </w:p>
        </w:tc>
        <w:tc>
          <w:tcPr>
            <w:tcW w:w="2366" w:type="dxa"/>
            <w:vAlign w:val="center"/>
          </w:tcPr>
          <w:p w14:paraId="48479A9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退休费</w:t>
            </w:r>
          </w:p>
        </w:tc>
        <w:tc>
          <w:tcPr>
            <w:tcW w:w="952" w:type="dxa"/>
            <w:vAlign w:val="center"/>
          </w:tcPr>
          <w:p w14:paraId="4C5870EB">
            <w:pPr>
              <w:jc w:val="right"/>
              <w:rPr>
                <w:rFonts w:hint="default" w:ascii="Times New Roman" w:hAnsi="Times New Roman" w:cs="Times New Roman" w:eastAsiaTheme="minorEastAsia"/>
                <w:sz w:val="16"/>
                <w:szCs w:val="16"/>
                <w:u w:val="none" w:color="auto"/>
              </w:rPr>
            </w:pPr>
          </w:p>
        </w:tc>
        <w:tc>
          <w:tcPr>
            <w:tcW w:w="735" w:type="dxa"/>
            <w:vAlign w:val="center"/>
          </w:tcPr>
          <w:p w14:paraId="3D3486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30217</w:t>
            </w:r>
          </w:p>
        </w:tc>
        <w:tc>
          <w:tcPr>
            <w:tcW w:w="1770" w:type="dxa"/>
            <w:vAlign w:val="center"/>
          </w:tcPr>
          <w:p w14:paraId="7E33064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公务接待费</w:t>
            </w:r>
          </w:p>
        </w:tc>
        <w:tc>
          <w:tcPr>
            <w:tcW w:w="735" w:type="dxa"/>
            <w:vAlign w:val="center"/>
          </w:tcPr>
          <w:p w14:paraId="027A932E">
            <w:pPr>
              <w:jc w:val="right"/>
              <w:rPr>
                <w:rFonts w:hint="default" w:ascii="Times New Roman" w:hAnsi="Times New Roman" w:cs="Times New Roman" w:eastAsiaTheme="minorEastAsia"/>
                <w:sz w:val="16"/>
                <w:szCs w:val="16"/>
                <w:u w:val="none" w:color="auto"/>
              </w:rPr>
            </w:pPr>
          </w:p>
        </w:tc>
        <w:tc>
          <w:tcPr>
            <w:tcW w:w="840" w:type="dxa"/>
            <w:vAlign w:val="center"/>
          </w:tcPr>
          <w:p w14:paraId="3593B8B2">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23751E6A">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4B10E8A9">
            <w:pPr>
              <w:pStyle w:val="11"/>
              <w:jc w:val="center"/>
              <w:rPr>
                <w:rFonts w:hint="default" w:ascii="Times New Roman" w:hAnsi="Times New Roman" w:cs="Times New Roman" w:eastAsiaTheme="minorEastAsia"/>
                <w:sz w:val="18"/>
                <w:szCs w:val="18"/>
                <w:u w:val="none" w:color="auto"/>
              </w:rPr>
            </w:pPr>
          </w:p>
        </w:tc>
      </w:tr>
      <w:tr w14:paraId="67AEE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35AFC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30303</w:t>
            </w:r>
          </w:p>
        </w:tc>
        <w:tc>
          <w:tcPr>
            <w:tcW w:w="2366" w:type="dxa"/>
            <w:vAlign w:val="center"/>
          </w:tcPr>
          <w:p w14:paraId="31AB8AD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退职（役）费</w:t>
            </w:r>
          </w:p>
        </w:tc>
        <w:tc>
          <w:tcPr>
            <w:tcW w:w="952" w:type="dxa"/>
            <w:vAlign w:val="center"/>
          </w:tcPr>
          <w:p w14:paraId="7CD6FA07">
            <w:pPr>
              <w:jc w:val="right"/>
              <w:rPr>
                <w:rFonts w:hint="default" w:ascii="Times New Roman" w:hAnsi="Times New Roman" w:cs="Times New Roman" w:eastAsiaTheme="minorEastAsia"/>
                <w:sz w:val="16"/>
                <w:szCs w:val="16"/>
                <w:u w:val="none" w:color="auto"/>
              </w:rPr>
            </w:pPr>
          </w:p>
        </w:tc>
        <w:tc>
          <w:tcPr>
            <w:tcW w:w="735" w:type="dxa"/>
            <w:vAlign w:val="center"/>
          </w:tcPr>
          <w:p w14:paraId="586AB56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30218</w:t>
            </w:r>
          </w:p>
        </w:tc>
        <w:tc>
          <w:tcPr>
            <w:tcW w:w="1770" w:type="dxa"/>
            <w:vAlign w:val="center"/>
          </w:tcPr>
          <w:p w14:paraId="73DD9F4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专用材料费</w:t>
            </w:r>
          </w:p>
        </w:tc>
        <w:tc>
          <w:tcPr>
            <w:tcW w:w="735" w:type="dxa"/>
            <w:vAlign w:val="center"/>
          </w:tcPr>
          <w:p w14:paraId="72F500E8">
            <w:pPr>
              <w:jc w:val="right"/>
              <w:rPr>
                <w:rFonts w:hint="default" w:ascii="Times New Roman" w:hAnsi="Times New Roman" w:cs="Times New Roman" w:eastAsiaTheme="minorEastAsia"/>
                <w:sz w:val="16"/>
                <w:szCs w:val="16"/>
                <w:u w:val="none" w:color="auto"/>
              </w:rPr>
            </w:pPr>
          </w:p>
        </w:tc>
        <w:tc>
          <w:tcPr>
            <w:tcW w:w="840" w:type="dxa"/>
            <w:vAlign w:val="center"/>
          </w:tcPr>
          <w:p w14:paraId="26B6D5FD">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7AD5FA8C">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698C358E">
            <w:pPr>
              <w:pStyle w:val="11"/>
              <w:jc w:val="center"/>
              <w:rPr>
                <w:rFonts w:hint="default" w:ascii="Times New Roman" w:hAnsi="Times New Roman" w:cs="Times New Roman" w:eastAsiaTheme="minorEastAsia"/>
                <w:sz w:val="18"/>
                <w:szCs w:val="18"/>
                <w:u w:val="none" w:color="auto"/>
              </w:rPr>
            </w:pPr>
          </w:p>
        </w:tc>
      </w:tr>
      <w:tr w14:paraId="33C6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D6CFC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30304</w:t>
            </w:r>
          </w:p>
        </w:tc>
        <w:tc>
          <w:tcPr>
            <w:tcW w:w="2366" w:type="dxa"/>
            <w:vAlign w:val="center"/>
          </w:tcPr>
          <w:p w14:paraId="3D4978F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抚恤金</w:t>
            </w:r>
          </w:p>
        </w:tc>
        <w:tc>
          <w:tcPr>
            <w:tcW w:w="952" w:type="dxa"/>
            <w:vAlign w:val="center"/>
          </w:tcPr>
          <w:p w14:paraId="3C879F45">
            <w:pPr>
              <w:jc w:val="right"/>
              <w:rPr>
                <w:rFonts w:hint="default" w:ascii="Times New Roman" w:hAnsi="Times New Roman" w:cs="Times New Roman" w:eastAsiaTheme="minorEastAsia"/>
                <w:sz w:val="16"/>
                <w:szCs w:val="16"/>
                <w:u w:val="none" w:color="auto"/>
              </w:rPr>
            </w:pPr>
          </w:p>
        </w:tc>
        <w:tc>
          <w:tcPr>
            <w:tcW w:w="735" w:type="dxa"/>
            <w:vAlign w:val="center"/>
          </w:tcPr>
          <w:p w14:paraId="67F4AB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30224</w:t>
            </w:r>
          </w:p>
        </w:tc>
        <w:tc>
          <w:tcPr>
            <w:tcW w:w="1770" w:type="dxa"/>
            <w:vAlign w:val="center"/>
          </w:tcPr>
          <w:p w14:paraId="0FC8554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被装购置费</w:t>
            </w:r>
          </w:p>
        </w:tc>
        <w:tc>
          <w:tcPr>
            <w:tcW w:w="735" w:type="dxa"/>
            <w:vAlign w:val="center"/>
          </w:tcPr>
          <w:p w14:paraId="79DDBBA4">
            <w:pPr>
              <w:jc w:val="right"/>
              <w:rPr>
                <w:rFonts w:hint="default" w:ascii="Times New Roman" w:hAnsi="Times New Roman" w:cs="Times New Roman" w:eastAsiaTheme="minorEastAsia"/>
                <w:sz w:val="16"/>
                <w:szCs w:val="16"/>
                <w:u w:val="none" w:color="auto"/>
              </w:rPr>
            </w:pPr>
          </w:p>
        </w:tc>
        <w:tc>
          <w:tcPr>
            <w:tcW w:w="840" w:type="dxa"/>
            <w:vAlign w:val="center"/>
          </w:tcPr>
          <w:p w14:paraId="695595FE">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17B1674E">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6BAFE4F1">
            <w:pPr>
              <w:pStyle w:val="11"/>
              <w:jc w:val="center"/>
              <w:rPr>
                <w:rFonts w:hint="default" w:ascii="Times New Roman" w:hAnsi="Times New Roman" w:cs="Times New Roman" w:eastAsiaTheme="minorEastAsia"/>
                <w:sz w:val="18"/>
                <w:szCs w:val="18"/>
                <w:u w:val="none" w:color="auto"/>
              </w:rPr>
            </w:pPr>
          </w:p>
        </w:tc>
      </w:tr>
      <w:tr w14:paraId="69133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0B3C6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30305</w:t>
            </w:r>
          </w:p>
        </w:tc>
        <w:tc>
          <w:tcPr>
            <w:tcW w:w="2366" w:type="dxa"/>
            <w:vAlign w:val="center"/>
          </w:tcPr>
          <w:p w14:paraId="71C6D49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生活补助</w:t>
            </w:r>
          </w:p>
        </w:tc>
        <w:tc>
          <w:tcPr>
            <w:tcW w:w="952" w:type="dxa"/>
            <w:vAlign w:val="center"/>
          </w:tcPr>
          <w:p w14:paraId="0A06BF46">
            <w:pPr>
              <w:jc w:val="right"/>
              <w:rPr>
                <w:rFonts w:hint="default" w:ascii="Times New Roman" w:hAnsi="Times New Roman" w:cs="Times New Roman" w:eastAsiaTheme="minorEastAsia"/>
                <w:sz w:val="16"/>
                <w:szCs w:val="16"/>
                <w:u w:val="none" w:color="auto"/>
              </w:rPr>
            </w:pPr>
          </w:p>
        </w:tc>
        <w:tc>
          <w:tcPr>
            <w:tcW w:w="735" w:type="dxa"/>
            <w:vAlign w:val="center"/>
          </w:tcPr>
          <w:p w14:paraId="7EF8604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30225</w:t>
            </w:r>
          </w:p>
        </w:tc>
        <w:tc>
          <w:tcPr>
            <w:tcW w:w="1770" w:type="dxa"/>
            <w:vAlign w:val="center"/>
          </w:tcPr>
          <w:p w14:paraId="139E0D4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专用燃料费</w:t>
            </w:r>
          </w:p>
        </w:tc>
        <w:tc>
          <w:tcPr>
            <w:tcW w:w="735" w:type="dxa"/>
            <w:vAlign w:val="center"/>
          </w:tcPr>
          <w:p w14:paraId="40787732">
            <w:pPr>
              <w:jc w:val="right"/>
              <w:rPr>
                <w:rFonts w:hint="default" w:ascii="Times New Roman" w:hAnsi="Times New Roman" w:cs="Times New Roman" w:eastAsiaTheme="minorEastAsia"/>
                <w:sz w:val="16"/>
                <w:szCs w:val="16"/>
                <w:u w:val="none" w:color="auto"/>
              </w:rPr>
            </w:pPr>
          </w:p>
        </w:tc>
        <w:tc>
          <w:tcPr>
            <w:tcW w:w="840" w:type="dxa"/>
            <w:vAlign w:val="center"/>
          </w:tcPr>
          <w:p w14:paraId="09021695">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12F11660">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24AFCD23">
            <w:pPr>
              <w:pStyle w:val="11"/>
              <w:jc w:val="center"/>
              <w:rPr>
                <w:rFonts w:hint="default" w:ascii="Times New Roman" w:hAnsi="Times New Roman" w:cs="Times New Roman" w:eastAsiaTheme="minorEastAsia"/>
                <w:sz w:val="18"/>
                <w:szCs w:val="18"/>
                <w:u w:val="none" w:color="auto"/>
              </w:rPr>
            </w:pPr>
          </w:p>
        </w:tc>
      </w:tr>
      <w:tr w14:paraId="78E64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12735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30306</w:t>
            </w:r>
          </w:p>
        </w:tc>
        <w:tc>
          <w:tcPr>
            <w:tcW w:w="2366" w:type="dxa"/>
            <w:vAlign w:val="center"/>
          </w:tcPr>
          <w:p w14:paraId="030B382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救济费</w:t>
            </w:r>
          </w:p>
        </w:tc>
        <w:tc>
          <w:tcPr>
            <w:tcW w:w="952" w:type="dxa"/>
            <w:vAlign w:val="center"/>
          </w:tcPr>
          <w:p w14:paraId="50BE8697">
            <w:pPr>
              <w:jc w:val="right"/>
              <w:rPr>
                <w:rFonts w:hint="default" w:ascii="Times New Roman" w:hAnsi="Times New Roman" w:cs="Times New Roman" w:eastAsiaTheme="minorEastAsia"/>
                <w:sz w:val="16"/>
                <w:szCs w:val="16"/>
                <w:u w:val="none" w:color="auto"/>
              </w:rPr>
            </w:pPr>
          </w:p>
        </w:tc>
        <w:tc>
          <w:tcPr>
            <w:tcW w:w="735" w:type="dxa"/>
            <w:vAlign w:val="center"/>
          </w:tcPr>
          <w:p w14:paraId="4AC368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30226</w:t>
            </w:r>
          </w:p>
        </w:tc>
        <w:tc>
          <w:tcPr>
            <w:tcW w:w="1770" w:type="dxa"/>
            <w:vAlign w:val="center"/>
          </w:tcPr>
          <w:p w14:paraId="177AF37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劳务费</w:t>
            </w:r>
          </w:p>
        </w:tc>
        <w:tc>
          <w:tcPr>
            <w:tcW w:w="735" w:type="dxa"/>
            <w:vAlign w:val="center"/>
          </w:tcPr>
          <w:p w14:paraId="5C95DBA9">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25.17</w:t>
            </w:r>
          </w:p>
        </w:tc>
        <w:tc>
          <w:tcPr>
            <w:tcW w:w="840" w:type="dxa"/>
            <w:vAlign w:val="center"/>
          </w:tcPr>
          <w:p w14:paraId="2C62908C">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3143E2C7">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51996DA0">
            <w:pPr>
              <w:pStyle w:val="11"/>
              <w:jc w:val="center"/>
              <w:rPr>
                <w:rFonts w:hint="default" w:ascii="Times New Roman" w:hAnsi="Times New Roman" w:cs="Times New Roman" w:eastAsiaTheme="minorEastAsia"/>
                <w:sz w:val="18"/>
                <w:szCs w:val="18"/>
                <w:u w:val="none" w:color="auto"/>
              </w:rPr>
            </w:pPr>
          </w:p>
        </w:tc>
      </w:tr>
      <w:tr w14:paraId="77BC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A4C0F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30307</w:t>
            </w:r>
          </w:p>
        </w:tc>
        <w:tc>
          <w:tcPr>
            <w:tcW w:w="2366" w:type="dxa"/>
            <w:vAlign w:val="center"/>
          </w:tcPr>
          <w:p w14:paraId="19B494F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医疗费补助</w:t>
            </w:r>
          </w:p>
        </w:tc>
        <w:tc>
          <w:tcPr>
            <w:tcW w:w="952" w:type="dxa"/>
            <w:vAlign w:val="center"/>
          </w:tcPr>
          <w:p w14:paraId="42E26A24">
            <w:pPr>
              <w:jc w:val="right"/>
              <w:rPr>
                <w:rFonts w:hint="default" w:ascii="Times New Roman" w:hAnsi="Times New Roman" w:cs="Times New Roman" w:eastAsiaTheme="minorEastAsia"/>
                <w:sz w:val="16"/>
                <w:szCs w:val="16"/>
                <w:u w:val="none" w:color="auto"/>
              </w:rPr>
            </w:pPr>
          </w:p>
        </w:tc>
        <w:tc>
          <w:tcPr>
            <w:tcW w:w="735" w:type="dxa"/>
            <w:vAlign w:val="center"/>
          </w:tcPr>
          <w:p w14:paraId="39428B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30227</w:t>
            </w:r>
          </w:p>
        </w:tc>
        <w:tc>
          <w:tcPr>
            <w:tcW w:w="1770" w:type="dxa"/>
            <w:vAlign w:val="center"/>
          </w:tcPr>
          <w:p w14:paraId="6F50A1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委托业务费</w:t>
            </w:r>
          </w:p>
        </w:tc>
        <w:tc>
          <w:tcPr>
            <w:tcW w:w="735" w:type="dxa"/>
            <w:vAlign w:val="center"/>
          </w:tcPr>
          <w:p w14:paraId="5C92A136">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5.58</w:t>
            </w:r>
          </w:p>
        </w:tc>
        <w:tc>
          <w:tcPr>
            <w:tcW w:w="840" w:type="dxa"/>
            <w:vAlign w:val="center"/>
          </w:tcPr>
          <w:p w14:paraId="7EFB430E">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65FC4AA2">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753A1EFD">
            <w:pPr>
              <w:pStyle w:val="11"/>
              <w:jc w:val="center"/>
              <w:rPr>
                <w:rFonts w:hint="default" w:ascii="Times New Roman" w:hAnsi="Times New Roman" w:cs="Times New Roman" w:eastAsiaTheme="minorEastAsia"/>
                <w:sz w:val="18"/>
                <w:szCs w:val="18"/>
                <w:u w:val="none" w:color="auto"/>
              </w:rPr>
            </w:pPr>
          </w:p>
        </w:tc>
      </w:tr>
      <w:tr w14:paraId="65FE8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681FA1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30308</w:t>
            </w:r>
          </w:p>
        </w:tc>
        <w:tc>
          <w:tcPr>
            <w:tcW w:w="2366" w:type="dxa"/>
            <w:vAlign w:val="center"/>
          </w:tcPr>
          <w:p w14:paraId="4BB9776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助学金</w:t>
            </w:r>
          </w:p>
        </w:tc>
        <w:tc>
          <w:tcPr>
            <w:tcW w:w="952" w:type="dxa"/>
            <w:vAlign w:val="center"/>
          </w:tcPr>
          <w:p w14:paraId="16E27FB6">
            <w:pPr>
              <w:jc w:val="right"/>
              <w:rPr>
                <w:rFonts w:hint="default" w:ascii="Times New Roman" w:hAnsi="Times New Roman" w:cs="Times New Roman" w:eastAsiaTheme="minorEastAsia"/>
                <w:sz w:val="16"/>
                <w:szCs w:val="16"/>
                <w:u w:val="none" w:color="auto"/>
              </w:rPr>
            </w:pPr>
          </w:p>
        </w:tc>
        <w:tc>
          <w:tcPr>
            <w:tcW w:w="735" w:type="dxa"/>
            <w:vAlign w:val="center"/>
          </w:tcPr>
          <w:p w14:paraId="1BEAC1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30228</w:t>
            </w:r>
          </w:p>
        </w:tc>
        <w:tc>
          <w:tcPr>
            <w:tcW w:w="1770" w:type="dxa"/>
            <w:vAlign w:val="center"/>
          </w:tcPr>
          <w:p w14:paraId="52F0382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工会经费</w:t>
            </w:r>
          </w:p>
        </w:tc>
        <w:tc>
          <w:tcPr>
            <w:tcW w:w="735" w:type="dxa"/>
            <w:vAlign w:val="center"/>
          </w:tcPr>
          <w:p w14:paraId="24E95D0B">
            <w:pPr>
              <w:jc w:val="right"/>
              <w:rPr>
                <w:rFonts w:hint="default" w:ascii="Times New Roman" w:hAnsi="Times New Roman" w:cs="Times New Roman" w:eastAsiaTheme="minorEastAsia"/>
                <w:sz w:val="16"/>
                <w:szCs w:val="16"/>
                <w:u w:val="none" w:color="auto"/>
              </w:rPr>
            </w:pPr>
          </w:p>
        </w:tc>
        <w:tc>
          <w:tcPr>
            <w:tcW w:w="840" w:type="dxa"/>
            <w:vAlign w:val="center"/>
          </w:tcPr>
          <w:p w14:paraId="50CDE5BD">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69B96ABC">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191DA681">
            <w:pPr>
              <w:pStyle w:val="11"/>
              <w:jc w:val="center"/>
              <w:rPr>
                <w:rFonts w:hint="default" w:ascii="Times New Roman" w:hAnsi="Times New Roman" w:cs="Times New Roman" w:eastAsiaTheme="minorEastAsia"/>
                <w:sz w:val="18"/>
                <w:szCs w:val="18"/>
                <w:u w:val="none" w:color="auto"/>
              </w:rPr>
            </w:pPr>
          </w:p>
        </w:tc>
      </w:tr>
      <w:tr w14:paraId="74081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2B6B0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30309</w:t>
            </w:r>
          </w:p>
        </w:tc>
        <w:tc>
          <w:tcPr>
            <w:tcW w:w="2366" w:type="dxa"/>
            <w:vAlign w:val="center"/>
          </w:tcPr>
          <w:p w14:paraId="19A84CA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奖励金</w:t>
            </w:r>
          </w:p>
        </w:tc>
        <w:tc>
          <w:tcPr>
            <w:tcW w:w="952" w:type="dxa"/>
            <w:vAlign w:val="center"/>
          </w:tcPr>
          <w:p w14:paraId="1160489F">
            <w:pPr>
              <w:jc w:val="right"/>
              <w:rPr>
                <w:rFonts w:hint="default" w:ascii="Times New Roman" w:hAnsi="Times New Roman" w:cs="Times New Roman" w:eastAsiaTheme="minorEastAsia"/>
                <w:sz w:val="16"/>
                <w:szCs w:val="16"/>
                <w:u w:val="none" w:color="auto"/>
              </w:rPr>
            </w:pPr>
          </w:p>
        </w:tc>
        <w:tc>
          <w:tcPr>
            <w:tcW w:w="735" w:type="dxa"/>
            <w:vAlign w:val="center"/>
          </w:tcPr>
          <w:p w14:paraId="05676C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30229</w:t>
            </w:r>
          </w:p>
        </w:tc>
        <w:tc>
          <w:tcPr>
            <w:tcW w:w="1770" w:type="dxa"/>
            <w:vAlign w:val="center"/>
          </w:tcPr>
          <w:p w14:paraId="459F7DF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福利费</w:t>
            </w:r>
          </w:p>
        </w:tc>
        <w:tc>
          <w:tcPr>
            <w:tcW w:w="735" w:type="dxa"/>
            <w:vAlign w:val="center"/>
          </w:tcPr>
          <w:p w14:paraId="0C70CBC9">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0.60</w:t>
            </w:r>
          </w:p>
        </w:tc>
        <w:tc>
          <w:tcPr>
            <w:tcW w:w="840" w:type="dxa"/>
            <w:vAlign w:val="center"/>
          </w:tcPr>
          <w:p w14:paraId="316FDC37">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41B0E7AB">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177F301D">
            <w:pPr>
              <w:pStyle w:val="11"/>
              <w:jc w:val="center"/>
              <w:rPr>
                <w:rFonts w:hint="default" w:ascii="Times New Roman" w:hAnsi="Times New Roman" w:cs="Times New Roman" w:eastAsiaTheme="minorEastAsia"/>
                <w:sz w:val="18"/>
                <w:szCs w:val="18"/>
                <w:u w:val="none" w:color="auto"/>
              </w:rPr>
            </w:pPr>
          </w:p>
        </w:tc>
      </w:tr>
      <w:tr w14:paraId="42F4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6BDEC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30310</w:t>
            </w:r>
          </w:p>
        </w:tc>
        <w:tc>
          <w:tcPr>
            <w:tcW w:w="2366" w:type="dxa"/>
            <w:vAlign w:val="center"/>
          </w:tcPr>
          <w:p w14:paraId="5072714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个人农业生产补贴</w:t>
            </w:r>
          </w:p>
        </w:tc>
        <w:tc>
          <w:tcPr>
            <w:tcW w:w="952" w:type="dxa"/>
            <w:vAlign w:val="center"/>
          </w:tcPr>
          <w:p w14:paraId="2F218530">
            <w:pPr>
              <w:jc w:val="right"/>
              <w:rPr>
                <w:rFonts w:hint="default" w:ascii="Times New Roman" w:hAnsi="Times New Roman" w:cs="Times New Roman" w:eastAsiaTheme="minorEastAsia"/>
                <w:sz w:val="16"/>
                <w:szCs w:val="16"/>
                <w:u w:val="none" w:color="auto"/>
              </w:rPr>
            </w:pPr>
          </w:p>
        </w:tc>
        <w:tc>
          <w:tcPr>
            <w:tcW w:w="735" w:type="dxa"/>
            <w:vAlign w:val="center"/>
          </w:tcPr>
          <w:p w14:paraId="14E1D02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30231</w:t>
            </w:r>
          </w:p>
        </w:tc>
        <w:tc>
          <w:tcPr>
            <w:tcW w:w="1770" w:type="dxa"/>
            <w:vAlign w:val="center"/>
          </w:tcPr>
          <w:p w14:paraId="3518ED8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公务用车运行维 护费</w:t>
            </w:r>
          </w:p>
        </w:tc>
        <w:tc>
          <w:tcPr>
            <w:tcW w:w="735" w:type="dxa"/>
            <w:vAlign w:val="center"/>
          </w:tcPr>
          <w:p w14:paraId="50F6360F">
            <w:pPr>
              <w:jc w:val="right"/>
              <w:rPr>
                <w:rFonts w:hint="default" w:ascii="Times New Roman" w:hAnsi="Times New Roman" w:cs="Times New Roman" w:eastAsiaTheme="minorEastAsia"/>
                <w:sz w:val="16"/>
                <w:szCs w:val="16"/>
                <w:u w:val="none" w:color="auto"/>
              </w:rPr>
            </w:pPr>
          </w:p>
        </w:tc>
        <w:tc>
          <w:tcPr>
            <w:tcW w:w="840" w:type="dxa"/>
            <w:vAlign w:val="center"/>
          </w:tcPr>
          <w:p w14:paraId="2F7D19E3">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5537CA5D">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60E03BF7">
            <w:pPr>
              <w:pStyle w:val="11"/>
              <w:jc w:val="center"/>
              <w:rPr>
                <w:rFonts w:hint="default" w:ascii="Times New Roman" w:hAnsi="Times New Roman" w:cs="Times New Roman" w:eastAsiaTheme="minorEastAsia"/>
                <w:sz w:val="18"/>
                <w:szCs w:val="18"/>
                <w:u w:val="none" w:color="auto"/>
              </w:rPr>
            </w:pPr>
          </w:p>
        </w:tc>
      </w:tr>
      <w:tr w14:paraId="02C26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9C539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30311</w:t>
            </w:r>
          </w:p>
        </w:tc>
        <w:tc>
          <w:tcPr>
            <w:tcW w:w="2366" w:type="dxa"/>
            <w:vAlign w:val="center"/>
          </w:tcPr>
          <w:p w14:paraId="4A14F9F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代缴社会保险费</w:t>
            </w:r>
          </w:p>
        </w:tc>
        <w:tc>
          <w:tcPr>
            <w:tcW w:w="952" w:type="dxa"/>
            <w:vAlign w:val="center"/>
          </w:tcPr>
          <w:p w14:paraId="39380931">
            <w:pPr>
              <w:jc w:val="right"/>
              <w:rPr>
                <w:rFonts w:hint="default" w:ascii="Times New Roman" w:hAnsi="Times New Roman" w:cs="Times New Roman" w:eastAsiaTheme="minorEastAsia"/>
                <w:sz w:val="16"/>
                <w:szCs w:val="16"/>
                <w:u w:val="none" w:color="auto"/>
              </w:rPr>
            </w:pPr>
          </w:p>
        </w:tc>
        <w:tc>
          <w:tcPr>
            <w:tcW w:w="735" w:type="dxa"/>
            <w:vAlign w:val="center"/>
          </w:tcPr>
          <w:p w14:paraId="61DFC5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30239</w:t>
            </w:r>
          </w:p>
        </w:tc>
        <w:tc>
          <w:tcPr>
            <w:tcW w:w="1770" w:type="dxa"/>
            <w:vAlign w:val="center"/>
          </w:tcPr>
          <w:p w14:paraId="23D383D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其他交通费用</w:t>
            </w:r>
          </w:p>
        </w:tc>
        <w:tc>
          <w:tcPr>
            <w:tcW w:w="735" w:type="dxa"/>
            <w:vAlign w:val="center"/>
          </w:tcPr>
          <w:p w14:paraId="5B775EDB">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0.37</w:t>
            </w:r>
          </w:p>
        </w:tc>
        <w:tc>
          <w:tcPr>
            <w:tcW w:w="840" w:type="dxa"/>
            <w:vAlign w:val="center"/>
          </w:tcPr>
          <w:p w14:paraId="6CC1824C">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4CC9BBB3">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6968565D">
            <w:pPr>
              <w:pStyle w:val="11"/>
              <w:jc w:val="center"/>
              <w:rPr>
                <w:rFonts w:hint="default" w:ascii="Times New Roman" w:hAnsi="Times New Roman" w:cs="Times New Roman" w:eastAsiaTheme="minorEastAsia"/>
                <w:sz w:val="18"/>
                <w:szCs w:val="18"/>
                <w:u w:val="none" w:color="auto"/>
              </w:rPr>
            </w:pPr>
          </w:p>
        </w:tc>
      </w:tr>
      <w:tr w14:paraId="658D2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259C0A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30399</w:t>
            </w:r>
          </w:p>
        </w:tc>
        <w:tc>
          <w:tcPr>
            <w:tcW w:w="2366" w:type="dxa"/>
            <w:vAlign w:val="center"/>
          </w:tcPr>
          <w:p w14:paraId="6768597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其他对个人和家庭的补助</w:t>
            </w:r>
          </w:p>
        </w:tc>
        <w:tc>
          <w:tcPr>
            <w:tcW w:w="952" w:type="dxa"/>
            <w:vAlign w:val="center"/>
          </w:tcPr>
          <w:p w14:paraId="46658D47">
            <w:pPr>
              <w:jc w:val="right"/>
              <w:rPr>
                <w:rFonts w:hint="default" w:ascii="Times New Roman" w:hAnsi="Times New Roman" w:cs="Times New Roman" w:eastAsiaTheme="minorEastAsia"/>
                <w:sz w:val="16"/>
                <w:szCs w:val="16"/>
                <w:u w:val="none" w:color="auto"/>
              </w:rPr>
            </w:pPr>
          </w:p>
        </w:tc>
        <w:tc>
          <w:tcPr>
            <w:tcW w:w="735" w:type="dxa"/>
            <w:vAlign w:val="center"/>
          </w:tcPr>
          <w:p w14:paraId="6F04B70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30240</w:t>
            </w:r>
          </w:p>
        </w:tc>
        <w:tc>
          <w:tcPr>
            <w:tcW w:w="1770" w:type="dxa"/>
            <w:vAlign w:val="center"/>
          </w:tcPr>
          <w:p w14:paraId="0C37023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税金及附加费用</w:t>
            </w:r>
          </w:p>
        </w:tc>
        <w:tc>
          <w:tcPr>
            <w:tcW w:w="735" w:type="dxa"/>
            <w:vAlign w:val="center"/>
          </w:tcPr>
          <w:p w14:paraId="5D51036D">
            <w:pPr>
              <w:jc w:val="right"/>
              <w:rPr>
                <w:rFonts w:hint="default" w:ascii="Times New Roman" w:hAnsi="Times New Roman" w:cs="Times New Roman" w:eastAsiaTheme="minorEastAsia"/>
                <w:sz w:val="16"/>
                <w:szCs w:val="16"/>
                <w:u w:val="none" w:color="auto"/>
              </w:rPr>
            </w:pPr>
          </w:p>
        </w:tc>
        <w:tc>
          <w:tcPr>
            <w:tcW w:w="840" w:type="dxa"/>
            <w:vAlign w:val="center"/>
          </w:tcPr>
          <w:p w14:paraId="6E2B8394">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04F39BB5">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5441831D">
            <w:pPr>
              <w:pStyle w:val="11"/>
              <w:jc w:val="center"/>
              <w:rPr>
                <w:rFonts w:hint="default" w:ascii="Times New Roman" w:hAnsi="Times New Roman" w:cs="Times New Roman" w:eastAsiaTheme="minorEastAsia"/>
                <w:sz w:val="18"/>
                <w:szCs w:val="18"/>
                <w:u w:val="none" w:color="auto"/>
              </w:rPr>
            </w:pPr>
          </w:p>
        </w:tc>
      </w:tr>
      <w:tr w14:paraId="71F08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746" w:type="dxa"/>
            <w:vAlign w:val="center"/>
          </w:tcPr>
          <w:p w14:paraId="05B8E332">
            <w:pPr>
              <w:pStyle w:val="11"/>
              <w:jc w:val="center"/>
              <w:rPr>
                <w:rFonts w:hint="default" w:ascii="Times New Roman" w:hAnsi="Times New Roman" w:cs="Times New Roman" w:eastAsiaTheme="minorEastAsia"/>
                <w:sz w:val="18"/>
                <w:szCs w:val="18"/>
                <w:u w:val="none" w:color="auto"/>
              </w:rPr>
            </w:pPr>
          </w:p>
        </w:tc>
        <w:tc>
          <w:tcPr>
            <w:tcW w:w="2366" w:type="dxa"/>
            <w:vAlign w:val="center"/>
          </w:tcPr>
          <w:p w14:paraId="590F312E">
            <w:pPr>
              <w:pStyle w:val="11"/>
              <w:jc w:val="center"/>
              <w:rPr>
                <w:rFonts w:hint="default" w:ascii="Times New Roman" w:hAnsi="Times New Roman" w:cs="Times New Roman" w:eastAsiaTheme="minorEastAsia"/>
                <w:sz w:val="18"/>
                <w:szCs w:val="18"/>
                <w:u w:val="none" w:color="auto"/>
              </w:rPr>
            </w:pPr>
          </w:p>
        </w:tc>
        <w:tc>
          <w:tcPr>
            <w:tcW w:w="952" w:type="dxa"/>
            <w:vAlign w:val="center"/>
          </w:tcPr>
          <w:p w14:paraId="11E7D53B">
            <w:pPr>
              <w:jc w:val="right"/>
              <w:rPr>
                <w:rFonts w:hint="default" w:ascii="Times New Roman" w:hAnsi="Times New Roman" w:cs="Times New Roman" w:eastAsiaTheme="minorEastAsia"/>
                <w:sz w:val="16"/>
                <w:szCs w:val="16"/>
                <w:u w:val="none" w:color="auto"/>
              </w:rPr>
            </w:pPr>
          </w:p>
        </w:tc>
        <w:tc>
          <w:tcPr>
            <w:tcW w:w="735" w:type="dxa"/>
            <w:vAlign w:val="center"/>
          </w:tcPr>
          <w:p w14:paraId="1E06DE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30299</w:t>
            </w:r>
          </w:p>
        </w:tc>
        <w:tc>
          <w:tcPr>
            <w:tcW w:w="1770" w:type="dxa"/>
            <w:vAlign w:val="center"/>
          </w:tcPr>
          <w:p w14:paraId="655599B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18"/>
                <w:szCs w:val="18"/>
                <w:u w:val="none" w:color="auto"/>
                <w:lang w:val="en-US" w:eastAsia="zh-CN" w:bidi="ar"/>
              </w:rPr>
            </w:pPr>
            <w:r>
              <w:rPr>
                <w:rFonts w:hint="default" w:ascii="Times New Roman" w:hAnsi="Times New Roman" w:eastAsia="宋体" w:cs="Times New Roman"/>
                <w:i w:val="0"/>
                <w:iCs w:val="0"/>
                <w:snapToGrid w:val="0"/>
                <w:color w:val="000000"/>
                <w:kern w:val="0"/>
                <w:sz w:val="18"/>
                <w:szCs w:val="18"/>
                <w:u w:val="none" w:color="auto"/>
                <w:lang w:val="en-US" w:eastAsia="zh-CN" w:bidi="ar"/>
              </w:rPr>
              <w:t>其他商品和服务支出</w:t>
            </w:r>
          </w:p>
        </w:tc>
        <w:tc>
          <w:tcPr>
            <w:tcW w:w="735" w:type="dxa"/>
            <w:vAlign w:val="center"/>
          </w:tcPr>
          <w:p w14:paraId="4DAEDD68">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19.75</w:t>
            </w:r>
          </w:p>
        </w:tc>
        <w:tc>
          <w:tcPr>
            <w:tcW w:w="840" w:type="dxa"/>
            <w:vAlign w:val="center"/>
          </w:tcPr>
          <w:p w14:paraId="459421F3">
            <w:pPr>
              <w:pStyle w:val="11"/>
              <w:jc w:val="center"/>
              <w:rPr>
                <w:rFonts w:hint="default" w:ascii="Times New Roman" w:hAnsi="Times New Roman" w:cs="Times New Roman" w:eastAsiaTheme="minorEastAsia"/>
                <w:sz w:val="18"/>
                <w:szCs w:val="18"/>
                <w:u w:val="none" w:color="auto"/>
              </w:rPr>
            </w:pPr>
          </w:p>
        </w:tc>
        <w:tc>
          <w:tcPr>
            <w:tcW w:w="1714" w:type="dxa"/>
            <w:vAlign w:val="center"/>
          </w:tcPr>
          <w:p w14:paraId="0B5D15C6">
            <w:pPr>
              <w:pStyle w:val="11"/>
              <w:jc w:val="center"/>
              <w:rPr>
                <w:rFonts w:hint="default" w:ascii="Times New Roman" w:hAnsi="Times New Roman" w:cs="Times New Roman" w:eastAsiaTheme="minorEastAsia"/>
                <w:sz w:val="18"/>
                <w:szCs w:val="18"/>
                <w:u w:val="none" w:color="auto"/>
              </w:rPr>
            </w:pPr>
          </w:p>
        </w:tc>
        <w:tc>
          <w:tcPr>
            <w:tcW w:w="721" w:type="dxa"/>
            <w:vAlign w:val="center"/>
          </w:tcPr>
          <w:p w14:paraId="2B03D6D1">
            <w:pPr>
              <w:pStyle w:val="11"/>
              <w:jc w:val="center"/>
              <w:rPr>
                <w:rFonts w:hint="default" w:ascii="Times New Roman" w:hAnsi="Times New Roman" w:cs="Times New Roman" w:eastAsiaTheme="minorEastAsia"/>
                <w:sz w:val="18"/>
                <w:szCs w:val="18"/>
                <w:u w:val="none" w:color="auto"/>
              </w:rPr>
            </w:pPr>
          </w:p>
        </w:tc>
      </w:tr>
      <w:tr w14:paraId="6C13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14:paraId="6A554B45">
            <w:pPr>
              <w:spacing w:before="107" w:line="187" w:lineRule="auto"/>
              <w:ind w:left="718"/>
              <w:jc w:val="center"/>
              <w:rPr>
                <w:rFonts w:hint="default" w:ascii="Times New Roman" w:hAnsi="Times New Roman" w:cs="Times New Roman" w:eastAsiaTheme="minorEastAsia"/>
                <w:sz w:val="18"/>
                <w:szCs w:val="18"/>
                <w:u w:val="none" w:color="auto"/>
              </w:rPr>
            </w:pPr>
            <w:r>
              <w:rPr>
                <w:rFonts w:hint="default" w:ascii="Times New Roman" w:hAnsi="Times New Roman" w:cs="Times New Roman" w:eastAsiaTheme="minorEastAsia"/>
                <w:spacing w:val="4"/>
                <w:sz w:val="18"/>
                <w:szCs w:val="18"/>
                <w:u w:val="none" w:color="auto"/>
              </w:rPr>
              <w:t>人员经费合计</w:t>
            </w:r>
          </w:p>
        </w:tc>
        <w:tc>
          <w:tcPr>
            <w:tcW w:w="952" w:type="dxa"/>
            <w:vAlign w:val="center"/>
          </w:tcPr>
          <w:p w14:paraId="1506307A">
            <w:pPr>
              <w:keepNext w:val="0"/>
              <w:keepLines w:val="0"/>
              <w:widowControl/>
              <w:suppressLineNumbers w:val="0"/>
              <w:jc w:val="right"/>
              <w:textAlignment w:val="center"/>
              <w:rPr>
                <w:rFonts w:hint="default" w:ascii="Times New Roman" w:hAnsi="Times New Roman" w:cs="Times New Roman" w:eastAsiaTheme="minorEastAsia"/>
                <w:sz w:val="16"/>
                <w:szCs w:val="16"/>
                <w:u w:val="none" w:color="auto"/>
              </w:rPr>
            </w:pPr>
            <w:r>
              <w:rPr>
                <w:rFonts w:hint="eastAsia" w:ascii="宋体" w:hAnsi="宋体" w:eastAsia="宋体" w:cs="宋体"/>
                <w:i w:val="0"/>
                <w:iCs w:val="0"/>
                <w:snapToGrid w:val="0"/>
                <w:color w:val="000000"/>
                <w:kern w:val="0"/>
                <w:sz w:val="18"/>
                <w:szCs w:val="18"/>
                <w:u w:val="none"/>
                <w:lang w:val="en-US" w:eastAsia="zh-CN" w:bidi="ar"/>
              </w:rPr>
              <w:t>1,772.93</w:t>
            </w:r>
          </w:p>
        </w:tc>
        <w:tc>
          <w:tcPr>
            <w:tcW w:w="5794" w:type="dxa"/>
            <w:gridSpan w:val="5"/>
            <w:vAlign w:val="center"/>
          </w:tcPr>
          <w:p w14:paraId="389AF2D2">
            <w:pPr>
              <w:spacing w:before="108" w:line="187" w:lineRule="auto"/>
              <w:ind w:left="2042"/>
              <w:jc w:val="center"/>
              <w:rPr>
                <w:rFonts w:hint="default" w:ascii="Times New Roman" w:hAnsi="Times New Roman" w:cs="Times New Roman" w:eastAsiaTheme="minorEastAsia"/>
                <w:sz w:val="18"/>
                <w:szCs w:val="18"/>
                <w:u w:val="none" w:color="auto"/>
              </w:rPr>
            </w:pPr>
            <w:r>
              <w:rPr>
                <w:rFonts w:hint="default" w:ascii="Times New Roman" w:hAnsi="Times New Roman" w:cs="Times New Roman" w:eastAsiaTheme="minorEastAsia"/>
                <w:spacing w:val="4"/>
                <w:sz w:val="18"/>
                <w:szCs w:val="18"/>
                <w:u w:val="none" w:color="auto"/>
              </w:rPr>
              <w:t>公用经费合计</w:t>
            </w:r>
          </w:p>
        </w:tc>
        <w:tc>
          <w:tcPr>
            <w:tcW w:w="721" w:type="dxa"/>
            <w:shd w:val="clear" w:color="auto" w:fill="FFFFFF"/>
            <w:vAlign w:val="center"/>
          </w:tcPr>
          <w:p w14:paraId="08F28C77">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142.21</w:t>
            </w:r>
          </w:p>
        </w:tc>
      </w:tr>
    </w:tbl>
    <w:p w14:paraId="473B584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4"/>
          <w:szCs w:val="24"/>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4"/>
          <w:szCs w:val="24"/>
          <w:u w:val="none" w:color="auto"/>
          <w:lang w:val="en-US" w:eastAsia="zh-CN" w:bidi="ar-SA"/>
        </w:rPr>
        <w:t>注 ：本表反映部门本年度一般公共预算财政拨款基本支出明细情况。</w:t>
      </w:r>
    </w:p>
    <w:p w14:paraId="275F5E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年度政府性基金预算财政拨款收入支出决算表</w:t>
      </w:r>
    </w:p>
    <w:p w14:paraId="4FA38072">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公开07表</w:t>
      </w:r>
    </w:p>
    <w:p w14:paraId="20502CF6">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部门：武汉市光谷第四初级中学</w:t>
      </w: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微软雅黑" w:cs="Times New Roman"/>
          <w:sz w:val="22"/>
          <w:szCs w:val="22"/>
          <w:u w:val="none" w:color="auto"/>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0FF2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6BD3FDB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项     目</w:t>
            </w:r>
          </w:p>
        </w:tc>
        <w:tc>
          <w:tcPr>
            <w:tcW w:w="1167" w:type="dxa"/>
            <w:vMerge w:val="restart"/>
            <w:vAlign w:val="center"/>
          </w:tcPr>
          <w:p w14:paraId="595788C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年初结转和 结余</w:t>
            </w:r>
          </w:p>
        </w:tc>
        <w:tc>
          <w:tcPr>
            <w:tcW w:w="1167" w:type="dxa"/>
            <w:vMerge w:val="restart"/>
            <w:vAlign w:val="center"/>
          </w:tcPr>
          <w:p w14:paraId="18D1913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本年收入</w:t>
            </w:r>
          </w:p>
        </w:tc>
        <w:tc>
          <w:tcPr>
            <w:tcW w:w="3505" w:type="dxa"/>
            <w:gridSpan w:val="3"/>
            <w:vAlign w:val="center"/>
          </w:tcPr>
          <w:p w14:paraId="21077C4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本年支出</w:t>
            </w:r>
          </w:p>
        </w:tc>
        <w:tc>
          <w:tcPr>
            <w:tcW w:w="1173" w:type="dxa"/>
            <w:vMerge w:val="restart"/>
            <w:vAlign w:val="center"/>
          </w:tcPr>
          <w:p w14:paraId="593D337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年末结转和 结余</w:t>
            </w:r>
          </w:p>
        </w:tc>
      </w:tr>
      <w:tr w14:paraId="4ED7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546883C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功能分类 科目编码</w:t>
            </w:r>
          </w:p>
        </w:tc>
        <w:tc>
          <w:tcPr>
            <w:tcW w:w="1169" w:type="dxa"/>
            <w:vAlign w:val="center"/>
          </w:tcPr>
          <w:p w14:paraId="2C07C29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科目名称</w:t>
            </w:r>
          </w:p>
        </w:tc>
        <w:tc>
          <w:tcPr>
            <w:tcW w:w="1167" w:type="dxa"/>
            <w:vMerge w:val="continue"/>
            <w:vAlign w:val="center"/>
          </w:tcPr>
          <w:p w14:paraId="271E9A7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p>
        </w:tc>
        <w:tc>
          <w:tcPr>
            <w:tcW w:w="1167" w:type="dxa"/>
            <w:vMerge w:val="continue"/>
            <w:vAlign w:val="center"/>
          </w:tcPr>
          <w:p w14:paraId="0300708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p>
        </w:tc>
        <w:tc>
          <w:tcPr>
            <w:tcW w:w="1167" w:type="dxa"/>
            <w:vAlign w:val="center"/>
          </w:tcPr>
          <w:p w14:paraId="3D05140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小计</w:t>
            </w:r>
          </w:p>
        </w:tc>
        <w:tc>
          <w:tcPr>
            <w:tcW w:w="1167" w:type="dxa"/>
            <w:vAlign w:val="center"/>
          </w:tcPr>
          <w:p w14:paraId="3F808CC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基本支出</w:t>
            </w:r>
          </w:p>
        </w:tc>
        <w:tc>
          <w:tcPr>
            <w:tcW w:w="1171" w:type="dxa"/>
            <w:vAlign w:val="center"/>
          </w:tcPr>
          <w:p w14:paraId="41E841B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项目支出</w:t>
            </w:r>
          </w:p>
        </w:tc>
        <w:tc>
          <w:tcPr>
            <w:tcW w:w="1173" w:type="dxa"/>
            <w:vMerge w:val="continue"/>
            <w:vAlign w:val="center"/>
          </w:tcPr>
          <w:p w14:paraId="5473491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p>
        </w:tc>
      </w:tr>
      <w:tr w14:paraId="2EFE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0C7BF0AA">
            <w:pPr>
              <w:spacing w:before="194" w:line="188" w:lineRule="auto"/>
              <w:ind w:left="50"/>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类</w:t>
            </w:r>
          </w:p>
        </w:tc>
        <w:tc>
          <w:tcPr>
            <w:tcW w:w="317" w:type="dxa"/>
            <w:vMerge w:val="restart"/>
            <w:vAlign w:val="top"/>
          </w:tcPr>
          <w:p w14:paraId="6BE47EC1">
            <w:pPr>
              <w:spacing w:before="194" w:line="189" w:lineRule="auto"/>
              <w:ind w:left="47"/>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款</w:t>
            </w:r>
          </w:p>
        </w:tc>
        <w:tc>
          <w:tcPr>
            <w:tcW w:w="319" w:type="dxa"/>
            <w:vMerge w:val="restart"/>
            <w:vAlign w:val="top"/>
          </w:tcPr>
          <w:p w14:paraId="0DB8DA9A">
            <w:pPr>
              <w:spacing w:before="195" w:line="187" w:lineRule="auto"/>
              <w:ind w:left="49"/>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项</w:t>
            </w:r>
          </w:p>
        </w:tc>
        <w:tc>
          <w:tcPr>
            <w:tcW w:w="1169" w:type="dxa"/>
            <w:vAlign w:val="top"/>
          </w:tcPr>
          <w:p w14:paraId="182617A5">
            <w:pPr>
              <w:spacing w:before="46" w:line="230" w:lineRule="exact"/>
              <w:ind w:left="344"/>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pacing w:val="-4"/>
                <w:w w:val="96"/>
                <w:position w:val="-1"/>
                <w:sz w:val="21"/>
                <w:szCs w:val="21"/>
                <w:u w:val="none" w:color="auto"/>
              </w:rPr>
              <w:t>栏次</w:t>
            </w:r>
          </w:p>
        </w:tc>
        <w:tc>
          <w:tcPr>
            <w:tcW w:w="1167" w:type="dxa"/>
            <w:vAlign w:val="top"/>
          </w:tcPr>
          <w:p w14:paraId="215A6EAB">
            <w:pPr>
              <w:spacing w:before="80" w:line="196" w:lineRule="exact"/>
              <w:ind w:left="509"/>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1</w:t>
            </w:r>
          </w:p>
        </w:tc>
        <w:tc>
          <w:tcPr>
            <w:tcW w:w="1167" w:type="dxa"/>
            <w:vAlign w:val="top"/>
          </w:tcPr>
          <w:p w14:paraId="24959DDB">
            <w:pPr>
              <w:spacing w:before="81" w:line="195" w:lineRule="exact"/>
              <w:ind w:left="498"/>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2</w:t>
            </w:r>
          </w:p>
        </w:tc>
        <w:tc>
          <w:tcPr>
            <w:tcW w:w="1167" w:type="dxa"/>
            <w:vAlign w:val="top"/>
          </w:tcPr>
          <w:p w14:paraId="15A5FD14">
            <w:pPr>
              <w:spacing w:before="81" w:line="195" w:lineRule="exact"/>
              <w:ind w:left="501"/>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3</w:t>
            </w:r>
          </w:p>
        </w:tc>
        <w:tc>
          <w:tcPr>
            <w:tcW w:w="1167" w:type="dxa"/>
            <w:vAlign w:val="top"/>
          </w:tcPr>
          <w:p w14:paraId="61778DA4">
            <w:pPr>
              <w:spacing w:before="81" w:line="195" w:lineRule="exact"/>
              <w:ind w:left="497"/>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4</w:t>
            </w:r>
          </w:p>
        </w:tc>
        <w:tc>
          <w:tcPr>
            <w:tcW w:w="1171" w:type="dxa"/>
            <w:vAlign w:val="top"/>
          </w:tcPr>
          <w:p w14:paraId="4E9528AB">
            <w:pPr>
              <w:spacing w:before="83" w:line="193" w:lineRule="exact"/>
              <w:ind w:left="503"/>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5</w:t>
            </w:r>
          </w:p>
        </w:tc>
        <w:tc>
          <w:tcPr>
            <w:tcW w:w="1173" w:type="dxa"/>
            <w:vAlign w:val="top"/>
          </w:tcPr>
          <w:p w14:paraId="66F32BCC">
            <w:pPr>
              <w:spacing w:before="81" w:line="195" w:lineRule="exact"/>
              <w:ind w:left="502"/>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6</w:t>
            </w:r>
          </w:p>
        </w:tc>
      </w:tr>
      <w:tr w14:paraId="356D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47E6ED42">
            <w:pPr>
              <w:pStyle w:val="11"/>
              <w:rPr>
                <w:rFonts w:hint="default" w:ascii="Times New Roman" w:hAnsi="Times New Roman" w:cs="Times New Roman" w:eastAsiaTheme="minorEastAsia"/>
                <w:sz w:val="21"/>
                <w:szCs w:val="21"/>
                <w:u w:val="none" w:color="auto"/>
              </w:rPr>
            </w:pPr>
          </w:p>
        </w:tc>
        <w:tc>
          <w:tcPr>
            <w:tcW w:w="317" w:type="dxa"/>
            <w:vMerge w:val="continue"/>
            <w:vAlign w:val="top"/>
          </w:tcPr>
          <w:p w14:paraId="64076CB0">
            <w:pPr>
              <w:pStyle w:val="11"/>
              <w:rPr>
                <w:rFonts w:hint="default" w:ascii="Times New Roman" w:hAnsi="Times New Roman" w:cs="Times New Roman" w:eastAsiaTheme="minorEastAsia"/>
                <w:sz w:val="21"/>
                <w:szCs w:val="21"/>
                <w:u w:val="none" w:color="auto"/>
              </w:rPr>
            </w:pPr>
          </w:p>
        </w:tc>
        <w:tc>
          <w:tcPr>
            <w:tcW w:w="319" w:type="dxa"/>
            <w:vMerge w:val="continue"/>
            <w:vAlign w:val="top"/>
          </w:tcPr>
          <w:p w14:paraId="4897AF7D">
            <w:pPr>
              <w:pStyle w:val="11"/>
              <w:rPr>
                <w:rFonts w:hint="default" w:ascii="Times New Roman" w:hAnsi="Times New Roman" w:cs="Times New Roman" w:eastAsiaTheme="minorEastAsia"/>
                <w:sz w:val="21"/>
                <w:szCs w:val="21"/>
                <w:u w:val="none" w:color="auto"/>
              </w:rPr>
            </w:pPr>
          </w:p>
        </w:tc>
        <w:tc>
          <w:tcPr>
            <w:tcW w:w="1169" w:type="dxa"/>
            <w:vAlign w:val="top"/>
          </w:tcPr>
          <w:p w14:paraId="2067C064">
            <w:pPr>
              <w:spacing w:before="51" w:line="226" w:lineRule="exact"/>
              <w:ind w:left="344"/>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pacing w:val="-5"/>
                <w:w w:val="96"/>
                <w:position w:val="-1"/>
                <w:sz w:val="21"/>
                <w:szCs w:val="21"/>
                <w:u w:val="none" w:color="auto"/>
              </w:rPr>
              <w:t>合计</w:t>
            </w:r>
          </w:p>
        </w:tc>
        <w:tc>
          <w:tcPr>
            <w:tcW w:w="1167" w:type="dxa"/>
            <w:vAlign w:val="top"/>
          </w:tcPr>
          <w:p w14:paraId="488779C4">
            <w:pPr>
              <w:pStyle w:val="11"/>
              <w:rPr>
                <w:rFonts w:hint="default" w:ascii="Times New Roman" w:hAnsi="Times New Roman" w:cs="Times New Roman" w:eastAsiaTheme="minorEastAsia"/>
                <w:sz w:val="21"/>
                <w:szCs w:val="21"/>
                <w:u w:val="none" w:color="auto"/>
              </w:rPr>
            </w:pPr>
          </w:p>
        </w:tc>
        <w:tc>
          <w:tcPr>
            <w:tcW w:w="1167" w:type="dxa"/>
            <w:vAlign w:val="top"/>
          </w:tcPr>
          <w:p w14:paraId="33382F72">
            <w:pPr>
              <w:pStyle w:val="11"/>
              <w:rPr>
                <w:rFonts w:hint="default" w:ascii="Times New Roman" w:hAnsi="Times New Roman" w:cs="Times New Roman" w:eastAsiaTheme="minorEastAsia"/>
                <w:sz w:val="21"/>
                <w:szCs w:val="21"/>
                <w:u w:val="none" w:color="auto"/>
              </w:rPr>
            </w:pPr>
          </w:p>
        </w:tc>
        <w:tc>
          <w:tcPr>
            <w:tcW w:w="1167" w:type="dxa"/>
            <w:vAlign w:val="top"/>
          </w:tcPr>
          <w:p w14:paraId="7EC8ADEF">
            <w:pPr>
              <w:pStyle w:val="11"/>
              <w:rPr>
                <w:rFonts w:hint="default" w:ascii="Times New Roman" w:hAnsi="Times New Roman" w:cs="Times New Roman" w:eastAsiaTheme="minorEastAsia"/>
                <w:sz w:val="21"/>
                <w:szCs w:val="21"/>
                <w:u w:val="none" w:color="auto"/>
              </w:rPr>
            </w:pPr>
          </w:p>
        </w:tc>
        <w:tc>
          <w:tcPr>
            <w:tcW w:w="1167" w:type="dxa"/>
            <w:vAlign w:val="top"/>
          </w:tcPr>
          <w:p w14:paraId="7751C78E">
            <w:pPr>
              <w:pStyle w:val="11"/>
              <w:rPr>
                <w:rFonts w:hint="default" w:ascii="Times New Roman" w:hAnsi="Times New Roman" w:cs="Times New Roman" w:eastAsiaTheme="minorEastAsia"/>
                <w:sz w:val="21"/>
                <w:szCs w:val="21"/>
                <w:u w:val="none" w:color="auto"/>
              </w:rPr>
            </w:pPr>
          </w:p>
        </w:tc>
        <w:tc>
          <w:tcPr>
            <w:tcW w:w="1171" w:type="dxa"/>
            <w:vAlign w:val="top"/>
          </w:tcPr>
          <w:p w14:paraId="6E2E410E">
            <w:pPr>
              <w:pStyle w:val="11"/>
              <w:rPr>
                <w:rFonts w:hint="default" w:ascii="Times New Roman" w:hAnsi="Times New Roman" w:cs="Times New Roman" w:eastAsiaTheme="minorEastAsia"/>
                <w:sz w:val="21"/>
                <w:szCs w:val="21"/>
                <w:u w:val="none" w:color="auto"/>
              </w:rPr>
            </w:pPr>
          </w:p>
        </w:tc>
        <w:tc>
          <w:tcPr>
            <w:tcW w:w="1173" w:type="dxa"/>
            <w:vAlign w:val="top"/>
          </w:tcPr>
          <w:p w14:paraId="24A63701">
            <w:pPr>
              <w:pStyle w:val="11"/>
              <w:rPr>
                <w:rFonts w:hint="default" w:ascii="Times New Roman" w:hAnsi="Times New Roman" w:cs="Times New Roman" w:eastAsiaTheme="minorEastAsia"/>
                <w:sz w:val="21"/>
                <w:szCs w:val="21"/>
                <w:u w:val="none" w:color="auto"/>
              </w:rPr>
            </w:pPr>
          </w:p>
        </w:tc>
      </w:tr>
      <w:tr w14:paraId="5D39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4610D6D6">
            <w:pPr>
              <w:pStyle w:val="11"/>
              <w:rPr>
                <w:rFonts w:hint="default" w:ascii="Times New Roman" w:hAnsi="Times New Roman" w:cs="Times New Roman" w:eastAsiaTheme="minorEastAsia"/>
                <w:sz w:val="21"/>
                <w:szCs w:val="21"/>
                <w:u w:val="none" w:color="auto"/>
              </w:rPr>
            </w:pPr>
          </w:p>
        </w:tc>
        <w:tc>
          <w:tcPr>
            <w:tcW w:w="1169" w:type="dxa"/>
            <w:vAlign w:val="top"/>
          </w:tcPr>
          <w:p w14:paraId="6CC54409">
            <w:pPr>
              <w:pStyle w:val="11"/>
              <w:rPr>
                <w:rFonts w:hint="default" w:ascii="Times New Roman" w:hAnsi="Times New Roman" w:cs="Times New Roman" w:eastAsiaTheme="minorEastAsia"/>
                <w:sz w:val="21"/>
                <w:szCs w:val="21"/>
                <w:u w:val="none" w:color="auto"/>
              </w:rPr>
            </w:pPr>
          </w:p>
        </w:tc>
        <w:tc>
          <w:tcPr>
            <w:tcW w:w="1167" w:type="dxa"/>
            <w:vAlign w:val="top"/>
          </w:tcPr>
          <w:p w14:paraId="6C2109C7">
            <w:pPr>
              <w:pStyle w:val="11"/>
              <w:rPr>
                <w:rFonts w:hint="default" w:ascii="Times New Roman" w:hAnsi="Times New Roman" w:cs="Times New Roman" w:eastAsiaTheme="minorEastAsia"/>
                <w:sz w:val="21"/>
                <w:szCs w:val="21"/>
                <w:u w:val="none" w:color="auto"/>
              </w:rPr>
            </w:pPr>
          </w:p>
        </w:tc>
        <w:tc>
          <w:tcPr>
            <w:tcW w:w="1167" w:type="dxa"/>
            <w:vAlign w:val="top"/>
          </w:tcPr>
          <w:p w14:paraId="3F2B8AD0">
            <w:pPr>
              <w:pStyle w:val="11"/>
              <w:rPr>
                <w:rFonts w:hint="default" w:ascii="Times New Roman" w:hAnsi="Times New Roman" w:cs="Times New Roman" w:eastAsiaTheme="minorEastAsia"/>
                <w:sz w:val="21"/>
                <w:szCs w:val="21"/>
                <w:u w:val="none" w:color="auto"/>
              </w:rPr>
            </w:pPr>
          </w:p>
        </w:tc>
        <w:tc>
          <w:tcPr>
            <w:tcW w:w="1167" w:type="dxa"/>
            <w:vAlign w:val="top"/>
          </w:tcPr>
          <w:p w14:paraId="6D3CAA93">
            <w:pPr>
              <w:pStyle w:val="11"/>
              <w:rPr>
                <w:rFonts w:hint="default" w:ascii="Times New Roman" w:hAnsi="Times New Roman" w:cs="Times New Roman" w:eastAsiaTheme="minorEastAsia"/>
                <w:sz w:val="21"/>
                <w:szCs w:val="21"/>
                <w:u w:val="none" w:color="auto"/>
              </w:rPr>
            </w:pPr>
          </w:p>
        </w:tc>
        <w:tc>
          <w:tcPr>
            <w:tcW w:w="1167" w:type="dxa"/>
            <w:vAlign w:val="top"/>
          </w:tcPr>
          <w:p w14:paraId="38CA89E2">
            <w:pPr>
              <w:pStyle w:val="11"/>
              <w:rPr>
                <w:rFonts w:hint="default" w:ascii="Times New Roman" w:hAnsi="Times New Roman" w:cs="Times New Roman" w:eastAsiaTheme="minorEastAsia"/>
                <w:sz w:val="21"/>
                <w:szCs w:val="21"/>
                <w:u w:val="none" w:color="auto"/>
              </w:rPr>
            </w:pPr>
          </w:p>
        </w:tc>
        <w:tc>
          <w:tcPr>
            <w:tcW w:w="1171" w:type="dxa"/>
            <w:vAlign w:val="top"/>
          </w:tcPr>
          <w:p w14:paraId="3AC190BE">
            <w:pPr>
              <w:pStyle w:val="11"/>
              <w:rPr>
                <w:rFonts w:hint="default" w:ascii="Times New Roman" w:hAnsi="Times New Roman" w:cs="Times New Roman" w:eastAsiaTheme="minorEastAsia"/>
                <w:sz w:val="21"/>
                <w:szCs w:val="21"/>
                <w:u w:val="none" w:color="auto"/>
              </w:rPr>
            </w:pPr>
          </w:p>
        </w:tc>
        <w:tc>
          <w:tcPr>
            <w:tcW w:w="1173" w:type="dxa"/>
            <w:vAlign w:val="top"/>
          </w:tcPr>
          <w:p w14:paraId="59EF0F6F">
            <w:pPr>
              <w:pStyle w:val="11"/>
              <w:rPr>
                <w:rFonts w:hint="default" w:ascii="Times New Roman" w:hAnsi="Times New Roman" w:cs="Times New Roman" w:eastAsiaTheme="minorEastAsia"/>
                <w:sz w:val="21"/>
                <w:szCs w:val="21"/>
                <w:u w:val="none" w:color="auto"/>
              </w:rPr>
            </w:pPr>
          </w:p>
        </w:tc>
      </w:tr>
    </w:tbl>
    <w:p w14:paraId="0E6CB98F">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注 ：本表反映部门本年度政府性基金预算财政拨款收入、支出及结转和结余情况。 </w:t>
      </w:r>
    </w:p>
    <w:p w14:paraId="28D8DE3D">
      <w:pPr>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【此表无数据】</w:t>
      </w:r>
      <w:r>
        <w:rPr>
          <w:rFonts w:hint="default" w:ascii="Times New Roman" w:hAnsi="Times New Roman" w:eastAsia="黑体" w:cs="Times New Roman"/>
          <w:spacing w:val="0"/>
          <w:w w:val="100"/>
          <w:position w:val="0"/>
          <w:sz w:val="32"/>
          <w:szCs w:val="32"/>
          <w:u w:val="none" w:color="auto"/>
          <w:lang w:val="en-US" w:eastAsia="zh-CN"/>
        </w:rPr>
        <w:br w:type="page"/>
      </w:r>
    </w:p>
    <w:p w14:paraId="083CD4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年度国有资本经营预算财政拨款支出决算表</w:t>
      </w:r>
    </w:p>
    <w:p w14:paraId="57FA45FF">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公开08表</w:t>
      </w:r>
    </w:p>
    <w:p w14:paraId="337A7BA9">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部门：武汉市光谷第四初级中学</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5708A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7A199356">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项       目</w:t>
            </w:r>
          </w:p>
        </w:tc>
        <w:tc>
          <w:tcPr>
            <w:tcW w:w="6589" w:type="dxa"/>
            <w:gridSpan w:val="3"/>
            <w:vAlign w:val="center"/>
          </w:tcPr>
          <w:p w14:paraId="1128B75A">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本年支出</w:t>
            </w:r>
          </w:p>
        </w:tc>
      </w:tr>
      <w:tr w14:paraId="7F498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09F03BBE">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功能分类</w:t>
            </w:r>
          </w:p>
          <w:p w14:paraId="5A0C9013">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科目编码</w:t>
            </w:r>
          </w:p>
        </w:tc>
        <w:tc>
          <w:tcPr>
            <w:tcW w:w="1128" w:type="dxa"/>
            <w:vAlign w:val="center"/>
          </w:tcPr>
          <w:p w14:paraId="2E84CFBE">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科目名称</w:t>
            </w:r>
          </w:p>
        </w:tc>
        <w:tc>
          <w:tcPr>
            <w:tcW w:w="2129" w:type="dxa"/>
            <w:vAlign w:val="center"/>
          </w:tcPr>
          <w:p w14:paraId="2EABCCCE">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合计</w:t>
            </w:r>
          </w:p>
        </w:tc>
        <w:tc>
          <w:tcPr>
            <w:tcW w:w="2272" w:type="dxa"/>
            <w:vAlign w:val="center"/>
          </w:tcPr>
          <w:p w14:paraId="3DB055EB">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基本支出</w:t>
            </w:r>
          </w:p>
        </w:tc>
        <w:tc>
          <w:tcPr>
            <w:tcW w:w="2188" w:type="dxa"/>
            <w:vAlign w:val="center"/>
          </w:tcPr>
          <w:p w14:paraId="71CB993F">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项目支出</w:t>
            </w:r>
          </w:p>
        </w:tc>
      </w:tr>
      <w:tr w14:paraId="6D17B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6EEB379F">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类</w:t>
            </w:r>
          </w:p>
        </w:tc>
        <w:tc>
          <w:tcPr>
            <w:tcW w:w="392" w:type="dxa"/>
            <w:vMerge w:val="restart"/>
            <w:tcBorders>
              <w:bottom w:val="nil"/>
            </w:tcBorders>
            <w:vAlign w:val="center"/>
          </w:tcPr>
          <w:p w14:paraId="0D559BDC">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款</w:t>
            </w:r>
          </w:p>
        </w:tc>
        <w:tc>
          <w:tcPr>
            <w:tcW w:w="410" w:type="dxa"/>
            <w:vMerge w:val="restart"/>
            <w:tcBorders>
              <w:bottom w:val="nil"/>
            </w:tcBorders>
            <w:vAlign w:val="center"/>
          </w:tcPr>
          <w:p w14:paraId="6D631A07">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项</w:t>
            </w:r>
          </w:p>
        </w:tc>
        <w:tc>
          <w:tcPr>
            <w:tcW w:w="1128" w:type="dxa"/>
            <w:vAlign w:val="center"/>
          </w:tcPr>
          <w:p w14:paraId="0CB40F2C">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栏次</w:t>
            </w:r>
          </w:p>
        </w:tc>
        <w:tc>
          <w:tcPr>
            <w:tcW w:w="2129" w:type="dxa"/>
            <w:vAlign w:val="center"/>
          </w:tcPr>
          <w:p w14:paraId="26DCC1D8">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w:t>
            </w:r>
          </w:p>
        </w:tc>
        <w:tc>
          <w:tcPr>
            <w:tcW w:w="2272" w:type="dxa"/>
            <w:vAlign w:val="center"/>
          </w:tcPr>
          <w:p w14:paraId="43F4A086">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2</w:t>
            </w:r>
          </w:p>
        </w:tc>
        <w:tc>
          <w:tcPr>
            <w:tcW w:w="2188" w:type="dxa"/>
            <w:vAlign w:val="center"/>
          </w:tcPr>
          <w:p w14:paraId="151A9A96">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3</w:t>
            </w:r>
          </w:p>
        </w:tc>
      </w:tr>
      <w:tr w14:paraId="2F2B6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52B0C81F">
            <w:pPr>
              <w:pStyle w:val="11"/>
              <w:jc w:val="center"/>
              <w:rPr>
                <w:rFonts w:hint="default" w:ascii="Times New Roman" w:hAnsi="Times New Roman" w:cs="Times New Roman" w:eastAsiaTheme="minorEastAsia"/>
                <w:sz w:val="21"/>
                <w:szCs w:val="21"/>
                <w:u w:val="none" w:color="auto"/>
              </w:rPr>
            </w:pPr>
          </w:p>
        </w:tc>
        <w:tc>
          <w:tcPr>
            <w:tcW w:w="392" w:type="dxa"/>
            <w:vMerge w:val="continue"/>
            <w:tcBorders>
              <w:top w:val="nil"/>
            </w:tcBorders>
            <w:vAlign w:val="center"/>
          </w:tcPr>
          <w:p w14:paraId="42C0148B">
            <w:pPr>
              <w:pStyle w:val="11"/>
              <w:jc w:val="center"/>
              <w:rPr>
                <w:rFonts w:hint="default" w:ascii="Times New Roman" w:hAnsi="Times New Roman" w:cs="Times New Roman" w:eastAsiaTheme="minorEastAsia"/>
                <w:sz w:val="21"/>
                <w:szCs w:val="21"/>
                <w:u w:val="none" w:color="auto"/>
              </w:rPr>
            </w:pPr>
          </w:p>
        </w:tc>
        <w:tc>
          <w:tcPr>
            <w:tcW w:w="410" w:type="dxa"/>
            <w:vMerge w:val="continue"/>
            <w:tcBorders>
              <w:top w:val="nil"/>
            </w:tcBorders>
            <w:vAlign w:val="center"/>
          </w:tcPr>
          <w:p w14:paraId="45FCAF2B">
            <w:pPr>
              <w:pStyle w:val="11"/>
              <w:jc w:val="center"/>
              <w:rPr>
                <w:rFonts w:hint="default" w:ascii="Times New Roman" w:hAnsi="Times New Roman" w:cs="Times New Roman" w:eastAsiaTheme="minorEastAsia"/>
                <w:sz w:val="21"/>
                <w:szCs w:val="21"/>
                <w:u w:val="none" w:color="auto"/>
              </w:rPr>
            </w:pPr>
          </w:p>
        </w:tc>
        <w:tc>
          <w:tcPr>
            <w:tcW w:w="1128" w:type="dxa"/>
            <w:vAlign w:val="center"/>
          </w:tcPr>
          <w:p w14:paraId="1F63DBB5">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合计</w:t>
            </w:r>
          </w:p>
        </w:tc>
        <w:tc>
          <w:tcPr>
            <w:tcW w:w="2129" w:type="dxa"/>
            <w:vAlign w:val="center"/>
          </w:tcPr>
          <w:p w14:paraId="0071D0B2">
            <w:pPr>
              <w:pStyle w:val="11"/>
              <w:jc w:val="center"/>
              <w:rPr>
                <w:rFonts w:hint="default" w:ascii="Times New Roman" w:hAnsi="Times New Roman" w:cs="Times New Roman" w:eastAsiaTheme="minorEastAsia"/>
                <w:sz w:val="21"/>
                <w:szCs w:val="21"/>
                <w:u w:val="none" w:color="auto"/>
              </w:rPr>
            </w:pPr>
          </w:p>
        </w:tc>
        <w:tc>
          <w:tcPr>
            <w:tcW w:w="2272" w:type="dxa"/>
            <w:vAlign w:val="center"/>
          </w:tcPr>
          <w:p w14:paraId="636B4377">
            <w:pPr>
              <w:pStyle w:val="11"/>
              <w:jc w:val="center"/>
              <w:rPr>
                <w:rFonts w:hint="default" w:ascii="Times New Roman" w:hAnsi="Times New Roman" w:cs="Times New Roman" w:eastAsiaTheme="minorEastAsia"/>
                <w:sz w:val="21"/>
                <w:szCs w:val="21"/>
                <w:u w:val="none" w:color="auto"/>
              </w:rPr>
            </w:pPr>
          </w:p>
        </w:tc>
        <w:tc>
          <w:tcPr>
            <w:tcW w:w="2188" w:type="dxa"/>
            <w:vAlign w:val="center"/>
          </w:tcPr>
          <w:p w14:paraId="754CF31C">
            <w:pPr>
              <w:pStyle w:val="11"/>
              <w:jc w:val="center"/>
              <w:rPr>
                <w:rFonts w:hint="default" w:ascii="Times New Roman" w:hAnsi="Times New Roman" w:cs="Times New Roman" w:eastAsiaTheme="minorEastAsia"/>
                <w:sz w:val="21"/>
                <w:szCs w:val="21"/>
                <w:u w:val="none" w:color="auto"/>
              </w:rPr>
            </w:pPr>
          </w:p>
        </w:tc>
      </w:tr>
    </w:tbl>
    <w:p w14:paraId="3715CD2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注：本表反映部门本年度国有资本经营预算财政拨款支出情况。</w:t>
      </w:r>
    </w:p>
    <w:p w14:paraId="43AF54DB">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【此表无数据】</w:t>
      </w:r>
    </w:p>
    <w:p w14:paraId="0A36DE96">
      <w:pPr>
        <w:rPr>
          <w:rFonts w:hint="default" w:ascii="Times New Roman" w:hAnsi="Times New Roman" w:eastAsia="微软雅黑" w:cs="Times New Roman"/>
          <w:b/>
          <w:bCs/>
          <w:spacing w:val="-13"/>
          <w:w w:val="96"/>
          <w:sz w:val="33"/>
          <w:szCs w:val="33"/>
          <w:u w:val="none" w:color="auto"/>
        </w:rPr>
      </w:pPr>
      <w:r>
        <w:rPr>
          <w:rFonts w:hint="default" w:ascii="Times New Roman" w:hAnsi="Times New Roman" w:eastAsia="微软雅黑" w:cs="Times New Roman"/>
          <w:b/>
          <w:bCs/>
          <w:spacing w:val="-13"/>
          <w:w w:val="96"/>
          <w:sz w:val="33"/>
          <w:szCs w:val="33"/>
          <w:u w:val="none" w:color="auto"/>
        </w:rPr>
        <w:br w:type="page"/>
      </w:r>
    </w:p>
    <w:p w14:paraId="4173F6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年度财政拨款“ 三公 ”经费支出决算表</w:t>
      </w:r>
    </w:p>
    <w:p w14:paraId="5E286780">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公开09表</w:t>
      </w:r>
    </w:p>
    <w:p w14:paraId="1B3D517D">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部门：武汉市光谷第四初级中学</w:t>
      </w: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51817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59D9ABAA">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预算数</w:t>
            </w:r>
          </w:p>
        </w:tc>
        <w:tc>
          <w:tcPr>
            <w:tcW w:w="4836" w:type="dxa"/>
            <w:gridSpan w:val="6"/>
            <w:vAlign w:val="center"/>
          </w:tcPr>
          <w:p w14:paraId="33620B33">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决算数</w:t>
            </w:r>
          </w:p>
        </w:tc>
      </w:tr>
      <w:tr w14:paraId="520A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0F40F8E0">
            <w:pPr>
              <w:pStyle w:val="11"/>
              <w:jc w:val="center"/>
              <w:rPr>
                <w:rFonts w:hint="default" w:ascii="Times New Roman" w:hAnsi="Times New Roman" w:cs="Times New Roman" w:eastAsiaTheme="minorEastAsia"/>
                <w:sz w:val="21"/>
                <w:szCs w:val="21"/>
                <w:u w:val="none" w:color="auto"/>
              </w:rPr>
            </w:pPr>
          </w:p>
          <w:p w14:paraId="1C6721F0">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合计</w:t>
            </w:r>
          </w:p>
        </w:tc>
        <w:tc>
          <w:tcPr>
            <w:tcW w:w="1061" w:type="dxa"/>
            <w:vMerge w:val="restart"/>
            <w:tcBorders>
              <w:bottom w:val="nil"/>
            </w:tcBorders>
            <w:vAlign w:val="center"/>
          </w:tcPr>
          <w:p w14:paraId="0B4FD703">
            <w:pPr>
              <w:pStyle w:val="11"/>
              <w:jc w:val="center"/>
              <w:rPr>
                <w:rFonts w:hint="default" w:ascii="Times New Roman" w:hAnsi="Times New Roman" w:cs="Times New Roman" w:eastAsiaTheme="minorEastAsia"/>
                <w:sz w:val="21"/>
                <w:szCs w:val="21"/>
                <w:u w:val="none" w:color="auto"/>
              </w:rPr>
            </w:pPr>
          </w:p>
          <w:p w14:paraId="10B636F1">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因公出国 （境）费</w:t>
            </w:r>
          </w:p>
        </w:tc>
        <w:tc>
          <w:tcPr>
            <w:tcW w:w="2805" w:type="dxa"/>
            <w:gridSpan w:val="3"/>
            <w:vAlign w:val="center"/>
          </w:tcPr>
          <w:p w14:paraId="0F6195CD">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公务用车购置及运行维护费</w:t>
            </w:r>
          </w:p>
        </w:tc>
        <w:tc>
          <w:tcPr>
            <w:tcW w:w="634" w:type="dxa"/>
            <w:vMerge w:val="restart"/>
            <w:tcBorders>
              <w:bottom w:val="nil"/>
            </w:tcBorders>
            <w:vAlign w:val="center"/>
          </w:tcPr>
          <w:p w14:paraId="7B101A4D">
            <w:pPr>
              <w:pStyle w:val="11"/>
              <w:jc w:val="center"/>
              <w:rPr>
                <w:rFonts w:hint="default" w:ascii="Times New Roman" w:hAnsi="Times New Roman" w:cs="Times New Roman" w:eastAsiaTheme="minorEastAsia"/>
                <w:sz w:val="21"/>
                <w:szCs w:val="21"/>
                <w:u w:val="none" w:color="auto"/>
              </w:rPr>
            </w:pPr>
          </w:p>
          <w:p w14:paraId="4943F99B">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公务接待费</w:t>
            </w:r>
          </w:p>
        </w:tc>
        <w:tc>
          <w:tcPr>
            <w:tcW w:w="450" w:type="dxa"/>
            <w:vMerge w:val="restart"/>
            <w:tcBorders>
              <w:bottom w:val="nil"/>
            </w:tcBorders>
            <w:vAlign w:val="center"/>
          </w:tcPr>
          <w:p w14:paraId="5765603B">
            <w:pPr>
              <w:pStyle w:val="11"/>
              <w:jc w:val="center"/>
              <w:rPr>
                <w:rFonts w:hint="default" w:ascii="Times New Roman" w:hAnsi="Times New Roman" w:cs="Times New Roman" w:eastAsiaTheme="minorEastAsia"/>
                <w:sz w:val="21"/>
                <w:szCs w:val="21"/>
                <w:u w:val="none" w:color="auto"/>
              </w:rPr>
            </w:pPr>
          </w:p>
          <w:p w14:paraId="75715837">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合计</w:t>
            </w:r>
          </w:p>
        </w:tc>
        <w:tc>
          <w:tcPr>
            <w:tcW w:w="970" w:type="dxa"/>
            <w:vMerge w:val="restart"/>
            <w:tcBorders>
              <w:bottom w:val="nil"/>
            </w:tcBorders>
            <w:vAlign w:val="center"/>
          </w:tcPr>
          <w:p w14:paraId="6B314A52">
            <w:pPr>
              <w:pStyle w:val="11"/>
              <w:jc w:val="center"/>
              <w:rPr>
                <w:rFonts w:hint="default" w:ascii="Times New Roman" w:hAnsi="Times New Roman" w:cs="Times New Roman" w:eastAsiaTheme="minorEastAsia"/>
                <w:sz w:val="21"/>
                <w:szCs w:val="21"/>
                <w:u w:val="none" w:color="auto"/>
              </w:rPr>
            </w:pPr>
          </w:p>
          <w:p w14:paraId="06C1FB11">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因公出国 （境）费</w:t>
            </w:r>
          </w:p>
        </w:tc>
        <w:tc>
          <w:tcPr>
            <w:tcW w:w="2709" w:type="dxa"/>
            <w:gridSpan w:val="3"/>
            <w:vAlign w:val="center"/>
          </w:tcPr>
          <w:p w14:paraId="274E70B4">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公务用车购置及运行维护费</w:t>
            </w:r>
          </w:p>
        </w:tc>
        <w:tc>
          <w:tcPr>
            <w:tcW w:w="707" w:type="dxa"/>
            <w:vMerge w:val="restart"/>
            <w:tcBorders>
              <w:bottom w:val="nil"/>
            </w:tcBorders>
            <w:vAlign w:val="center"/>
          </w:tcPr>
          <w:p w14:paraId="4506DE1A">
            <w:pPr>
              <w:pStyle w:val="11"/>
              <w:jc w:val="center"/>
              <w:rPr>
                <w:rFonts w:hint="default" w:ascii="Times New Roman" w:hAnsi="Times New Roman" w:cs="Times New Roman" w:eastAsiaTheme="minorEastAsia"/>
                <w:sz w:val="21"/>
                <w:szCs w:val="21"/>
                <w:u w:val="none" w:color="auto"/>
              </w:rPr>
            </w:pPr>
          </w:p>
          <w:p w14:paraId="2923D5D1">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公务接 待费</w:t>
            </w:r>
          </w:p>
        </w:tc>
      </w:tr>
      <w:tr w14:paraId="54141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260A020D">
            <w:pPr>
              <w:pStyle w:val="11"/>
              <w:jc w:val="center"/>
              <w:rPr>
                <w:rFonts w:hint="default" w:ascii="Times New Roman" w:hAnsi="Times New Roman" w:cs="Times New Roman" w:eastAsiaTheme="minorEastAsia"/>
                <w:sz w:val="21"/>
                <w:szCs w:val="21"/>
                <w:u w:val="none" w:color="auto"/>
              </w:rPr>
            </w:pPr>
          </w:p>
        </w:tc>
        <w:tc>
          <w:tcPr>
            <w:tcW w:w="1061" w:type="dxa"/>
            <w:vMerge w:val="continue"/>
            <w:tcBorders>
              <w:top w:val="nil"/>
            </w:tcBorders>
            <w:vAlign w:val="center"/>
          </w:tcPr>
          <w:p w14:paraId="4FBC481D">
            <w:pPr>
              <w:pStyle w:val="11"/>
              <w:jc w:val="center"/>
              <w:rPr>
                <w:rFonts w:hint="default" w:ascii="Times New Roman" w:hAnsi="Times New Roman" w:cs="Times New Roman" w:eastAsiaTheme="minorEastAsia"/>
                <w:sz w:val="21"/>
                <w:szCs w:val="21"/>
                <w:u w:val="none" w:color="auto"/>
              </w:rPr>
            </w:pPr>
          </w:p>
        </w:tc>
        <w:tc>
          <w:tcPr>
            <w:tcW w:w="453" w:type="dxa"/>
            <w:vAlign w:val="center"/>
          </w:tcPr>
          <w:p w14:paraId="3A62351A">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小计</w:t>
            </w:r>
          </w:p>
        </w:tc>
        <w:tc>
          <w:tcPr>
            <w:tcW w:w="1193" w:type="dxa"/>
            <w:vAlign w:val="center"/>
          </w:tcPr>
          <w:p w14:paraId="557CA0B7">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w:t>
            </w:r>
          </w:p>
          <w:p w14:paraId="4BC09891">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购置费</w:t>
            </w:r>
          </w:p>
        </w:tc>
        <w:tc>
          <w:tcPr>
            <w:tcW w:w="1159" w:type="dxa"/>
            <w:vAlign w:val="center"/>
          </w:tcPr>
          <w:p w14:paraId="78CBDFFF">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w:t>
            </w:r>
          </w:p>
          <w:p w14:paraId="181BE291">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运行维护费</w:t>
            </w:r>
          </w:p>
        </w:tc>
        <w:tc>
          <w:tcPr>
            <w:tcW w:w="634" w:type="dxa"/>
            <w:vMerge w:val="continue"/>
            <w:tcBorders>
              <w:top w:val="nil"/>
            </w:tcBorders>
            <w:vAlign w:val="center"/>
          </w:tcPr>
          <w:p w14:paraId="30C5F166">
            <w:pPr>
              <w:pStyle w:val="11"/>
              <w:jc w:val="center"/>
              <w:rPr>
                <w:rFonts w:hint="default" w:ascii="Times New Roman" w:hAnsi="Times New Roman" w:cs="Times New Roman" w:eastAsiaTheme="minorEastAsia"/>
                <w:sz w:val="21"/>
                <w:szCs w:val="21"/>
                <w:u w:val="none" w:color="auto"/>
              </w:rPr>
            </w:pPr>
          </w:p>
        </w:tc>
        <w:tc>
          <w:tcPr>
            <w:tcW w:w="450" w:type="dxa"/>
            <w:vMerge w:val="continue"/>
            <w:tcBorders>
              <w:top w:val="nil"/>
            </w:tcBorders>
            <w:vAlign w:val="center"/>
          </w:tcPr>
          <w:p w14:paraId="549E1EAE">
            <w:pPr>
              <w:pStyle w:val="11"/>
              <w:jc w:val="center"/>
              <w:rPr>
                <w:rFonts w:hint="default" w:ascii="Times New Roman" w:hAnsi="Times New Roman" w:cs="Times New Roman" w:eastAsiaTheme="minorEastAsia"/>
                <w:sz w:val="21"/>
                <w:szCs w:val="21"/>
                <w:u w:val="none" w:color="auto"/>
              </w:rPr>
            </w:pPr>
          </w:p>
        </w:tc>
        <w:tc>
          <w:tcPr>
            <w:tcW w:w="970" w:type="dxa"/>
            <w:vMerge w:val="continue"/>
            <w:tcBorders>
              <w:top w:val="nil"/>
            </w:tcBorders>
            <w:vAlign w:val="center"/>
          </w:tcPr>
          <w:p w14:paraId="00E52C9E">
            <w:pPr>
              <w:pStyle w:val="11"/>
              <w:jc w:val="center"/>
              <w:rPr>
                <w:rFonts w:hint="default" w:ascii="Times New Roman" w:hAnsi="Times New Roman" w:cs="Times New Roman" w:eastAsiaTheme="minorEastAsia"/>
                <w:sz w:val="21"/>
                <w:szCs w:val="21"/>
                <w:u w:val="none" w:color="auto"/>
              </w:rPr>
            </w:pPr>
          </w:p>
        </w:tc>
        <w:tc>
          <w:tcPr>
            <w:tcW w:w="641" w:type="dxa"/>
            <w:vAlign w:val="center"/>
          </w:tcPr>
          <w:p w14:paraId="71CFEEEA">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小计</w:t>
            </w:r>
          </w:p>
        </w:tc>
        <w:tc>
          <w:tcPr>
            <w:tcW w:w="887" w:type="dxa"/>
            <w:vAlign w:val="center"/>
          </w:tcPr>
          <w:p w14:paraId="369D3C27">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 购置费</w:t>
            </w:r>
          </w:p>
        </w:tc>
        <w:tc>
          <w:tcPr>
            <w:tcW w:w="1181" w:type="dxa"/>
            <w:vAlign w:val="center"/>
          </w:tcPr>
          <w:p w14:paraId="0D4701AE">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   运行维护费</w:t>
            </w:r>
          </w:p>
        </w:tc>
        <w:tc>
          <w:tcPr>
            <w:tcW w:w="707" w:type="dxa"/>
            <w:vMerge w:val="continue"/>
            <w:tcBorders>
              <w:top w:val="nil"/>
            </w:tcBorders>
            <w:vAlign w:val="center"/>
          </w:tcPr>
          <w:p w14:paraId="30CA77AA">
            <w:pPr>
              <w:pStyle w:val="11"/>
              <w:jc w:val="center"/>
              <w:rPr>
                <w:rFonts w:hint="default" w:ascii="Times New Roman" w:hAnsi="Times New Roman" w:cs="Times New Roman" w:eastAsiaTheme="minorEastAsia"/>
                <w:sz w:val="21"/>
                <w:szCs w:val="21"/>
                <w:u w:val="none" w:color="auto"/>
              </w:rPr>
            </w:pPr>
          </w:p>
        </w:tc>
      </w:tr>
      <w:tr w14:paraId="6FD11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33E7B9C0">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w:t>
            </w:r>
          </w:p>
        </w:tc>
        <w:tc>
          <w:tcPr>
            <w:tcW w:w="1061" w:type="dxa"/>
            <w:vAlign w:val="center"/>
          </w:tcPr>
          <w:p w14:paraId="1E129DAB">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2</w:t>
            </w:r>
          </w:p>
        </w:tc>
        <w:tc>
          <w:tcPr>
            <w:tcW w:w="453" w:type="dxa"/>
            <w:vAlign w:val="center"/>
          </w:tcPr>
          <w:p w14:paraId="633CBAFB">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3</w:t>
            </w:r>
          </w:p>
        </w:tc>
        <w:tc>
          <w:tcPr>
            <w:tcW w:w="1193" w:type="dxa"/>
            <w:vAlign w:val="center"/>
          </w:tcPr>
          <w:p w14:paraId="430BE035">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4</w:t>
            </w:r>
          </w:p>
        </w:tc>
        <w:tc>
          <w:tcPr>
            <w:tcW w:w="1159" w:type="dxa"/>
            <w:vAlign w:val="center"/>
          </w:tcPr>
          <w:p w14:paraId="5E6E0817">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5</w:t>
            </w:r>
          </w:p>
        </w:tc>
        <w:tc>
          <w:tcPr>
            <w:tcW w:w="634" w:type="dxa"/>
            <w:vAlign w:val="center"/>
          </w:tcPr>
          <w:p w14:paraId="5C783884">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6</w:t>
            </w:r>
          </w:p>
        </w:tc>
        <w:tc>
          <w:tcPr>
            <w:tcW w:w="450" w:type="dxa"/>
            <w:vAlign w:val="center"/>
          </w:tcPr>
          <w:p w14:paraId="7237E209">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7</w:t>
            </w:r>
          </w:p>
        </w:tc>
        <w:tc>
          <w:tcPr>
            <w:tcW w:w="970" w:type="dxa"/>
            <w:vAlign w:val="center"/>
          </w:tcPr>
          <w:p w14:paraId="63B4AAA6">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8</w:t>
            </w:r>
          </w:p>
        </w:tc>
        <w:tc>
          <w:tcPr>
            <w:tcW w:w="641" w:type="dxa"/>
            <w:vAlign w:val="center"/>
          </w:tcPr>
          <w:p w14:paraId="412A5EC9">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9</w:t>
            </w:r>
          </w:p>
        </w:tc>
        <w:tc>
          <w:tcPr>
            <w:tcW w:w="887" w:type="dxa"/>
            <w:vAlign w:val="center"/>
          </w:tcPr>
          <w:p w14:paraId="52AEF492">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10</w:t>
            </w:r>
          </w:p>
        </w:tc>
        <w:tc>
          <w:tcPr>
            <w:tcW w:w="1181" w:type="dxa"/>
            <w:vAlign w:val="center"/>
          </w:tcPr>
          <w:p w14:paraId="5A0B9E70">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11</w:t>
            </w:r>
          </w:p>
        </w:tc>
        <w:tc>
          <w:tcPr>
            <w:tcW w:w="707" w:type="dxa"/>
            <w:vAlign w:val="center"/>
          </w:tcPr>
          <w:p w14:paraId="37E667CB">
            <w:pPr>
              <w:pStyle w:val="11"/>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12</w:t>
            </w:r>
          </w:p>
        </w:tc>
      </w:tr>
      <w:tr w14:paraId="3BAC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75AC7FE8">
            <w:pPr>
              <w:pStyle w:val="11"/>
              <w:jc w:val="center"/>
              <w:rPr>
                <w:rFonts w:hint="default" w:ascii="Times New Roman" w:hAnsi="Times New Roman" w:cs="Times New Roman" w:eastAsiaTheme="minorEastAsia"/>
                <w:sz w:val="21"/>
                <w:szCs w:val="21"/>
                <w:u w:val="none" w:color="auto"/>
              </w:rPr>
            </w:pPr>
          </w:p>
        </w:tc>
        <w:tc>
          <w:tcPr>
            <w:tcW w:w="1061" w:type="dxa"/>
            <w:vAlign w:val="center"/>
          </w:tcPr>
          <w:p w14:paraId="2689D35F">
            <w:pPr>
              <w:pStyle w:val="11"/>
              <w:jc w:val="center"/>
              <w:rPr>
                <w:rFonts w:hint="default" w:ascii="Times New Roman" w:hAnsi="Times New Roman" w:cs="Times New Roman" w:eastAsiaTheme="minorEastAsia"/>
                <w:sz w:val="21"/>
                <w:szCs w:val="21"/>
                <w:u w:val="none" w:color="auto"/>
              </w:rPr>
            </w:pPr>
          </w:p>
        </w:tc>
        <w:tc>
          <w:tcPr>
            <w:tcW w:w="453" w:type="dxa"/>
            <w:vAlign w:val="center"/>
          </w:tcPr>
          <w:p w14:paraId="6ACCB314">
            <w:pPr>
              <w:pStyle w:val="11"/>
              <w:jc w:val="center"/>
              <w:rPr>
                <w:rFonts w:hint="default" w:ascii="Times New Roman" w:hAnsi="Times New Roman" w:cs="Times New Roman" w:eastAsiaTheme="minorEastAsia"/>
                <w:sz w:val="21"/>
                <w:szCs w:val="21"/>
                <w:u w:val="none" w:color="auto"/>
              </w:rPr>
            </w:pPr>
          </w:p>
        </w:tc>
        <w:tc>
          <w:tcPr>
            <w:tcW w:w="1193" w:type="dxa"/>
            <w:vAlign w:val="center"/>
          </w:tcPr>
          <w:p w14:paraId="1B45E2AE">
            <w:pPr>
              <w:pStyle w:val="11"/>
              <w:jc w:val="center"/>
              <w:rPr>
                <w:rFonts w:hint="default" w:ascii="Times New Roman" w:hAnsi="Times New Roman" w:cs="Times New Roman" w:eastAsiaTheme="minorEastAsia"/>
                <w:sz w:val="21"/>
                <w:szCs w:val="21"/>
                <w:u w:val="none" w:color="auto"/>
              </w:rPr>
            </w:pPr>
          </w:p>
        </w:tc>
        <w:tc>
          <w:tcPr>
            <w:tcW w:w="1159" w:type="dxa"/>
            <w:vAlign w:val="center"/>
          </w:tcPr>
          <w:p w14:paraId="5DE19036">
            <w:pPr>
              <w:pStyle w:val="11"/>
              <w:jc w:val="center"/>
              <w:rPr>
                <w:rFonts w:hint="default" w:ascii="Times New Roman" w:hAnsi="Times New Roman" w:cs="Times New Roman" w:eastAsiaTheme="minorEastAsia"/>
                <w:sz w:val="21"/>
                <w:szCs w:val="21"/>
                <w:u w:val="none" w:color="auto"/>
              </w:rPr>
            </w:pPr>
          </w:p>
        </w:tc>
        <w:tc>
          <w:tcPr>
            <w:tcW w:w="634" w:type="dxa"/>
            <w:vAlign w:val="center"/>
          </w:tcPr>
          <w:p w14:paraId="1FECB77D">
            <w:pPr>
              <w:pStyle w:val="11"/>
              <w:jc w:val="center"/>
              <w:rPr>
                <w:rFonts w:hint="default" w:ascii="Times New Roman" w:hAnsi="Times New Roman" w:cs="Times New Roman" w:eastAsiaTheme="minorEastAsia"/>
                <w:sz w:val="21"/>
                <w:szCs w:val="21"/>
                <w:u w:val="none" w:color="auto"/>
              </w:rPr>
            </w:pPr>
          </w:p>
        </w:tc>
        <w:tc>
          <w:tcPr>
            <w:tcW w:w="450" w:type="dxa"/>
            <w:vAlign w:val="center"/>
          </w:tcPr>
          <w:p w14:paraId="72BB07F5">
            <w:pPr>
              <w:pStyle w:val="11"/>
              <w:jc w:val="center"/>
              <w:rPr>
                <w:rFonts w:hint="default" w:ascii="Times New Roman" w:hAnsi="Times New Roman" w:cs="Times New Roman" w:eastAsiaTheme="minorEastAsia"/>
                <w:sz w:val="21"/>
                <w:szCs w:val="21"/>
                <w:u w:val="none" w:color="auto"/>
              </w:rPr>
            </w:pPr>
          </w:p>
        </w:tc>
        <w:tc>
          <w:tcPr>
            <w:tcW w:w="970" w:type="dxa"/>
            <w:vAlign w:val="center"/>
          </w:tcPr>
          <w:p w14:paraId="27244D47">
            <w:pPr>
              <w:pStyle w:val="11"/>
              <w:jc w:val="center"/>
              <w:rPr>
                <w:rFonts w:hint="default" w:ascii="Times New Roman" w:hAnsi="Times New Roman" w:cs="Times New Roman" w:eastAsiaTheme="minorEastAsia"/>
                <w:sz w:val="21"/>
                <w:szCs w:val="21"/>
                <w:u w:val="none" w:color="auto"/>
              </w:rPr>
            </w:pPr>
          </w:p>
        </w:tc>
        <w:tc>
          <w:tcPr>
            <w:tcW w:w="641" w:type="dxa"/>
            <w:vAlign w:val="center"/>
          </w:tcPr>
          <w:p w14:paraId="44039B44">
            <w:pPr>
              <w:pStyle w:val="11"/>
              <w:jc w:val="center"/>
              <w:rPr>
                <w:rFonts w:hint="default" w:ascii="Times New Roman" w:hAnsi="Times New Roman" w:cs="Times New Roman" w:eastAsiaTheme="minorEastAsia"/>
                <w:sz w:val="21"/>
                <w:szCs w:val="21"/>
                <w:u w:val="none" w:color="auto"/>
              </w:rPr>
            </w:pPr>
          </w:p>
        </w:tc>
        <w:tc>
          <w:tcPr>
            <w:tcW w:w="887" w:type="dxa"/>
            <w:vAlign w:val="center"/>
          </w:tcPr>
          <w:p w14:paraId="546F663F">
            <w:pPr>
              <w:pStyle w:val="11"/>
              <w:jc w:val="center"/>
              <w:rPr>
                <w:rFonts w:hint="default" w:ascii="Times New Roman" w:hAnsi="Times New Roman" w:cs="Times New Roman" w:eastAsiaTheme="minorEastAsia"/>
                <w:sz w:val="21"/>
                <w:szCs w:val="21"/>
                <w:u w:val="none" w:color="auto"/>
              </w:rPr>
            </w:pPr>
          </w:p>
        </w:tc>
        <w:tc>
          <w:tcPr>
            <w:tcW w:w="1181" w:type="dxa"/>
            <w:vAlign w:val="center"/>
          </w:tcPr>
          <w:p w14:paraId="0EA9D16A">
            <w:pPr>
              <w:pStyle w:val="11"/>
              <w:jc w:val="center"/>
              <w:rPr>
                <w:rFonts w:hint="default" w:ascii="Times New Roman" w:hAnsi="Times New Roman" w:cs="Times New Roman" w:eastAsiaTheme="minorEastAsia"/>
                <w:sz w:val="21"/>
                <w:szCs w:val="21"/>
                <w:u w:val="none" w:color="auto"/>
              </w:rPr>
            </w:pPr>
          </w:p>
        </w:tc>
        <w:tc>
          <w:tcPr>
            <w:tcW w:w="707" w:type="dxa"/>
            <w:vAlign w:val="center"/>
          </w:tcPr>
          <w:p w14:paraId="1FEA5BBE">
            <w:pPr>
              <w:pStyle w:val="11"/>
              <w:jc w:val="center"/>
              <w:rPr>
                <w:rFonts w:hint="default" w:ascii="Times New Roman" w:hAnsi="Times New Roman" w:cs="Times New Roman" w:eastAsiaTheme="minorEastAsia"/>
                <w:sz w:val="21"/>
                <w:szCs w:val="21"/>
                <w:u w:val="none" w:color="auto"/>
              </w:rPr>
            </w:pPr>
          </w:p>
        </w:tc>
      </w:tr>
    </w:tbl>
    <w:p w14:paraId="78ECCDB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2F37D370">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【此表无数据】</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1FC6870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u w:val="none" w:color="auto"/>
        </w:rPr>
      </w:pPr>
      <w:r>
        <w:rPr>
          <w:rFonts w:hint="eastAsia" w:ascii="Times New Roman" w:hAnsi="Times New Roman" w:eastAsia="方正小标宋_GBK" w:cs="Times New Roman"/>
          <w:spacing w:val="-23"/>
          <w:sz w:val="44"/>
          <w:szCs w:val="44"/>
          <w:u w:val="none" w:color="auto"/>
          <w:lang w:eastAsia="zh-CN"/>
        </w:rPr>
        <w:t>武汉市光谷第四初级中学</w:t>
      </w:r>
      <w:r>
        <w:rPr>
          <w:rFonts w:hint="default" w:ascii="Times New Roman" w:hAnsi="Times New Roman" w:eastAsia="方正小标宋_GBK" w:cs="Times New Roman"/>
          <w:spacing w:val="-23"/>
          <w:sz w:val="44"/>
          <w:szCs w:val="44"/>
          <w:u w:val="none" w:color="auto"/>
        </w:rPr>
        <w:t xml:space="preserve"> 202</w:t>
      </w:r>
      <w:r>
        <w:rPr>
          <w:rFonts w:hint="eastAsia" w:ascii="Times New Roman" w:hAnsi="Times New Roman" w:eastAsia="方正小标宋_GBK" w:cs="Times New Roman"/>
          <w:spacing w:val="-23"/>
          <w:sz w:val="44"/>
          <w:szCs w:val="44"/>
          <w:u w:val="none" w:color="auto"/>
          <w:lang w:val="en-US" w:eastAsia="zh-CN"/>
        </w:rPr>
        <w:t>4</w:t>
      </w:r>
      <w:r>
        <w:rPr>
          <w:rFonts w:hint="default" w:ascii="Times New Roman" w:hAnsi="Times New Roman" w:eastAsia="方正小标宋_GBK" w:cs="Times New Roman"/>
          <w:spacing w:val="-23"/>
          <w:sz w:val="44"/>
          <w:szCs w:val="44"/>
          <w:u w:val="none" w:color="auto"/>
        </w:rPr>
        <w:t>年度 部门决算情况说明</w:t>
      </w:r>
    </w:p>
    <w:p w14:paraId="3D30877B">
      <w:pPr>
        <w:rPr>
          <w:rFonts w:hint="default" w:ascii="Times New Roman" w:hAnsi="Times New Roman" w:cs="Times New Roman"/>
          <w:u w:val="none" w:color="auto"/>
        </w:rPr>
      </w:pPr>
    </w:p>
    <w:p w14:paraId="0236E654">
      <w:pPr>
        <w:rPr>
          <w:rFonts w:hint="default" w:ascii="Times New Roman" w:hAnsi="Times New Roman" w:cs="Times New Roman"/>
          <w:u w:val="none" w:color="auto"/>
          <w:lang w:val="en-US" w:eastAsia="zh-CN"/>
        </w:rPr>
      </w:pPr>
    </w:p>
    <w:p w14:paraId="68287F4A">
      <w:pPr>
        <w:spacing w:before="104" w:line="222" w:lineRule="auto"/>
        <w:ind w:left="643"/>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一、收入支出决算总体情况说明</w:t>
      </w:r>
    </w:p>
    <w:p w14:paraId="557A922C">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jc w:val="both"/>
        <w:textAlignment w:val="baseline"/>
        <w:rPr>
          <w:rFonts w:hint="default" w:ascii="Times New Roman" w:hAnsi="Times New Roman" w:eastAsia="仿宋_GB2312" w:cs="Times New Roman"/>
          <w:spacing w:val="-5"/>
          <w:u w:val="none" w:color="auto"/>
          <w:lang w:val="en-US" w:eastAsia="zh-CN"/>
        </w:rPr>
      </w:pP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0"/>
          <w:u w:val="none" w:color="auto"/>
        </w:rPr>
        <w:t xml:space="preserve"> </w:t>
      </w:r>
      <w:r>
        <w:rPr>
          <w:rFonts w:hint="default" w:ascii="Times New Roman" w:hAnsi="Times New Roman" w:eastAsia="仿宋_GB2312" w:cs="Times New Roman"/>
          <w:spacing w:val="-5"/>
          <w:u w:val="none" w:color="auto"/>
        </w:rPr>
        <w:t>年度收、支总计</w:t>
      </w:r>
      <w:r>
        <w:rPr>
          <w:rFonts w:hint="eastAsia" w:ascii="Times New Roman" w:hAnsi="Times New Roman" w:eastAsia="仿宋_GB2312" w:cs="Times New Roman"/>
          <w:spacing w:val="-5"/>
          <w:u w:val="none" w:color="auto"/>
          <w:lang w:val="en-US" w:eastAsia="zh-CN"/>
        </w:rPr>
        <w:t>2090.89</w:t>
      </w:r>
      <w:r>
        <w:rPr>
          <w:rFonts w:hint="default" w:ascii="Times New Roman" w:hAnsi="Times New Roman" w:eastAsia="仿宋_GB2312" w:cs="Times New Roman"/>
          <w:spacing w:val="-5"/>
          <w:u w:val="none" w:color="auto"/>
        </w:rPr>
        <w:t>万元。与</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3</w:t>
      </w:r>
      <w:r>
        <w:rPr>
          <w:rFonts w:hint="default" w:ascii="Times New Roman" w:hAnsi="Times New Roman" w:eastAsia="仿宋_GB2312" w:cs="Times New Roman"/>
          <w:spacing w:val="-64"/>
          <w:u w:val="none" w:color="auto"/>
        </w:rPr>
        <w:t xml:space="preserve"> </w:t>
      </w:r>
      <w:r>
        <w:rPr>
          <w:rFonts w:hint="default" w:ascii="Times New Roman" w:hAnsi="Times New Roman" w:eastAsia="仿宋_GB2312" w:cs="Times New Roman"/>
          <w:spacing w:val="-5"/>
          <w:u w:val="none" w:color="auto"/>
        </w:rPr>
        <w:t>年度相比，收、</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支总计各增加</w:t>
      </w:r>
      <w:r>
        <w:rPr>
          <w:rFonts w:hint="eastAsia" w:ascii="Times New Roman" w:hAnsi="Times New Roman" w:eastAsia="仿宋_GB2312" w:cs="Times New Roman"/>
          <w:spacing w:val="-1"/>
          <w:u w:val="none" w:color="auto"/>
          <w:lang w:val="en-US" w:eastAsia="zh-CN"/>
        </w:rPr>
        <w:t>300.23</w:t>
      </w:r>
      <w:r>
        <w:rPr>
          <w:rFonts w:hint="default" w:ascii="Times New Roman" w:hAnsi="Times New Roman" w:eastAsia="仿宋_GB2312" w:cs="Times New Roman"/>
          <w:spacing w:val="-1"/>
          <w:u w:val="none" w:color="auto"/>
        </w:rPr>
        <w:t>万元，增长</w:t>
      </w:r>
      <w:r>
        <w:rPr>
          <w:rFonts w:hint="eastAsia" w:ascii="Times New Roman" w:hAnsi="Times New Roman" w:eastAsia="仿宋_GB2312" w:cs="Times New Roman"/>
          <w:spacing w:val="-1"/>
          <w:u w:val="none" w:color="auto"/>
          <w:lang w:val="en-US" w:eastAsia="zh-CN"/>
        </w:rPr>
        <w:t>16.77</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43"/>
          <w:u w:val="none" w:color="auto"/>
        </w:rPr>
        <w:t xml:space="preserve"> </w:t>
      </w:r>
      <w:r>
        <w:rPr>
          <w:rFonts w:hint="default" w:ascii="Times New Roman" w:hAnsi="Times New Roman" w:eastAsia="仿宋_GB2312" w:cs="Times New Roman"/>
          <w:spacing w:val="-1"/>
          <w:u w:val="none" w:color="auto"/>
        </w:rPr>
        <w:t>%</w:t>
      </w:r>
      <w:r>
        <w:rPr>
          <w:rFonts w:hint="default" w:ascii="Times New Roman" w:hAnsi="Times New Roman" w:eastAsia="仿宋_GB2312" w:cs="Times New Roman"/>
          <w:spacing w:val="-5"/>
          <w:u w:val="none" w:color="auto"/>
        </w:rPr>
        <w:t>，主要原因是202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
          <w:u w:val="none" w:color="auto"/>
        </w:rPr>
        <w:t>年</w:t>
      </w:r>
      <w:r>
        <w:rPr>
          <w:rFonts w:hint="eastAsia" w:ascii="Times New Roman" w:hAnsi="Times New Roman" w:eastAsia="仿宋_GB2312" w:cs="Times New Roman"/>
          <w:spacing w:val="-5"/>
          <w:u w:val="none" w:color="auto"/>
          <w:lang w:val="en-US" w:eastAsia="zh-CN"/>
        </w:rPr>
        <w:t>我校班额数、学生数、教师人数均有增加，开支增大。</w:t>
      </w:r>
    </w:p>
    <w:p w14:paraId="00AB52AE">
      <w:pPr>
        <w:pStyle w:val="3"/>
        <w:spacing w:before="74" w:line="224" w:lineRule="auto"/>
        <w:jc w:val="center"/>
        <w:rPr>
          <w:rFonts w:hint="default" w:ascii="Times New Roman" w:hAnsi="Times New Roman" w:eastAsia="楷体_GB2312" w:cs="Times New Roman"/>
          <w:spacing w:val="3"/>
          <w:sz w:val="32"/>
          <w:szCs w:val="32"/>
          <w:u w:val="none" w:color="auto"/>
        </w:rPr>
      </w:pPr>
      <w:r>
        <w:drawing>
          <wp:anchor distT="0" distB="0" distL="114300" distR="114300" simplePos="0" relativeHeight="251659264" behindDoc="1" locked="0" layoutInCell="1" allowOverlap="1">
            <wp:simplePos x="0" y="0"/>
            <wp:positionH relativeFrom="column">
              <wp:posOffset>678815</wp:posOffset>
            </wp:positionH>
            <wp:positionV relativeFrom="paragraph">
              <wp:posOffset>309880</wp:posOffset>
            </wp:positionV>
            <wp:extent cx="4100830" cy="2743200"/>
            <wp:effectExtent l="4445" t="4445" r="9525" b="10795"/>
            <wp:wrapTight wrapText="bothSides">
              <wp:wrapPolygon>
                <wp:start x="-23" y="-35"/>
                <wp:lineTo x="-23" y="21565"/>
                <wp:lineTo x="21570" y="21565"/>
                <wp:lineTo x="21570" y="-35"/>
                <wp:lineTo x="-23" y="-35"/>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楷体_GB2312" w:cs="Times New Roman"/>
          <w:spacing w:val="3"/>
          <w:sz w:val="32"/>
          <w:szCs w:val="32"/>
          <w:u w:val="none" w:color="auto"/>
        </w:rPr>
        <w:t>图</w:t>
      </w:r>
      <w:r>
        <w:rPr>
          <w:rFonts w:hint="default" w:ascii="Times New Roman" w:hAnsi="Times New Roman" w:eastAsia="楷体_GB2312" w:cs="Times New Roman"/>
          <w:spacing w:val="-32"/>
          <w:sz w:val="32"/>
          <w:szCs w:val="32"/>
          <w:u w:val="none" w:color="auto"/>
        </w:rPr>
        <w:t xml:space="preserve"> </w:t>
      </w:r>
      <w:r>
        <w:rPr>
          <w:rFonts w:hint="default" w:ascii="Times New Roman" w:hAnsi="Times New Roman" w:eastAsia="楷体_GB2312" w:cs="Times New Roman"/>
          <w:spacing w:val="3"/>
          <w:sz w:val="32"/>
          <w:szCs w:val="32"/>
          <w:u w:val="none" w:color="auto"/>
        </w:rPr>
        <w:t>1：收、支决算总计变动情况</w:t>
      </w:r>
    </w:p>
    <w:p w14:paraId="69AD3B11">
      <w:pPr>
        <w:pStyle w:val="3"/>
        <w:spacing w:before="74" w:line="224" w:lineRule="auto"/>
        <w:jc w:val="center"/>
        <w:rPr>
          <w:rFonts w:hint="default" w:ascii="Times New Roman" w:hAnsi="Times New Roman" w:eastAsia="楷体_GB2312" w:cs="Times New Roman"/>
          <w:spacing w:val="3"/>
          <w:sz w:val="32"/>
          <w:szCs w:val="32"/>
          <w:u w:val="none" w:color="auto"/>
        </w:rPr>
      </w:pPr>
    </w:p>
    <w:p w14:paraId="6ECFB569">
      <w:pPr>
        <w:pStyle w:val="3"/>
        <w:spacing w:before="74" w:line="224" w:lineRule="auto"/>
        <w:jc w:val="center"/>
        <w:rPr>
          <w:rFonts w:hint="eastAsia" w:ascii="Times New Roman" w:hAnsi="Times New Roman" w:eastAsia="楷体_GB2312" w:cs="Times New Roman"/>
          <w:spacing w:val="3"/>
          <w:sz w:val="32"/>
          <w:szCs w:val="32"/>
          <w:u w:val="none" w:color="auto"/>
          <w:lang w:val="en-US" w:eastAsia="zh-CN"/>
        </w:rPr>
      </w:pPr>
    </w:p>
    <w:p w14:paraId="349E39E0">
      <w:pPr>
        <w:spacing w:before="60" w:line="3586" w:lineRule="exact"/>
        <w:jc w:val="center"/>
        <w:rPr>
          <w:rFonts w:hint="default" w:ascii="Times New Roman" w:hAnsi="Times New Roman" w:cs="Times New Roman"/>
          <w:u w:val="none" w:color="auto"/>
        </w:rPr>
      </w:pPr>
    </w:p>
    <w:p w14:paraId="7C0B2CCB">
      <w:pPr>
        <w:spacing w:before="294" w:line="222" w:lineRule="auto"/>
        <w:ind w:left="643"/>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二、收入决算情况说明</w:t>
      </w:r>
    </w:p>
    <w:p w14:paraId="2E9F70EB">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年度收入合计2090.</w:t>
      </w:r>
      <w:r>
        <w:rPr>
          <w:rFonts w:hint="eastAsia" w:ascii="仿宋_GB2312" w:hAnsi="仿宋_GB2312" w:eastAsia="仿宋_GB2312" w:cs="仿宋_GB2312"/>
          <w:bCs/>
          <w:kern w:val="44"/>
          <w:sz w:val="32"/>
          <w:szCs w:val="32"/>
          <w:highlight w:val="none"/>
          <w:u w:val="none" w:color="auto"/>
          <w:lang w:val="en-US" w:eastAsia="zh-CN"/>
        </w:rPr>
        <w:t>62</w:t>
      </w:r>
      <w:r>
        <w:rPr>
          <w:rFonts w:hint="eastAsia" w:ascii="仿宋_GB2312" w:hAnsi="仿宋_GB2312" w:eastAsia="仿宋_GB2312" w:cs="仿宋_GB2312"/>
          <w:bCs/>
          <w:kern w:val="44"/>
          <w:sz w:val="32"/>
          <w:szCs w:val="32"/>
          <w:highlight w:val="none"/>
          <w:u w:val="none" w:color="auto"/>
        </w:rPr>
        <w:t>万元</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bCs/>
          <w:sz w:val="32"/>
          <w:szCs w:val="32"/>
          <w:highlight w:val="none"/>
          <w:u w:val="none" w:color="auto"/>
          <w:lang w:val="en-US" w:eastAsia="zh-CN"/>
        </w:rPr>
        <w:t>与2023年度相比，收入合计增加338.03万元，增长19.28%，主要原因是</w:t>
      </w:r>
      <w:r>
        <w:rPr>
          <w:rFonts w:hint="default" w:ascii="仿宋_GB2312" w:hAnsi="仿宋_GB2312" w:eastAsia="仿宋_GB2312" w:cs="仿宋_GB2312"/>
          <w:bCs/>
          <w:sz w:val="32"/>
          <w:szCs w:val="32"/>
          <w:highlight w:val="none"/>
          <w:u w:val="none" w:color="auto"/>
          <w:lang w:val="en-US" w:eastAsia="zh-CN"/>
        </w:rPr>
        <w:t>202</w:t>
      </w:r>
      <w:r>
        <w:rPr>
          <w:rFonts w:hint="eastAsia" w:ascii="仿宋_GB2312" w:hAnsi="仿宋_GB2312" w:eastAsia="仿宋_GB2312" w:cs="仿宋_GB2312"/>
          <w:bCs/>
          <w:sz w:val="32"/>
          <w:szCs w:val="32"/>
          <w:highlight w:val="none"/>
          <w:u w:val="none" w:color="auto"/>
          <w:lang w:val="en-US" w:eastAsia="zh-CN"/>
        </w:rPr>
        <w:t>4</w:t>
      </w:r>
      <w:r>
        <w:rPr>
          <w:rFonts w:hint="default" w:ascii="仿宋_GB2312" w:hAnsi="仿宋_GB2312" w:eastAsia="仿宋_GB2312" w:cs="仿宋_GB2312"/>
          <w:bCs/>
          <w:sz w:val="32"/>
          <w:szCs w:val="32"/>
          <w:highlight w:val="none"/>
          <w:u w:val="none" w:color="auto"/>
          <w:lang w:val="en-US" w:eastAsia="zh-CN"/>
        </w:rPr>
        <w:t>年</w:t>
      </w:r>
      <w:r>
        <w:rPr>
          <w:rFonts w:hint="eastAsia" w:ascii="仿宋_GB2312" w:hAnsi="仿宋_GB2312" w:eastAsia="仿宋_GB2312" w:cs="仿宋_GB2312"/>
          <w:bCs/>
          <w:sz w:val="32"/>
          <w:szCs w:val="32"/>
          <w:highlight w:val="none"/>
          <w:u w:val="none" w:color="auto"/>
          <w:lang w:val="en-US" w:eastAsia="zh-CN"/>
        </w:rPr>
        <w:t>我校班额数、学生数、教师人数均有增加。其中：财政拨款收入1996.63</w:t>
      </w:r>
      <w:r>
        <w:rPr>
          <w:rFonts w:hint="eastAsia" w:ascii="仿宋_GB2312" w:hAnsi="仿宋_GB2312" w:eastAsia="仿宋_GB2312" w:cs="仿宋_GB2312"/>
          <w:bCs/>
          <w:kern w:val="44"/>
          <w:sz w:val="32"/>
          <w:szCs w:val="32"/>
          <w:highlight w:val="none"/>
          <w:u w:val="none" w:color="auto"/>
        </w:rPr>
        <w:t>万元，占本年收入</w:t>
      </w:r>
      <w:r>
        <w:rPr>
          <w:rFonts w:hint="eastAsia" w:ascii="仿宋_GB2312" w:hAnsi="仿宋_GB2312" w:eastAsia="仿宋_GB2312" w:cs="仿宋_GB2312"/>
          <w:bCs/>
          <w:kern w:val="44"/>
          <w:sz w:val="32"/>
          <w:szCs w:val="32"/>
          <w:highlight w:val="none"/>
          <w:u w:val="none" w:color="auto"/>
          <w:lang w:val="en-US" w:eastAsia="zh-CN"/>
        </w:rPr>
        <w:t>95.5</w:t>
      </w:r>
      <w:r>
        <w:rPr>
          <w:rFonts w:hint="eastAsia" w:ascii="仿宋_GB2312" w:hAnsi="仿宋_GB2312" w:eastAsia="仿宋_GB2312" w:cs="仿宋_GB2312"/>
          <w:bCs/>
          <w:kern w:val="44"/>
          <w:sz w:val="32"/>
          <w:szCs w:val="32"/>
          <w:highlight w:val="none"/>
          <w:u w:val="none" w:color="auto"/>
        </w:rPr>
        <w:t>%；其他收入</w:t>
      </w:r>
      <w:r>
        <w:rPr>
          <w:rFonts w:hint="eastAsia" w:ascii="仿宋_GB2312" w:hAnsi="仿宋_GB2312" w:eastAsia="仿宋_GB2312" w:cs="仿宋_GB2312"/>
          <w:bCs/>
          <w:kern w:val="44"/>
          <w:sz w:val="32"/>
          <w:szCs w:val="32"/>
          <w:highlight w:val="none"/>
          <w:u w:val="none" w:color="auto"/>
          <w:lang w:val="en-US" w:eastAsia="zh-CN"/>
        </w:rPr>
        <w:t>93.99</w:t>
      </w:r>
      <w:r>
        <w:rPr>
          <w:rFonts w:hint="eastAsia" w:ascii="仿宋_GB2312" w:hAnsi="仿宋_GB2312" w:eastAsia="仿宋_GB2312" w:cs="仿宋_GB2312"/>
          <w:bCs/>
          <w:kern w:val="44"/>
          <w:sz w:val="32"/>
          <w:szCs w:val="32"/>
          <w:highlight w:val="none"/>
          <w:u w:val="none" w:color="auto"/>
        </w:rPr>
        <w:t>万元，占本年收入</w:t>
      </w:r>
      <w:r>
        <w:rPr>
          <w:rFonts w:hint="eastAsia" w:ascii="仿宋_GB2312" w:hAnsi="仿宋_GB2312" w:eastAsia="仿宋_GB2312" w:cs="仿宋_GB2312"/>
          <w:bCs/>
          <w:kern w:val="44"/>
          <w:sz w:val="32"/>
          <w:szCs w:val="32"/>
          <w:highlight w:val="none"/>
          <w:u w:val="none" w:color="auto"/>
          <w:lang w:val="en-US" w:eastAsia="zh-CN"/>
        </w:rPr>
        <w:t>4.5</w:t>
      </w:r>
      <w:r>
        <w:rPr>
          <w:rFonts w:hint="eastAsia" w:ascii="仿宋_GB2312" w:hAnsi="仿宋_GB2312" w:eastAsia="仿宋_GB2312" w:cs="仿宋_GB2312"/>
          <w:bCs/>
          <w:kern w:val="44"/>
          <w:sz w:val="32"/>
          <w:szCs w:val="32"/>
          <w:highlight w:val="none"/>
          <w:u w:val="none" w:color="auto"/>
        </w:rPr>
        <w:t>%。</w:t>
      </w:r>
    </w:p>
    <w:p w14:paraId="40EDE083">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p>
    <w:p w14:paraId="4F70C10C">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 2：收入决算结构</w:t>
      </w:r>
    </w:p>
    <w:p w14:paraId="5DE9BFE4">
      <w:pPr>
        <w:spacing w:line="269" w:lineRule="auto"/>
        <w:jc w:val="center"/>
        <w:rPr>
          <w:rFonts w:hint="default" w:ascii="Times New Roman" w:hAnsi="Times New Roman" w:cs="Times New Roman"/>
          <w:sz w:val="21"/>
          <w:u w:val="none" w:color="auto"/>
        </w:rPr>
      </w:pPr>
      <w:r>
        <w:drawing>
          <wp:inline distT="0" distB="0" distL="114300" distR="114300">
            <wp:extent cx="4168140" cy="2566035"/>
            <wp:effectExtent l="4445" t="4445" r="18415" b="50800"/>
            <wp:docPr id="7" name="图表 6"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C35F27">
      <w:pPr>
        <w:rPr>
          <w:rFonts w:hint="default" w:ascii="Times New Roman" w:hAnsi="Times New Roman" w:cs="Times New Roman"/>
          <w:sz w:val="21"/>
          <w:u w:val="none" w:color="auto"/>
        </w:rPr>
      </w:pPr>
    </w:p>
    <w:p w14:paraId="0291B4B5">
      <w:pPr>
        <w:spacing w:line="241" w:lineRule="auto"/>
        <w:rPr>
          <w:rFonts w:hint="default" w:ascii="Times New Roman" w:hAnsi="Times New Roman" w:cs="Times New Roman"/>
          <w:sz w:val="21"/>
          <w:u w:val="none" w:color="auto"/>
        </w:rPr>
      </w:pPr>
    </w:p>
    <w:p w14:paraId="31902B30">
      <w:pPr>
        <w:spacing w:before="104" w:line="222" w:lineRule="auto"/>
        <w:ind w:left="642"/>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三、支出决算情况说明</w:t>
      </w:r>
    </w:p>
    <w:p w14:paraId="661C31CB">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年度支出合计2090.89万元</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sz w:val="32"/>
          <w:szCs w:val="32"/>
          <w:u w:val="none" w:color="auto"/>
          <w:lang w:val="en-US" w:eastAsia="zh-CN"/>
        </w:rPr>
        <w:t>与2023年度相比，支出合计增加300.49万元，增长16.78%，主要原因是</w:t>
      </w:r>
      <w:r>
        <w:rPr>
          <w:rFonts w:hint="default" w:ascii="仿宋_GB2312" w:hAnsi="仿宋_GB2312" w:eastAsia="仿宋_GB2312" w:cs="仿宋_GB2312"/>
          <w:bCs/>
          <w:sz w:val="32"/>
          <w:szCs w:val="32"/>
          <w:highlight w:val="none"/>
          <w:u w:val="none" w:color="auto"/>
          <w:lang w:val="en-US" w:eastAsia="zh-CN"/>
        </w:rPr>
        <w:t>202</w:t>
      </w:r>
      <w:r>
        <w:rPr>
          <w:rFonts w:hint="eastAsia" w:ascii="仿宋_GB2312" w:hAnsi="仿宋_GB2312" w:eastAsia="仿宋_GB2312" w:cs="仿宋_GB2312"/>
          <w:bCs/>
          <w:sz w:val="32"/>
          <w:szCs w:val="32"/>
          <w:highlight w:val="none"/>
          <w:u w:val="none" w:color="auto"/>
          <w:lang w:val="en-US" w:eastAsia="zh-CN"/>
        </w:rPr>
        <w:t>4</w:t>
      </w:r>
      <w:r>
        <w:rPr>
          <w:rFonts w:hint="default" w:ascii="仿宋_GB2312" w:hAnsi="仿宋_GB2312" w:eastAsia="仿宋_GB2312" w:cs="仿宋_GB2312"/>
          <w:bCs/>
          <w:sz w:val="32"/>
          <w:szCs w:val="32"/>
          <w:highlight w:val="none"/>
          <w:u w:val="none" w:color="auto"/>
          <w:lang w:val="en-US" w:eastAsia="zh-CN"/>
        </w:rPr>
        <w:t>年</w:t>
      </w:r>
      <w:r>
        <w:rPr>
          <w:rFonts w:hint="eastAsia" w:ascii="仿宋_GB2312" w:hAnsi="仿宋_GB2312" w:eastAsia="仿宋_GB2312" w:cs="仿宋_GB2312"/>
          <w:bCs/>
          <w:sz w:val="32"/>
          <w:szCs w:val="32"/>
          <w:highlight w:val="none"/>
          <w:u w:val="none" w:color="auto"/>
          <w:lang w:val="en-US" w:eastAsia="zh-CN"/>
        </w:rPr>
        <w:t>我校班额数、学生数、教师人数均有增加</w:t>
      </w:r>
      <w:r>
        <w:rPr>
          <w:rFonts w:hint="eastAsia" w:ascii="仿宋_GB2312" w:hAnsi="仿宋_GB2312" w:eastAsia="仿宋_GB2312" w:cs="仿宋_GB2312"/>
          <w:sz w:val="32"/>
          <w:szCs w:val="32"/>
          <w:u w:val="none" w:color="auto"/>
          <w:lang w:val="en-US" w:eastAsia="zh-CN"/>
        </w:rPr>
        <w:t>。</w:t>
      </w:r>
      <w:r>
        <w:rPr>
          <w:rFonts w:hint="eastAsia" w:ascii="仿宋_GB2312" w:hAnsi="仿宋_GB2312" w:eastAsia="仿宋_GB2312" w:cs="仿宋_GB2312"/>
          <w:bCs/>
          <w:kern w:val="44"/>
          <w:sz w:val="32"/>
          <w:szCs w:val="32"/>
          <w:highlight w:val="none"/>
          <w:u w:val="none" w:color="auto"/>
        </w:rPr>
        <w:t>其中：基本支出1991.86万元，占本年支出</w:t>
      </w:r>
      <w:r>
        <w:rPr>
          <w:rFonts w:hint="eastAsia" w:ascii="仿宋_GB2312" w:hAnsi="仿宋_GB2312" w:eastAsia="仿宋_GB2312" w:cs="仿宋_GB2312"/>
          <w:bCs/>
          <w:kern w:val="44"/>
          <w:sz w:val="32"/>
          <w:szCs w:val="32"/>
          <w:highlight w:val="none"/>
          <w:u w:val="none" w:color="auto"/>
          <w:lang w:val="en-US" w:eastAsia="zh-CN"/>
        </w:rPr>
        <w:t>95.26</w:t>
      </w:r>
      <w:r>
        <w:rPr>
          <w:rFonts w:hint="eastAsia" w:ascii="仿宋_GB2312" w:hAnsi="仿宋_GB2312" w:eastAsia="仿宋_GB2312" w:cs="仿宋_GB2312"/>
          <w:bCs/>
          <w:kern w:val="44"/>
          <w:sz w:val="32"/>
          <w:szCs w:val="32"/>
          <w:highlight w:val="none"/>
          <w:u w:val="none" w:color="auto"/>
        </w:rPr>
        <w:t>%；项目支出99.03万元，占本年支出</w:t>
      </w:r>
      <w:r>
        <w:rPr>
          <w:rFonts w:hint="eastAsia" w:ascii="仿宋_GB2312" w:hAnsi="仿宋_GB2312" w:eastAsia="仿宋_GB2312" w:cs="仿宋_GB2312"/>
          <w:bCs/>
          <w:kern w:val="44"/>
          <w:sz w:val="32"/>
          <w:szCs w:val="32"/>
          <w:highlight w:val="none"/>
          <w:u w:val="none" w:color="auto"/>
          <w:lang w:val="en-US" w:eastAsia="zh-CN"/>
        </w:rPr>
        <w:t>4.74</w:t>
      </w:r>
      <w:r>
        <w:rPr>
          <w:rFonts w:hint="eastAsia" w:ascii="仿宋_GB2312" w:hAnsi="仿宋_GB2312" w:eastAsia="仿宋_GB2312" w:cs="仿宋_GB2312"/>
          <w:bCs/>
          <w:kern w:val="44"/>
          <w:sz w:val="32"/>
          <w:szCs w:val="32"/>
          <w:highlight w:val="none"/>
          <w:u w:val="none" w:color="auto"/>
        </w:rPr>
        <w:t>%。</w:t>
      </w:r>
    </w:p>
    <w:p w14:paraId="3FE7EFDE">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r>
        <w:drawing>
          <wp:anchor distT="0" distB="0" distL="114300" distR="114300" simplePos="0" relativeHeight="251660288" behindDoc="0" locked="0" layoutInCell="1" allowOverlap="1">
            <wp:simplePos x="0" y="0"/>
            <wp:positionH relativeFrom="column">
              <wp:posOffset>915670</wp:posOffset>
            </wp:positionH>
            <wp:positionV relativeFrom="paragraph">
              <wp:posOffset>443865</wp:posOffset>
            </wp:positionV>
            <wp:extent cx="4107815" cy="2378710"/>
            <wp:effectExtent l="4445" t="4445" r="17780" b="9525"/>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楷体_GB2312" w:cs="Times New Roman"/>
          <w:spacing w:val="3"/>
          <w:sz w:val="32"/>
          <w:szCs w:val="32"/>
          <w:u w:val="none" w:color="auto"/>
        </w:rPr>
        <w:t>图 3：支出决算结构</w:t>
      </w:r>
    </w:p>
    <w:p w14:paraId="5168C29C">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四、财政拨款收入支出决算总体情况说明</w:t>
      </w:r>
    </w:p>
    <w:p w14:paraId="778C5936">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年度财政拨款收、支总计1996.63万元。与20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相比，财政拨款收、支总计各增加</w:t>
      </w:r>
      <w:r>
        <w:rPr>
          <w:rFonts w:hint="eastAsia" w:ascii="仿宋_GB2312" w:hAnsi="仿宋_GB2312" w:eastAsia="仿宋_GB2312" w:cs="仿宋_GB2312"/>
          <w:bCs/>
          <w:kern w:val="44"/>
          <w:sz w:val="32"/>
          <w:szCs w:val="32"/>
          <w:highlight w:val="none"/>
          <w:u w:val="none" w:color="auto"/>
          <w:lang w:val="en-US" w:eastAsia="zh-CN"/>
        </w:rPr>
        <w:t>292.23</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17.15</w:t>
      </w:r>
      <w:r>
        <w:rPr>
          <w:rFonts w:hint="eastAsia" w:ascii="仿宋_GB2312" w:hAnsi="仿宋_GB2312" w:eastAsia="仿宋_GB2312" w:cs="仿宋_GB2312"/>
          <w:bCs/>
          <w:kern w:val="44"/>
          <w:sz w:val="32"/>
          <w:szCs w:val="32"/>
          <w:highlight w:val="none"/>
          <w:u w:val="none" w:color="auto"/>
        </w:rPr>
        <w:t>%。主要原因是</w:t>
      </w:r>
      <w:r>
        <w:rPr>
          <w:rFonts w:hint="default" w:ascii="仿宋_GB2312" w:hAnsi="仿宋_GB2312" w:eastAsia="仿宋_GB2312" w:cs="仿宋_GB2312"/>
          <w:bCs/>
          <w:sz w:val="32"/>
          <w:szCs w:val="32"/>
          <w:highlight w:val="none"/>
          <w:u w:val="none" w:color="auto"/>
          <w:lang w:val="en-US" w:eastAsia="zh-CN"/>
        </w:rPr>
        <w:t>202</w:t>
      </w:r>
      <w:r>
        <w:rPr>
          <w:rFonts w:hint="eastAsia" w:ascii="仿宋_GB2312" w:hAnsi="仿宋_GB2312" w:eastAsia="仿宋_GB2312" w:cs="仿宋_GB2312"/>
          <w:bCs/>
          <w:sz w:val="32"/>
          <w:szCs w:val="32"/>
          <w:highlight w:val="none"/>
          <w:u w:val="none" w:color="auto"/>
          <w:lang w:val="en-US" w:eastAsia="zh-CN"/>
        </w:rPr>
        <w:t>4</w:t>
      </w:r>
      <w:r>
        <w:rPr>
          <w:rFonts w:hint="default" w:ascii="仿宋_GB2312" w:hAnsi="仿宋_GB2312" w:eastAsia="仿宋_GB2312" w:cs="仿宋_GB2312"/>
          <w:bCs/>
          <w:sz w:val="32"/>
          <w:szCs w:val="32"/>
          <w:highlight w:val="none"/>
          <w:u w:val="none" w:color="auto"/>
          <w:lang w:val="en-US" w:eastAsia="zh-CN"/>
        </w:rPr>
        <w:t>年</w:t>
      </w:r>
      <w:r>
        <w:rPr>
          <w:rFonts w:hint="eastAsia" w:ascii="仿宋_GB2312" w:hAnsi="仿宋_GB2312" w:eastAsia="仿宋_GB2312" w:cs="仿宋_GB2312"/>
          <w:bCs/>
          <w:sz w:val="32"/>
          <w:szCs w:val="32"/>
          <w:highlight w:val="none"/>
          <w:u w:val="none" w:color="auto"/>
          <w:lang w:val="en-US" w:eastAsia="zh-CN"/>
        </w:rPr>
        <w:t>我校班额数、学生数、教师人数均有增加</w:t>
      </w:r>
      <w:r>
        <w:rPr>
          <w:rFonts w:hint="eastAsia" w:ascii="仿宋_GB2312" w:hAnsi="仿宋_GB2312" w:eastAsia="仿宋_GB2312" w:cs="仿宋_GB2312"/>
          <w:bCs/>
          <w:kern w:val="44"/>
          <w:sz w:val="32"/>
          <w:szCs w:val="32"/>
          <w:highlight w:val="none"/>
          <w:u w:val="none" w:color="auto"/>
        </w:rPr>
        <w:t>。</w:t>
      </w:r>
    </w:p>
    <w:p w14:paraId="75F61969">
      <w:pPr>
        <w:pageBreakBefore w:val="0"/>
        <w:widowControl w:val="0"/>
        <w:kinsoku/>
        <w:wordWrap/>
        <w:overflowPunct/>
        <w:topLinePunct w:val="0"/>
        <w:bidi w:val="0"/>
        <w:adjustRightInd w:val="0"/>
        <w:snapToGrid w:val="0"/>
        <w:spacing w:line="600" w:lineRule="exact"/>
        <w:ind w:firstLine="640" w:firstLineChars="200"/>
        <w:textAlignment w:val="auto"/>
        <w:rPr>
          <w:rFonts w:hint="default" w:ascii="仿宋_GB2312" w:hAnsi="仿宋_GB2312" w:eastAsia="仿宋_GB2312" w:cs="仿宋_GB2312"/>
          <w:bCs/>
          <w:kern w:val="44"/>
          <w:sz w:val="32"/>
          <w:szCs w:val="32"/>
          <w:highlight w:val="none"/>
          <w:u w:val="none" w:color="auto"/>
          <w:lang w:eastAsia="zh-CN"/>
        </w:rPr>
      </w:pPr>
      <w:r>
        <w:rPr>
          <w:rFonts w:hint="eastAsia" w:ascii="仿宋_GB2312" w:hAnsi="仿宋_GB2312" w:eastAsia="仿宋_GB2312" w:cs="仿宋_GB2312"/>
          <w:bCs/>
          <w:kern w:val="44"/>
          <w:sz w:val="32"/>
          <w:szCs w:val="32"/>
          <w:highlight w:val="none"/>
          <w:u w:val="none" w:color="auto"/>
          <w:lang w:val="en-US" w:eastAsia="zh-CN"/>
        </w:rPr>
        <w:t>2024年度财政拨款收入中，一般公共预算财政拨款收入</w:t>
      </w:r>
      <w:r>
        <w:rPr>
          <w:rFonts w:hint="eastAsia" w:ascii="仿宋_GB2312" w:hAnsi="仿宋_GB2312" w:eastAsia="仿宋_GB2312" w:cs="仿宋_GB2312"/>
          <w:bCs/>
          <w:kern w:val="44"/>
          <w:sz w:val="32"/>
          <w:szCs w:val="32"/>
          <w:highlight w:val="none"/>
          <w:u w:val="none" w:color="auto"/>
        </w:rPr>
        <w:t>1996.63万元</w:t>
      </w:r>
      <w:r>
        <w:rPr>
          <w:rFonts w:hint="eastAsia" w:ascii="仿宋_GB2312" w:hAnsi="仿宋_GB2312" w:eastAsia="仿宋_GB2312" w:cs="仿宋_GB2312"/>
          <w:bCs/>
          <w:kern w:val="44"/>
          <w:sz w:val="32"/>
          <w:szCs w:val="32"/>
          <w:highlight w:val="none"/>
          <w:u w:val="none" w:color="auto"/>
          <w:lang w:eastAsia="zh-CN"/>
        </w:rPr>
        <w:t>，比</w:t>
      </w:r>
      <w:r>
        <w:rPr>
          <w:rFonts w:hint="eastAsia" w:ascii="仿宋_GB2312" w:hAnsi="仿宋_GB2312" w:eastAsia="仿宋_GB2312" w:cs="仿宋_GB2312"/>
          <w:bCs/>
          <w:kern w:val="44"/>
          <w:sz w:val="32"/>
          <w:szCs w:val="32"/>
          <w:highlight w:val="none"/>
          <w:u w:val="none" w:color="auto"/>
          <w:lang w:val="en-US" w:eastAsia="zh-CN"/>
        </w:rPr>
        <w:t>2023年度决算数增加292.23</w:t>
      </w:r>
      <w:r>
        <w:rPr>
          <w:rFonts w:hint="eastAsia" w:ascii="仿宋_GB2312" w:hAnsi="仿宋_GB2312" w:eastAsia="仿宋_GB2312" w:cs="仿宋_GB2312"/>
          <w:bCs/>
          <w:kern w:val="44"/>
          <w:sz w:val="32"/>
          <w:szCs w:val="32"/>
          <w:highlight w:val="none"/>
          <w:u w:val="none" w:color="auto"/>
        </w:rPr>
        <w:t>万元</w:t>
      </w:r>
      <w:r>
        <w:rPr>
          <w:rFonts w:hint="eastAsia" w:ascii="仿宋_GB2312" w:hAnsi="仿宋_GB2312" w:eastAsia="仿宋_GB2312" w:cs="仿宋_GB2312"/>
          <w:bCs/>
          <w:kern w:val="44"/>
          <w:sz w:val="32"/>
          <w:szCs w:val="32"/>
          <w:highlight w:val="none"/>
          <w:u w:val="none" w:color="auto"/>
          <w:lang w:val="en-US" w:eastAsia="zh-CN"/>
        </w:rPr>
        <w:t>。</w:t>
      </w:r>
      <w:r>
        <w:rPr>
          <w:rFonts w:hint="eastAsia" w:ascii="仿宋_GB2312" w:hAnsi="仿宋_GB2312" w:eastAsia="仿宋_GB2312" w:cs="仿宋_GB2312"/>
          <w:bCs/>
          <w:kern w:val="44"/>
          <w:sz w:val="32"/>
          <w:szCs w:val="32"/>
          <w:highlight w:val="none"/>
          <w:u w:val="none" w:color="auto"/>
          <w:lang w:eastAsia="zh-CN"/>
        </w:rPr>
        <w:t>增加(减少)</w:t>
      </w:r>
      <w:r>
        <w:rPr>
          <w:rFonts w:hint="eastAsia" w:ascii="仿宋_GB2312" w:hAnsi="仿宋_GB2312" w:eastAsia="仿宋_GB2312" w:cs="仿宋_GB2312"/>
          <w:bCs/>
          <w:kern w:val="44"/>
          <w:sz w:val="32"/>
          <w:szCs w:val="32"/>
          <w:highlight w:val="none"/>
          <w:u w:val="none" w:color="auto"/>
        </w:rPr>
        <w:t>主要原因是</w:t>
      </w:r>
      <w:r>
        <w:rPr>
          <w:rFonts w:hint="default" w:ascii="仿宋_GB2312" w:hAnsi="仿宋_GB2312" w:eastAsia="仿宋_GB2312" w:cs="仿宋_GB2312"/>
          <w:bCs/>
          <w:kern w:val="44"/>
          <w:sz w:val="32"/>
          <w:szCs w:val="32"/>
          <w:highlight w:val="none"/>
          <w:u w:val="none" w:color="auto"/>
          <w:lang w:val="en-US" w:eastAsia="zh-CN"/>
        </w:rPr>
        <w:t>202</w:t>
      </w:r>
      <w:r>
        <w:rPr>
          <w:rFonts w:hint="eastAsia" w:ascii="仿宋_GB2312" w:hAnsi="仿宋_GB2312" w:eastAsia="仿宋_GB2312" w:cs="仿宋_GB2312"/>
          <w:bCs/>
          <w:kern w:val="44"/>
          <w:sz w:val="32"/>
          <w:szCs w:val="32"/>
          <w:highlight w:val="none"/>
          <w:u w:val="none" w:color="auto"/>
          <w:lang w:val="en-US" w:eastAsia="zh-CN"/>
        </w:rPr>
        <w:t>4</w:t>
      </w:r>
      <w:r>
        <w:rPr>
          <w:rFonts w:hint="default" w:ascii="仿宋_GB2312" w:hAnsi="仿宋_GB2312" w:eastAsia="仿宋_GB2312" w:cs="仿宋_GB2312"/>
          <w:bCs/>
          <w:kern w:val="44"/>
          <w:sz w:val="32"/>
          <w:szCs w:val="32"/>
          <w:highlight w:val="none"/>
          <w:u w:val="none" w:color="auto"/>
          <w:lang w:val="en-US" w:eastAsia="zh-CN"/>
        </w:rPr>
        <w:t>年</w:t>
      </w:r>
      <w:r>
        <w:rPr>
          <w:rFonts w:hint="eastAsia" w:ascii="仿宋_GB2312" w:hAnsi="仿宋_GB2312" w:eastAsia="仿宋_GB2312" w:cs="仿宋_GB2312"/>
          <w:bCs/>
          <w:kern w:val="44"/>
          <w:sz w:val="32"/>
          <w:szCs w:val="32"/>
          <w:highlight w:val="none"/>
          <w:u w:val="none" w:color="auto"/>
          <w:lang w:val="en-US" w:eastAsia="zh-CN"/>
        </w:rPr>
        <w:t>我校班额数、学生数、教师人数均有增加</w:t>
      </w:r>
      <w:r>
        <w:rPr>
          <w:rFonts w:hint="eastAsia" w:ascii="仿宋_GB2312" w:hAnsi="仿宋_GB2312" w:eastAsia="仿宋_GB2312" w:cs="仿宋_GB2312"/>
          <w:bCs/>
          <w:kern w:val="44"/>
          <w:sz w:val="32"/>
          <w:szCs w:val="32"/>
          <w:highlight w:val="none"/>
          <w:u w:val="none" w:color="auto"/>
        </w:rPr>
        <w:t>。</w:t>
      </w:r>
    </w:p>
    <w:p w14:paraId="0F5E0985">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u w:val="none" w:color="auto"/>
          <w:lang w:val="en-US" w:eastAsia="zh-CN"/>
        </w:rPr>
      </w:pPr>
      <w:r>
        <w:rPr>
          <w:rFonts w:hint="default" w:ascii="Times New Roman" w:hAnsi="Times New Roman" w:eastAsia="楷体_GB2312" w:cs="Times New Roman"/>
          <w:spacing w:val="3"/>
          <w:sz w:val="32"/>
          <w:szCs w:val="32"/>
          <w:u w:val="none" w:color="auto"/>
        </w:rPr>
        <w:t>图 4：财政拨款收、支决算总计变动情况</w:t>
      </w:r>
    </w:p>
    <w:p w14:paraId="4A98C77B">
      <w:pPr>
        <w:jc w:val="center"/>
        <w:rPr>
          <w:rFonts w:hint="default" w:ascii="Times New Roman" w:hAnsi="Times New Roman" w:cs="Times New Roman"/>
          <w:u w:val="none" w:color="auto"/>
          <w:lang w:val="en-US" w:eastAsia="zh-CN"/>
        </w:rPr>
      </w:pPr>
      <w:r>
        <w:drawing>
          <wp:inline distT="0" distB="0" distL="114300" distR="114300">
            <wp:extent cx="4447540" cy="2634615"/>
            <wp:effectExtent l="4445" t="4445" r="13335" b="1270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235F3D">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u w:val="none" w:color="auto"/>
        </w:rPr>
      </w:pPr>
      <w:r>
        <w:rPr>
          <w:rFonts w:hint="default" w:ascii="Times New Roman" w:hAnsi="Times New Roman" w:eastAsia="黑体" w:cs="Times New Roman"/>
          <w:spacing w:val="0"/>
          <w:sz w:val="32"/>
          <w:szCs w:val="32"/>
          <w:u w:val="none" w:color="auto"/>
        </w:rPr>
        <w:t>五、一般公共预算财政拨款支出决算情况说明</w:t>
      </w:r>
    </w:p>
    <w:p w14:paraId="56BE78EB">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u w:val="none" w:color="auto"/>
        </w:rPr>
      </w:pP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lang w:val="en-US" w:eastAsia="zh-CN"/>
        </w:rPr>
        <w:t>一</w:t>
      </w: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rPr>
        <w:t>一般公共预算财政拨款支出决算总体情况</w:t>
      </w:r>
    </w:p>
    <w:p w14:paraId="326968A3">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财政拨款支出1996.63万元，占本年支出合计的</w:t>
      </w:r>
      <w:r>
        <w:rPr>
          <w:rFonts w:hint="eastAsia" w:ascii="仿宋_GB2312" w:hAnsi="仿宋_GB2312" w:eastAsia="仿宋_GB2312" w:cs="仿宋_GB2312"/>
          <w:bCs/>
          <w:kern w:val="44"/>
          <w:sz w:val="32"/>
          <w:szCs w:val="32"/>
          <w:highlight w:val="none"/>
          <w:u w:val="none" w:color="auto"/>
          <w:lang w:val="en-US" w:eastAsia="zh-CN"/>
        </w:rPr>
        <w:t>95.49</w:t>
      </w:r>
      <w:r>
        <w:rPr>
          <w:rFonts w:hint="eastAsia" w:ascii="仿宋_GB2312" w:hAnsi="仿宋_GB2312" w:eastAsia="仿宋_GB2312" w:cs="仿宋_GB2312"/>
          <w:bCs/>
          <w:kern w:val="44"/>
          <w:sz w:val="32"/>
          <w:szCs w:val="32"/>
          <w:highlight w:val="none"/>
          <w:u w:val="none" w:color="auto"/>
        </w:rPr>
        <w:t>%。与20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财政拨款支出增加</w:t>
      </w:r>
      <w:r>
        <w:rPr>
          <w:rFonts w:hint="eastAsia" w:ascii="仿宋_GB2312" w:hAnsi="仿宋_GB2312" w:eastAsia="仿宋_GB2312" w:cs="仿宋_GB2312"/>
          <w:bCs/>
          <w:kern w:val="44"/>
          <w:sz w:val="32"/>
          <w:szCs w:val="32"/>
          <w:highlight w:val="none"/>
          <w:u w:val="none" w:color="auto"/>
          <w:lang w:val="en-US" w:eastAsia="zh-CN"/>
        </w:rPr>
        <w:t>292.23</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17.15</w:t>
      </w:r>
      <w:r>
        <w:rPr>
          <w:rFonts w:hint="eastAsia" w:ascii="仿宋_GB2312" w:hAnsi="仿宋_GB2312" w:eastAsia="仿宋_GB2312" w:cs="仿宋_GB2312"/>
          <w:bCs/>
          <w:kern w:val="44"/>
          <w:sz w:val="32"/>
          <w:szCs w:val="32"/>
          <w:highlight w:val="none"/>
          <w:u w:val="none" w:color="auto"/>
        </w:rPr>
        <w:t>%。主要原因是</w:t>
      </w:r>
      <w:r>
        <w:rPr>
          <w:rFonts w:hint="default" w:ascii="仿宋_GB2312" w:hAnsi="仿宋_GB2312" w:eastAsia="仿宋_GB2312" w:cs="仿宋_GB2312"/>
          <w:bCs/>
          <w:kern w:val="44"/>
          <w:sz w:val="32"/>
          <w:szCs w:val="32"/>
          <w:highlight w:val="none"/>
          <w:u w:val="none" w:color="auto"/>
          <w:lang w:val="en-US" w:eastAsia="zh-CN"/>
        </w:rPr>
        <w:t>202</w:t>
      </w:r>
      <w:r>
        <w:rPr>
          <w:rFonts w:hint="eastAsia" w:ascii="仿宋_GB2312" w:hAnsi="仿宋_GB2312" w:eastAsia="仿宋_GB2312" w:cs="仿宋_GB2312"/>
          <w:bCs/>
          <w:kern w:val="44"/>
          <w:sz w:val="32"/>
          <w:szCs w:val="32"/>
          <w:highlight w:val="none"/>
          <w:u w:val="none" w:color="auto"/>
          <w:lang w:val="en-US" w:eastAsia="zh-CN"/>
        </w:rPr>
        <w:t>4</w:t>
      </w:r>
      <w:r>
        <w:rPr>
          <w:rFonts w:hint="default" w:ascii="仿宋_GB2312" w:hAnsi="仿宋_GB2312" w:eastAsia="仿宋_GB2312" w:cs="仿宋_GB2312"/>
          <w:bCs/>
          <w:kern w:val="44"/>
          <w:sz w:val="32"/>
          <w:szCs w:val="32"/>
          <w:highlight w:val="none"/>
          <w:u w:val="none" w:color="auto"/>
          <w:lang w:val="en-US" w:eastAsia="zh-CN"/>
        </w:rPr>
        <w:t>年</w:t>
      </w:r>
      <w:r>
        <w:rPr>
          <w:rFonts w:hint="eastAsia" w:ascii="仿宋_GB2312" w:hAnsi="仿宋_GB2312" w:eastAsia="仿宋_GB2312" w:cs="仿宋_GB2312"/>
          <w:bCs/>
          <w:kern w:val="44"/>
          <w:sz w:val="32"/>
          <w:szCs w:val="32"/>
          <w:highlight w:val="none"/>
          <w:u w:val="none" w:color="auto"/>
          <w:lang w:val="en-US" w:eastAsia="zh-CN"/>
        </w:rPr>
        <w:t>我校班额数、学生数、教师人数均有增加</w:t>
      </w:r>
      <w:r>
        <w:rPr>
          <w:rFonts w:hint="eastAsia" w:ascii="仿宋_GB2312" w:hAnsi="仿宋_GB2312" w:eastAsia="仿宋_GB2312" w:cs="仿宋_GB2312"/>
          <w:bCs/>
          <w:kern w:val="44"/>
          <w:sz w:val="32"/>
          <w:szCs w:val="32"/>
          <w:highlight w:val="none"/>
          <w:u w:val="none" w:color="auto"/>
        </w:rPr>
        <w:t>。</w:t>
      </w:r>
    </w:p>
    <w:p w14:paraId="324E4D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u w:val="none" w:color="auto"/>
          <w:lang w:val="en-US" w:eastAsia="zh-CN"/>
        </w:rPr>
      </w:pPr>
      <w:r>
        <w:rPr>
          <w:rFonts w:hint="eastAsia" w:ascii="楷体_GB2312" w:hAnsi="楷体_GB2312" w:eastAsia="楷体_GB2312" w:cs="楷体_GB2312"/>
          <w:sz w:val="32"/>
          <w:szCs w:val="32"/>
          <w:highlight w:val="none"/>
          <w:u w:val="none" w:color="auto"/>
          <w:lang w:val="en-US" w:eastAsia="zh-CN"/>
        </w:rPr>
        <w:t>(二)一般公共预算财政拨款支出决算结构情况</w:t>
      </w:r>
    </w:p>
    <w:p w14:paraId="182B03E1">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财政拨款支出1996.63万元，主要用于以下方面：</w:t>
      </w:r>
    </w:p>
    <w:p w14:paraId="2FB07ACB">
      <w:pPr>
        <w:pStyle w:val="3"/>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Times New Roman" w:hAnsi="Times New Roman" w:eastAsia="仿宋_GB2312" w:cs="Times New Roman"/>
          <w:spacing w:val="0"/>
          <w:sz w:val="32"/>
          <w:u w:val="none" w:color="auto"/>
        </w:rPr>
      </w:pPr>
      <w:r>
        <w:rPr>
          <w:rFonts w:hint="eastAsia" w:ascii="Times New Roman" w:hAnsi="Times New Roman" w:eastAsia="仿宋_GB2312" w:cs="Times New Roman"/>
          <w:spacing w:val="0"/>
          <w:sz w:val="32"/>
          <w:u w:val="none" w:color="auto"/>
          <w:lang w:val="en-US" w:eastAsia="zh-CN"/>
        </w:rPr>
        <w:t>1</w:t>
      </w:r>
      <w:r>
        <w:rPr>
          <w:rFonts w:hint="default" w:ascii="Times New Roman" w:hAnsi="Times New Roman" w:eastAsia="仿宋_GB2312" w:cs="Times New Roman"/>
          <w:spacing w:val="0"/>
          <w:sz w:val="32"/>
          <w:u w:val="none" w:color="auto"/>
        </w:rPr>
        <w:t>.</w:t>
      </w:r>
      <w:r>
        <w:rPr>
          <w:rFonts w:hint="default" w:ascii="Times New Roman" w:hAnsi="Times New Roman" w:eastAsia="仿宋_GB2312" w:cs="Times New Roman"/>
          <w:spacing w:val="0"/>
          <w:sz w:val="32"/>
          <w:u w:val="none" w:color="auto"/>
          <w:lang w:val="en-US" w:eastAsia="zh-CN"/>
        </w:rPr>
        <w:t xml:space="preserve"> </w:t>
      </w:r>
      <w:r>
        <w:rPr>
          <w:rFonts w:hint="default" w:ascii="Times New Roman" w:hAnsi="Times New Roman" w:eastAsia="仿宋_GB2312" w:cs="Times New Roman"/>
          <w:spacing w:val="0"/>
          <w:sz w:val="32"/>
          <w:u w:val="none" w:color="auto"/>
        </w:rPr>
        <w:t>教育支出1866.46万元，占</w:t>
      </w:r>
      <w:r>
        <w:rPr>
          <w:rFonts w:hint="eastAsia" w:ascii="Times New Roman" w:hAnsi="Times New Roman" w:eastAsia="仿宋_GB2312" w:cs="Times New Roman"/>
          <w:spacing w:val="0"/>
          <w:sz w:val="32"/>
          <w:u w:val="none" w:color="auto"/>
          <w:lang w:val="en-US" w:eastAsia="zh-CN"/>
        </w:rPr>
        <w:t>93.48</w:t>
      </w:r>
      <w:r>
        <w:rPr>
          <w:rFonts w:hint="default" w:ascii="Times New Roman" w:hAnsi="Times New Roman" w:eastAsia="仿宋_GB2312" w:cs="Times New Roman"/>
          <w:spacing w:val="0"/>
          <w:sz w:val="32"/>
          <w:u w:val="none" w:color="auto"/>
        </w:rPr>
        <w:t>%。</w:t>
      </w:r>
      <w:r>
        <w:rPr>
          <w:rFonts w:hint="default" w:ascii="Times New Roman" w:hAnsi="Times New Roman" w:eastAsia="仿宋_GB2312" w:cs="Times New Roman"/>
          <w:bCs/>
          <w:kern w:val="44"/>
          <w:sz w:val="32"/>
          <w:szCs w:val="32"/>
          <w:u w:val="none"/>
        </w:rPr>
        <w:t>主要是用于</w:t>
      </w:r>
      <w:r>
        <w:rPr>
          <w:rFonts w:hint="eastAsia" w:ascii="Times New Roman" w:hAnsi="Times New Roman" w:eastAsia="仿宋_GB2312" w:cs="Times New Roman"/>
          <w:bCs/>
          <w:kern w:val="44"/>
          <w:sz w:val="32"/>
          <w:szCs w:val="32"/>
          <w:u w:val="none"/>
          <w:lang w:val="en-US" w:eastAsia="zh-CN"/>
        </w:rPr>
        <w:t>初中教育</w:t>
      </w:r>
      <w:r>
        <w:rPr>
          <w:rFonts w:hint="default" w:ascii="Times New Roman" w:hAnsi="Times New Roman" w:eastAsia="仿宋_GB2312" w:cs="Times New Roman"/>
          <w:spacing w:val="0"/>
          <w:sz w:val="32"/>
          <w:u w:val="none" w:color="auto"/>
        </w:rPr>
        <w:t>。</w:t>
      </w:r>
    </w:p>
    <w:p w14:paraId="269D2404">
      <w:pPr>
        <w:pStyle w:val="7"/>
        <w:keepNext w:val="0"/>
        <w:keepLines w:val="0"/>
        <w:pageBreakBefore w:val="0"/>
        <w:widowControl/>
        <w:kinsoku/>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default" w:ascii="Times New Roman" w:hAnsi="Times New Roman" w:eastAsia="仿宋_GB2312" w:cs="Times New Roman"/>
          <w:spacing w:val="0"/>
          <w:sz w:val="32"/>
          <w:u w:val="none" w:color="auto"/>
        </w:rPr>
      </w:pPr>
      <w:r>
        <w:rPr>
          <w:rFonts w:hint="eastAsia" w:ascii="Times New Roman" w:hAnsi="Times New Roman" w:cs="Times New Roman"/>
          <w:spacing w:val="0"/>
          <w:sz w:val="32"/>
          <w:u w:val="none" w:color="auto"/>
          <w:lang w:val="en-US" w:eastAsia="zh-CN"/>
        </w:rPr>
        <w:t>2</w:t>
      </w:r>
      <w:r>
        <w:rPr>
          <w:rFonts w:hint="default" w:ascii="Times New Roman" w:hAnsi="Times New Roman" w:eastAsia="仿宋_GB2312" w:cs="Times New Roman"/>
          <w:spacing w:val="0"/>
          <w:sz w:val="32"/>
          <w:u w:val="none" w:color="auto"/>
        </w:rPr>
        <w:t xml:space="preserve">. </w:t>
      </w:r>
      <w:r>
        <w:rPr>
          <w:rFonts w:hint="eastAsia" w:ascii="Times New Roman" w:hAnsi="Times New Roman" w:eastAsia="仿宋_GB2312" w:cs="Times New Roman"/>
          <w:bCs/>
          <w:kern w:val="44"/>
          <w:sz w:val="32"/>
          <w:szCs w:val="32"/>
          <w:u w:val="none"/>
          <w:lang w:val="en-US" w:eastAsia="zh-CN"/>
        </w:rPr>
        <w:t>社会保障和就业支出130.17万元，占</w:t>
      </w:r>
      <w:r>
        <w:rPr>
          <w:rFonts w:hint="eastAsia" w:ascii="Times New Roman" w:hAnsi="Times New Roman" w:cs="Times New Roman"/>
          <w:bCs/>
          <w:kern w:val="44"/>
          <w:sz w:val="32"/>
          <w:szCs w:val="32"/>
          <w:u w:val="none"/>
          <w:lang w:val="en-US" w:eastAsia="zh-CN"/>
        </w:rPr>
        <w:t>6.52</w:t>
      </w:r>
      <w:r>
        <w:rPr>
          <w:rFonts w:hint="eastAsia" w:ascii="Times New Roman" w:hAnsi="Times New Roman" w:eastAsia="仿宋_GB2312" w:cs="Times New Roman"/>
          <w:bCs/>
          <w:kern w:val="44"/>
          <w:sz w:val="32"/>
          <w:szCs w:val="32"/>
          <w:u w:val="none"/>
          <w:lang w:val="en-US" w:eastAsia="zh-CN"/>
        </w:rPr>
        <w:t>%，主要用于行政事业单位养老支出</w:t>
      </w:r>
      <w:r>
        <w:rPr>
          <w:rFonts w:hint="default" w:ascii="Times New Roman" w:hAnsi="Times New Roman" w:eastAsia="仿宋_GB2312" w:cs="Times New Roman"/>
          <w:bCs/>
          <w:kern w:val="44"/>
          <w:sz w:val="32"/>
          <w:szCs w:val="32"/>
          <w:u w:val="none"/>
        </w:rPr>
        <w:t>。</w:t>
      </w:r>
    </w:p>
    <w:p w14:paraId="3B2534D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（三）一般公共预算财政拨款支出决算具体情况</w:t>
      </w:r>
    </w:p>
    <w:p w14:paraId="269A774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highlight w:val="yellow"/>
          <w:u w:val="none" w:color="auto"/>
          <w:lang w:val="en-US" w:eastAsia="zh-CN"/>
        </w:rPr>
      </w:pPr>
      <w:r>
        <w:rPr>
          <w:rFonts w:hint="default" w:ascii="Times New Roman" w:hAnsi="Times New Roman" w:eastAsia="仿宋_GB2312" w:cs="Times New Roman"/>
          <w:spacing w:val="-3"/>
          <w:highlight w:val="none"/>
          <w:u w:val="none" w:color="auto"/>
        </w:rPr>
        <w:t>202</w:t>
      </w:r>
      <w:r>
        <w:rPr>
          <w:rFonts w:hint="eastAsia" w:ascii="Times New Roman" w:hAnsi="Times New Roman" w:eastAsia="仿宋_GB2312" w:cs="Times New Roman"/>
          <w:spacing w:val="-3"/>
          <w:highlight w:val="none"/>
          <w:u w:val="none" w:color="auto"/>
          <w:lang w:val="en-US" w:eastAsia="zh-CN"/>
        </w:rPr>
        <w:t>4</w:t>
      </w:r>
      <w:r>
        <w:rPr>
          <w:rFonts w:hint="default" w:ascii="Times New Roman" w:hAnsi="Times New Roman" w:eastAsia="仿宋_GB2312" w:cs="Times New Roman"/>
          <w:spacing w:val="-3"/>
          <w:highlight w:val="none"/>
          <w:u w:val="none" w:color="auto"/>
        </w:rPr>
        <w:t>年度一般公共预算财政拨款支出年初预算</w:t>
      </w:r>
      <w:r>
        <w:rPr>
          <w:rFonts w:hint="default" w:ascii="Times New Roman" w:hAnsi="Times New Roman" w:eastAsia="仿宋_GB2312" w:cs="Times New Roman"/>
          <w:spacing w:val="-1"/>
          <w:highlight w:val="none"/>
          <w:u w:val="none" w:color="auto"/>
        </w:rPr>
        <w:t>为</w:t>
      </w:r>
      <w:r>
        <w:rPr>
          <w:rFonts w:hint="eastAsia" w:ascii="Times New Roman" w:hAnsi="Times New Roman" w:eastAsia="仿宋_GB2312" w:cs="Times New Roman"/>
          <w:spacing w:val="-1"/>
          <w:highlight w:val="none"/>
          <w:u w:val="none" w:color="auto"/>
          <w:lang w:val="en-US" w:eastAsia="zh-CN"/>
        </w:rPr>
        <w:t>1754.81</w:t>
      </w:r>
      <w:r>
        <w:rPr>
          <w:rFonts w:hint="default" w:ascii="Times New Roman" w:hAnsi="Times New Roman" w:eastAsia="仿宋_GB2312" w:cs="Times New Roman"/>
          <w:spacing w:val="-1"/>
          <w:highlight w:val="none"/>
          <w:u w:val="none" w:color="auto"/>
        </w:rPr>
        <w:t>万</w:t>
      </w:r>
      <w:r>
        <w:rPr>
          <w:rFonts w:hint="default" w:ascii="Times New Roman" w:hAnsi="Times New Roman" w:eastAsia="仿宋_GB2312" w:cs="Times New Roman"/>
          <w:spacing w:val="-3"/>
          <w:highlight w:val="none"/>
          <w:u w:val="none" w:color="auto"/>
        </w:rPr>
        <w:t>元，</w:t>
      </w:r>
      <w:r>
        <w:rPr>
          <w:rFonts w:hint="default" w:ascii="Times New Roman" w:hAnsi="Times New Roman" w:eastAsia="仿宋_GB2312" w:cs="Times New Roman"/>
          <w:spacing w:val="-1"/>
          <w:highlight w:val="none"/>
          <w:u w:val="none" w:color="auto"/>
        </w:rPr>
        <w:t>支出决算为</w:t>
      </w:r>
      <w:r>
        <w:rPr>
          <w:rFonts w:hint="eastAsia" w:ascii="Times New Roman" w:hAnsi="Times New Roman" w:eastAsia="仿宋_GB2312" w:cs="Times New Roman"/>
          <w:spacing w:val="-1"/>
          <w:highlight w:val="none"/>
          <w:u w:val="none" w:color="auto"/>
          <w:lang w:val="en-US" w:eastAsia="zh-CN"/>
        </w:rPr>
        <w:t>1996.63</w:t>
      </w:r>
      <w:r>
        <w:rPr>
          <w:rFonts w:hint="default" w:ascii="Times New Roman" w:hAnsi="Times New Roman" w:eastAsia="仿宋_GB2312" w:cs="Times New Roman"/>
          <w:spacing w:val="-1"/>
          <w:highlight w:val="none"/>
          <w:u w:val="none" w:color="auto"/>
        </w:rPr>
        <w:t>万元，完成年初预算的</w:t>
      </w:r>
      <w:r>
        <w:rPr>
          <w:rFonts w:hint="eastAsia" w:ascii="Times New Roman" w:hAnsi="Times New Roman" w:eastAsia="仿宋_GB2312" w:cs="Times New Roman"/>
          <w:spacing w:val="-1"/>
          <w:highlight w:val="none"/>
          <w:u w:val="none" w:color="auto"/>
          <w:lang w:val="en-US" w:eastAsia="zh-CN"/>
        </w:rPr>
        <w:t>113.78</w:t>
      </w:r>
      <w:r>
        <w:rPr>
          <w:rFonts w:hint="default" w:ascii="Times New Roman" w:hAnsi="Times New Roman" w:eastAsia="仿宋_GB2312" w:cs="Times New Roman"/>
          <w:spacing w:val="-148"/>
          <w:highlight w:val="none"/>
          <w:u w:val="none" w:color="auto"/>
        </w:rPr>
        <w:t xml:space="preserve"> </w:t>
      </w:r>
      <w:r>
        <w:rPr>
          <w:rFonts w:hint="default" w:ascii="Times New Roman" w:hAnsi="Times New Roman" w:eastAsia="仿宋_GB2312" w:cs="Times New Roman"/>
          <w:spacing w:val="-1"/>
          <w:highlight w:val="none"/>
          <w:u w:val="none" w:color="auto"/>
        </w:rPr>
        <w:t>%。其中：基本支出</w:t>
      </w:r>
      <w:r>
        <w:rPr>
          <w:rFonts w:hint="default" w:ascii="Times New Roman" w:hAnsi="Times New Roman" w:eastAsia="仿宋_GB2312" w:cs="Times New Roman"/>
          <w:highlight w:val="none"/>
          <w:u w:val="none" w:color="auto"/>
        </w:rPr>
        <w:t>1915.14</w:t>
      </w:r>
      <w:r>
        <w:rPr>
          <w:rFonts w:hint="default" w:ascii="Times New Roman" w:hAnsi="Times New Roman" w:eastAsia="仿宋_GB2312" w:cs="Times New Roman"/>
          <w:spacing w:val="-6"/>
          <w:highlight w:val="none"/>
          <w:u w:val="none" w:color="auto"/>
        </w:rPr>
        <w:t>万元，项目支出81.49万元。项目支出主要用于</w:t>
      </w:r>
      <w:r>
        <w:rPr>
          <w:rFonts w:hint="eastAsia" w:ascii="Times New Roman" w:hAnsi="Times New Roman" w:eastAsia="仿宋_GB2312" w:cs="Times New Roman"/>
          <w:spacing w:val="-6"/>
          <w:highlight w:val="none"/>
          <w:u w:val="none" w:color="auto"/>
          <w:lang w:val="en-US" w:eastAsia="zh-CN"/>
        </w:rPr>
        <w:t>教育事业发展专项12万元</w:t>
      </w:r>
      <w:r>
        <w:rPr>
          <w:rFonts w:hint="default" w:ascii="Times New Roman" w:hAnsi="Times New Roman" w:eastAsia="仿宋_GB2312" w:cs="Times New Roman"/>
          <w:spacing w:val="-16"/>
          <w:highlight w:val="none"/>
          <w:u w:val="none" w:color="auto"/>
        </w:rPr>
        <w:t>，</w:t>
      </w:r>
      <w:r>
        <w:rPr>
          <w:rFonts w:hint="eastAsia" w:ascii="Times New Roman" w:hAnsi="Times New Roman" w:eastAsia="仿宋_GB2312" w:cs="Times New Roman"/>
          <w:spacing w:val="-16"/>
          <w:highlight w:val="none"/>
          <w:u w:val="none" w:color="auto"/>
          <w:lang w:val="en-US" w:eastAsia="zh-CN"/>
        </w:rPr>
        <w:t>城乡义务教育补助经费46.85</w:t>
      </w:r>
      <w:r>
        <w:rPr>
          <w:rFonts w:hint="default" w:ascii="Times New Roman" w:hAnsi="Times New Roman" w:eastAsia="仿宋_GB2312" w:cs="Times New Roman"/>
          <w:spacing w:val="-16"/>
          <w:highlight w:val="none"/>
          <w:u w:val="none" w:color="auto"/>
        </w:rPr>
        <w:t>万元，</w:t>
      </w:r>
      <w:r>
        <w:rPr>
          <w:rFonts w:hint="eastAsia" w:ascii="Times New Roman" w:hAnsi="Times New Roman" w:eastAsia="仿宋_GB2312" w:cs="Times New Roman"/>
          <w:spacing w:val="-16"/>
          <w:highlight w:val="none"/>
          <w:u w:val="none" w:color="auto"/>
          <w:lang w:val="en-US" w:eastAsia="zh-CN"/>
        </w:rPr>
        <w:t>城乡义务教育经费保障机制省级资金20.64万元，教育保障机制及重点项目补助2万元。以上项目有效</w:t>
      </w:r>
      <w:r>
        <w:rPr>
          <w:rFonts w:hint="default" w:ascii="Times New Roman" w:hAnsi="Times New Roman" w:eastAsia="仿宋_GB2312" w:cs="Times New Roman"/>
          <w:spacing w:val="-108"/>
          <w:highlight w:val="none"/>
          <w:u w:val="none" w:color="auto"/>
        </w:rPr>
        <w:t xml:space="preserve"> </w:t>
      </w:r>
      <w:r>
        <w:rPr>
          <w:rFonts w:hint="eastAsia" w:ascii="Times New Roman" w:hAnsi="Times New Roman" w:eastAsia="仿宋_GB2312" w:cs="Times New Roman"/>
          <w:bCs/>
          <w:kern w:val="44"/>
          <w:sz w:val="32"/>
          <w:szCs w:val="32"/>
          <w:highlight w:val="none"/>
          <w:u w:val="none"/>
          <w:lang w:val="en-US" w:eastAsia="zh-CN"/>
        </w:rPr>
        <w:t>维持了新校建成后的正常运转，应对了生源、师资增长的各项需求。</w:t>
      </w:r>
    </w:p>
    <w:p w14:paraId="1C9E8B81">
      <w:pPr>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napToGrid w:val="0"/>
          <w:color w:val="000000"/>
          <w:spacing w:val="-6"/>
          <w:kern w:val="0"/>
          <w:sz w:val="32"/>
          <w:szCs w:val="32"/>
          <w:highlight w:val="none"/>
          <w:u w:val="none" w:color="auto"/>
          <w:lang w:val="en-US" w:eastAsia="en-US" w:bidi="ar-SA"/>
        </w:rPr>
      </w:pPr>
      <w:r>
        <w:rPr>
          <w:rFonts w:hint="default" w:ascii="Times New Roman" w:hAnsi="Times New Roman" w:eastAsia="楷体_GB2312" w:cs="Times New Roman"/>
          <w:bCs/>
          <w:snapToGrid/>
          <w:color w:val="auto"/>
          <w:kern w:val="44"/>
          <w:sz w:val="32"/>
          <w:szCs w:val="32"/>
          <w:u w:val="none"/>
          <w:lang w:val="en-US" w:eastAsia="zh-CN" w:bidi="ar-SA"/>
        </w:rPr>
        <w:t>1.</w:t>
      </w:r>
      <w:r>
        <w:rPr>
          <w:rFonts w:hint="eastAsia" w:ascii="Times New Roman" w:hAnsi="Times New Roman" w:eastAsia="楷体_GB2312" w:cs="Times New Roman"/>
          <w:bCs/>
          <w:snapToGrid/>
          <w:color w:val="auto"/>
          <w:kern w:val="44"/>
          <w:sz w:val="32"/>
          <w:szCs w:val="32"/>
          <w:u w:val="none"/>
          <w:lang w:val="en-US" w:eastAsia="zh-CN" w:bidi="ar-SA"/>
        </w:rPr>
        <w:t>基本支出类</w:t>
      </w:r>
      <w:r>
        <w:rPr>
          <w:rFonts w:hint="default" w:ascii="Times New Roman" w:hAnsi="Times New Roman" w:eastAsia="楷体_GB2312" w:cs="Times New Roman"/>
          <w:bCs/>
          <w:snapToGrid/>
          <w:color w:val="auto"/>
          <w:kern w:val="44"/>
          <w:sz w:val="32"/>
          <w:szCs w:val="32"/>
          <w:u w:val="none"/>
          <w:lang w:val="en-US" w:eastAsia="zh-CN" w:bidi="ar-SA"/>
        </w:rPr>
        <w:t>。</w:t>
      </w:r>
      <w:r>
        <w:rPr>
          <w:rFonts w:hint="default" w:ascii="Times New Roman" w:hAnsi="Times New Roman" w:eastAsia="仿宋_GB2312" w:cs="Times New Roman"/>
          <w:bCs/>
          <w:kern w:val="44"/>
          <w:sz w:val="32"/>
          <w:szCs w:val="32"/>
          <w:highlight w:val="none"/>
          <w:u w:val="none"/>
        </w:rPr>
        <w:t>年</w:t>
      </w:r>
      <w:r>
        <w:rPr>
          <w:rFonts w:hint="default" w:ascii="Times New Roman" w:hAnsi="Times New Roman" w:eastAsia="仿宋_GB2312" w:cs="Times New Roman"/>
          <w:bCs/>
          <w:kern w:val="44"/>
          <w:sz w:val="32"/>
          <w:szCs w:val="32"/>
          <w:highlight w:val="none"/>
          <w:u w:val="none"/>
          <w:lang w:eastAsia="zh-CN"/>
        </w:rPr>
        <w:t>初</w:t>
      </w:r>
      <w:r>
        <w:rPr>
          <w:rFonts w:hint="default" w:ascii="Times New Roman" w:hAnsi="Times New Roman" w:eastAsia="仿宋_GB2312" w:cs="Times New Roman"/>
          <w:bCs/>
          <w:kern w:val="44"/>
          <w:sz w:val="32"/>
          <w:szCs w:val="32"/>
          <w:highlight w:val="none"/>
          <w:u w:val="none"/>
        </w:rPr>
        <w:t>预算</w:t>
      </w:r>
      <w:r>
        <w:rPr>
          <w:rFonts w:hint="default" w:ascii="Times New Roman" w:hAnsi="Times New Roman" w:eastAsia="仿宋_GB2312" w:cs="Times New Roman"/>
          <w:bCs/>
          <w:snapToGrid w:val="0"/>
          <w:color w:val="000000"/>
          <w:kern w:val="44"/>
          <w:sz w:val="32"/>
          <w:szCs w:val="32"/>
          <w:highlight w:val="none"/>
          <w:u w:val="none"/>
          <w:lang w:val="en-US" w:eastAsia="en-US" w:bidi="ar-SA"/>
        </w:rPr>
        <w:t>为</w:t>
      </w:r>
      <w:r>
        <w:rPr>
          <w:rFonts w:hint="eastAsia" w:ascii="Times New Roman" w:hAnsi="Times New Roman" w:eastAsia="仿宋_GB2312" w:cs="Times New Roman"/>
          <w:bCs/>
          <w:snapToGrid w:val="0"/>
          <w:color w:val="000000"/>
          <w:kern w:val="44"/>
          <w:sz w:val="32"/>
          <w:szCs w:val="32"/>
          <w:highlight w:val="none"/>
          <w:u w:val="none"/>
          <w:lang w:val="en-US" w:eastAsia="zh-CN" w:bidi="ar-SA"/>
        </w:rPr>
        <w:t>1747.81</w:t>
      </w:r>
      <w:r>
        <w:rPr>
          <w:rFonts w:hint="eastAsia" w:ascii="Times New Roman" w:hAnsi="Times New Roman" w:eastAsia="仿宋_GB2312" w:cs="Times New Roman"/>
          <w:bCs/>
          <w:snapToGrid w:val="0"/>
          <w:color w:val="000000"/>
          <w:kern w:val="44"/>
          <w:sz w:val="32"/>
          <w:szCs w:val="32"/>
          <w:highlight w:val="none"/>
          <w:u w:val="none"/>
          <w:lang w:val="en-US" w:eastAsia="en-US" w:bidi="ar-SA"/>
        </w:rPr>
        <w:t>万</w:t>
      </w:r>
      <w:r>
        <w:rPr>
          <w:rFonts w:hint="default" w:ascii="Times New Roman" w:hAnsi="Times New Roman" w:eastAsia="仿宋_GB2312" w:cs="Times New Roman"/>
          <w:bCs/>
          <w:snapToGrid w:val="0"/>
          <w:color w:val="000000"/>
          <w:kern w:val="44"/>
          <w:sz w:val="32"/>
          <w:szCs w:val="32"/>
          <w:highlight w:val="none"/>
          <w:u w:val="none"/>
          <w:lang w:val="en-US" w:eastAsia="en-US" w:bidi="ar-SA"/>
        </w:rPr>
        <w:t>元</w:t>
      </w:r>
      <w:r>
        <w:rPr>
          <w:rFonts w:hint="default" w:ascii="Times New Roman" w:hAnsi="Times New Roman" w:eastAsia="仿宋_GB2312" w:cs="Times New Roman"/>
          <w:snapToGrid w:val="0"/>
          <w:color w:val="000000"/>
          <w:spacing w:val="-6"/>
          <w:kern w:val="0"/>
          <w:sz w:val="32"/>
          <w:szCs w:val="32"/>
          <w:highlight w:val="none"/>
          <w:u w:val="none" w:color="auto"/>
          <w:lang w:val="en-US" w:eastAsia="en-US" w:bidi="ar-SA"/>
        </w:rPr>
        <w:t>，支出决算为</w:t>
      </w:r>
      <w:r>
        <w:rPr>
          <w:rFonts w:hint="eastAsia" w:ascii="Times New Roman" w:hAnsi="Times New Roman" w:eastAsia="仿宋_GB2312" w:cs="Times New Roman"/>
          <w:snapToGrid w:val="0"/>
          <w:color w:val="000000"/>
          <w:spacing w:val="-6"/>
          <w:kern w:val="0"/>
          <w:sz w:val="32"/>
          <w:szCs w:val="32"/>
          <w:highlight w:val="none"/>
          <w:u w:val="none" w:color="auto"/>
          <w:lang w:val="en-US" w:eastAsia="zh-CN" w:bidi="ar-SA"/>
        </w:rPr>
        <w:t>1915.14</w:t>
      </w:r>
      <w:r>
        <w:rPr>
          <w:rFonts w:hint="default" w:ascii="Times New Roman" w:hAnsi="Times New Roman" w:eastAsia="仿宋_GB2312" w:cs="Times New Roman"/>
          <w:snapToGrid w:val="0"/>
          <w:color w:val="000000"/>
          <w:spacing w:val="-6"/>
          <w:kern w:val="0"/>
          <w:sz w:val="32"/>
          <w:szCs w:val="32"/>
          <w:highlight w:val="none"/>
          <w:u w:val="none" w:color="auto"/>
          <w:lang w:val="en-US" w:eastAsia="en-US" w:bidi="ar-SA"/>
        </w:rPr>
        <w:t>万元，完成年</w:t>
      </w:r>
      <w:r>
        <w:rPr>
          <w:rFonts w:hint="default" w:ascii="Times New Roman" w:hAnsi="Times New Roman" w:eastAsia="仿宋_GB2312" w:cs="Times New Roman"/>
          <w:snapToGrid w:val="0"/>
          <w:color w:val="000000"/>
          <w:spacing w:val="-6"/>
          <w:kern w:val="0"/>
          <w:sz w:val="32"/>
          <w:szCs w:val="32"/>
          <w:highlight w:val="none"/>
          <w:u w:val="none" w:color="auto"/>
          <w:lang w:val="en-US" w:eastAsia="zh-CN" w:bidi="ar-SA"/>
        </w:rPr>
        <w:t>初</w:t>
      </w:r>
      <w:r>
        <w:rPr>
          <w:rFonts w:hint="default" w:ascii="Times New Roman" w:hAnsi="Times New Roman" w:eastAsia="仿宋_GB2312" w:cs="Times New Roman"/>
          <w:snapToGrid w:val="0"/>
          <w:color w:val="000000"/>
          <w:spacing w:val="-6"/>
          <w:kern w:val="0"/>
          <w:sz w:val="32"/>
          <w:szCs w:val="32"/>
          <w:highlight w:val="none"/>
          <w:u w:val="none" w:color="auto"/>
          <w:lang w:val="en-US" w:eastAsia="en-US" w:bidi="ar-SA"/>
        </w:rPr>
        <w:t>预算的</w:t>
      </w:r>
      <w:r>
        <w:rPr>
          <w:rFonts w:hint="eastAsia" w:ascii="Times New Roman" w:hAnsi="Times New Roman" w:eastAsia="仿宋_GB2312" w:cs="Times New Roman"/>
          <w:snapToGrid w:val="0"/>
          <w:color w:val="000000"/>
          <w:spacing w:val="-6"/>
          <w:kern w:val="0"/>
          <w:sz w:val="32"/>
          <w:szCs w:val="32"/>
          <w:highlight w:val="none"/>
          <w:u w:val="none" w:color="auto"/>
          <w:lang w:val="en-US" w:eastAsia="zh-CN" w:bidi="ar-SA"/>
        </w:rPr>
        <w:t>109.57</w:t>
      </w:r>
      <w:r>
        <w:rPr>
          <w:rFonts w:hint="default" w:ascii="Times New Roman" w:hAnsi="Times New Roman" w:eastAsia="仿宋_GB2312" w:cs="Times New Roman"/>
          <w:snapToGrid w:val="0"/>
          <w:color w:val="000000"/>
          <w:spacing w:val="-6"/>
          <w:kern w:val="0"/>
          <w:sz w:val="32"/>
          <w:szCs w:val="32"/>
          <w:highlight w:val="none"/>
          <w:u w:val="none" w:color="auto"/>
          <w:lang w:val="en-US" w:eastAsia="en-US" w:bidi="ar-SA"/>
        </w:rPr>
        <w:t>%，支出决算数</w:t>
      </w:r>
      <w:r>
        <w:rPr>
          <w:rFonts w:hint="eastAsia" w:ascii="Times New Roman" w:hAnsi="Times New Roman" w:eastAsia="仿宋_GB2312" w:cs="Times New Roman"/>
          <w:snapToGrid w:val="0"/>
          <w:color w:val="000000"/>
          <w:spacing w:val="-6"/>
          <w:kern w:val="0"/>
          <w:sz w:val="32"/>
          <w:szCs w:val="32"/>
          <w:highlight w:val="none"/>
          <w:u w:val="none" w:color="auto"/>
          <w:lang w:val="en-US" w:eastAsia="zh-CN" w:bidi="ar-SA"/>
        </w:rPr>
        <w:t>大于</w:t>
      </w:r>
      <w:r>
        <w:rPr>
          <w:rFonts w:hint="default" w:ascii="Times New Roman" w:hAnsi="Times New Roman" w:eastAsia="仿宋_GB2312" w:cs="Times New Roman"/>
          <w:snapToGrid w:val="0"/>
          <w:color w:val="000000"/>
          <w:spacing w:val="-6"/>
          <w:kern w:val="0"/>
          <w:sz w:val="32"/>
          <w:szCs w:val="32"/>
          <w:highlight w:val="none"/>
          <w:u w:val="none" w:color="auto"/>
          <w:lang w:val="en-US" w:eastAsia="en-US" w:bidi="ar-SA"/>
        </w:rPr>
        <w:t>年</w:t>
      </w:r>
      <w:r>
        <w:rPr>
          <w:rFonts w:hint="default" w:ascii="Times New Roman" w:hAnsi="Times New Roman" w:eastAsia="仿宋_GB2312" w:cs="Times New Roman"/>
          <w:snapToGrid w:val="0"/>
          <w:color w:val="000000"/>
          <w:spacing w:val="-6"/>
          <w:kern w:val="0"/>
          <w:sz w:val="32"/>
          <w:szCs w:val="32"/>
          <w:highlight w:val="none"/>
          <w:u w:val="none" w:color="auto"/>
          <w:lang w:val="en-US" w:eastAsia="zh-CN" w:bidi="ar-SA"/>
        </w:rPr>
        <w:t>初</w:t>
      </w:r>
      <w:r>
        <w:rPr>
          <w:rFonts w:hint="default" w:ascii="Times New Roman" w:hAnsi="Times New Roman" w:eastAsia="仿宋_GB2312" w:cs="Times New Roman"/>
          <w:snapToGrid w:val="0"/>
          <w:color w:val="000000"/>
          <w:spacing w:val="-6"/>
          <w:kern w:val="0"/>
          <w:sz w:val="32"/>
          <w:szCs w:val="32"/>
          <w:highlight w:val="none"/>
          <w:u w:val="none" w:color="auto"/>
          <w:lang w:val="en-US" w:eastAsia="en-US" w:bidi="ar-SA"/>
        </w:rPr>
        <w:t>预算数</w:t>
      </w:r>
      <w:r>
        <w:rPr>
          <w:rFonts w:hint="eastAsia" w:ascii="Times New Roman" w:hAnsi="Times New Roman" w:eastAsia="仿宋_GB2312" w:cs="Times New Roman"/>
          <w:snapToGrid w:val="0"/>
          <w:color w:val="000000"/>
          <w:spacing w:val="-6"/>
          <w:kern w:val="0"/>
          <w:sz w:val="32"/>
          <w:szCs w:val="32"/>
          <w:highlight w:val="none"/>
          <w:u w:val="none" w:color="auto"/>
          <w:lang w:val="en-US" w:eastAsia="zh-CN" w:bidi="ar-SA"/>
        </w:rPr>
        <w:t>，</w:t>
      </w:r>
      <w:r>
        <w:rPr>
          <w:rFonts w:hint="default" w:ascii="Times New Roman" w:hAnsi="Times New Roman" w:eastAsia="仿宋_GB2312" w:cs="Times New Roman"/>
          <w:snapToGrid w:val="0"/>
          <w:color w:val="000000"/>
          <w:spacing w:val="-6"/>
          <w:kern w:val="0"/>
          <w:sz w:val="32"/>
          <w:szCs w:val="32"/>
          <w:highlight w:val="none"/>
          <w:u w:val="none" w:color="auto"/>
          <w:lang w:val="en-US" w:eastAsia="en-US" w:bidi="ar-SA"/>
        </w:rPr>
        <w:t>主要原因</w:t>
      </w:r>
      <w:r>
        <w:rPr>
          <w:rFonts w:hint="eastAsia" w:ascii="Times New Roman" w:hAnsi="Times New Roman" w:eastAsia="仿宋_GB2312" w:cs="Times New Roman"/>
          <w:snapToGrid w:val="0"/>
          <w:color w:val="000000"/>
          <w:spacing w:val="-6"/>
          <w:kern w:val="0"/>
          <w:sz w:val="32"/>
          <w:szCs w:val="32"/>
          <w:highlight w:val="none"/>
          <w:u w:val="none" w:color="auto"/>
          <w:lang w:val="en-US" w:eastAsia="zh-CN" w:bidi="ar-SA"/>
        </w:rPr>
        <w:t>是</w:t>
      </w:r>
      <w:r>
        <w:rPr>
          <w:rFonts w:hint="default" w:ascii="仿宋_GB2312" w:hAnsi="仿宋_GB2312" w:eastAsia="仿宋_GB2312" w:cs="仿宋_GB2312"/>
          <w:bCs/>
          <w:kern w:val="44"/>
          <w:sz w:val="32"/>
          <w:szCs w:val="32"/>
          <w:highlight w:val="none"/>
          <w:u w:val="none" w:color="auto"/>
          <w:lang w:val="en-US" w:eastAsia="zh-CN"/>
        </w:rPr>
        <w:t>202</w:t>
      </w:r>
      <w:r>
        <w:rPr>
          <w:rFonts w:hint="eastAsia" w:ascii="仿宋_GB2312" w:hAnsi="仿宋_GB2312" w:eastAsia="仿宋_GB2312" w:cs="仿宋_GB2312"/>
          <w:bCs/>
          <w:kern w:val="44"/>
          <w:sz w:val="32"/>
          <w:szCs w:val="32"/>
          <w:highlight w:val="none"/>
          <w:u w:val="none" w:color="auto"/>
          <w:lang w:val="en-US" w:eastAsia="zh-CN"/>
        </w:rPr>
        <w:t>4</w:t>
      </w:r>
      <w:r>
        <w:rPr>
          <w:rFonts w:hint="default" w:ascii="仿宋_GB2312" w:hAnsi="仿宋_GB2312" w:eastAsia="仿宋_GB2312" w:cs="仿宋_GB2312"/>
          <w:bCs/>
          <w:kern w:val="44"/>
          <w:sz w:val="32"/>
          <w:szCs w:val="32"/>
          <w:highlight w:val="none"/>
          <w:u w:val="none" w:color="auto"/>
          <w:lang w:val="en-US" w:eastAsia="zh-CN"/>
        </w:rPr>
        <w:t>年</w:t>
      </w:r>
      <w:r>
        <w:rPr>
          <w:rFonts w:hint="eastAsia" w:ascii="仿宋_GB2312" w:hAnsi="仿宋_GB2312" w:eastAsia="仿宋_GB2312" w:cs="仿宋_GB2312"/>
          <w:bCs/>
          <w:kern w:val="44"/>
          <w:sz w:val="32"/>
          <w:szCs w:val="32"/>
          <w:highlight w:val="none"/>
          <w:u w:val="none" w:color="auto"/>
          <w:lang w:val="en-US" w:eastAsia="zh-CN"/>
        </w:rPr>
        <w:t>我校班额数、学生数、教师人数均有增加</w:t>
      </w:r>
      <w:r>
        <w:rPr>
          <w:rFonts w:hint="eastAsia" w:ascii="仿宋_GB2312" w:hAnsi="仿宋_GB2312" w:eastAsia="仿宋_GB2312" w:cs="仿宋_GB2312"/>
          <w:bCs/>
          <w:kern w:val="44"/>
          <w:sz w:val="32"/>
          <w:szCs w:val="32"/>
          <w:highlight w:val="none"/>
          <w:u w:val="none" w:color="auto"/>
        </w:rPr>
        <w:t>。</w:t>
      </w:r>
    </w:p>
    <w:p w14:paraId="3E53122F">
      <w:pPr>
        <w:pStyle w:val="13"/>
        <w:keepNext w:val="0"/>
        <w:keepLines w:val="0"/>
        <w:pageBreakBefore w:val="0"/>
        <w:widowControl w:val="0"/>
        <w:kinsoku/>
        <w:wordWrap/>
        <w:overflowPunct/>
        <w:topLinePunct w:val="0"/>
        <w:bidi w:val="0"/>
        <w:snapToGrid w:val="0"/>
        <w:spacing w:line="580" w:lineRule="exact"/>
        <w:ind w:firstLine="616" w:firstLineChars="200"/>
        <w:jc w:val="both"/>
        <w:textAlignment w:val="auto"/>
        <w:outlineLvl w:val="9"/>
        <w:rPr>
          <w:rFonts w:hint="default" w:ascii="Times New Roman" w:hAnsi="Times New Roman" w:eastAsia="仿宋_GB2312" w:cs="Times New Roman"/>
          <w:snapToGrid w:val="0"/>
          <w:color w:val="000000"/>
          <w:spacing w:val="-3"/>
          <w:kern w:val="0"/>
          <w:sz w:val="32"/>
          <w:szCs w:val="32"/>
          <w:highlight w:val="none"/>
          <w:u w:val="none" w:color="auto"/>
          <w:lang w:val="en-US" w:eastAsia="zh-CN" w:bidi="ar-SA"/>
        </w:rPr>
      </w:pPr>
      <w:r>
        <w:rPr>
          <w:rFonts w:hint="eastAsia" w:ascii="Times New Roman" w:hAnsi="Times New Roman" w:eastAsia="仿宋_GB2312" w:cs="Times New Roman"/>
          <w:snapToGrid w:val="0"/>
          <w:color w:val="000000"/>
          <w:spacing w:val="-6"/>
          <w:kern w:val="0"/>
          <w:sz w:val="32"/>
          <w:szCs w:val="32"/>
          <w:highlight w:val="none"/>
          <w:u w:val="none" w:color="auto"/>
          <w:lang w:val="en-US" w:eastAsia="zh-CN" w:bidi="ar-SA"/>
        </w:rPr>
        <w:t>2</w:t>
      </w:r>
      <w:r>
        <w:rPr>
          <w:rFonts w:hint="default" w:ascii="Times New Roman" w:hAnsi="Times New Roman" w:eastAsia="仿宋_GB2312" w:cs="Times New Roman"/>
          <w:snapToGrid w:val="0"/>
          <w:color w:val="000000"/>
          <w:spacing w:val="-6"/>
          <w:kern w:val="0"/>
          <w:sz w:val="32"/>
          <w:szCs w:val="32"/>
          <w:highlight w:val="none"/>
          <w:u w:val="none" w:color="auto"/>
          <w:lang w:val="en-US" w:eastAsia="en-US" w:bidi="ar-SA"/>
        </w:rPr>
        <w:t>.</w:t>
      </w:r>
      <w:r>
        <w:rPr>
          <w:rFonts w:hint="eastAsia" w:ascii="Times New Roman" w:hAnsi="Times New Roman" w:eastAsia="楷体_GB2312" w:cs="Times New Roman"/>
          <w:bCs/>
          <w:snapToGrid/>
          <w:color w:val="auto"/>
          <w:kern w:val="44"/>
          <w:sz w:val="32"/>
          <w:szCs w:val="32"/>
          <w:u w:val="none"/>
          <w:lang w:val="en-US" w:eastAsia="zh-CN" w:bidi="ar-SA"/>
        </w:rPr>
        <w:t>项目经费类</w:t>
      </w:r>
      <w:r>
        <w:rPr>
          <w:rFonts w:hint="default" w:ascii="Times New Roman" w:hAnsi="Times New Roman" w:eastAsia="楷体_GB2312" w:cs="Times New Roman"/>
          <w:bCs/>
          <w:snapToGrid/>
          <w:color w:val="auto"/>
          <w:kern w:val="44"/>
          <w:sz w:val="32"/>
          <w:szCs w:val="32"/>
          <w:u w:val="none"/>
          <w:lang w:val="en-US" w:eastAsia="zh-CN" w:bidi="ar-SA"/>
        </w:rPr>
        <w:t>。</w:t>
      </w:r>
      <w:r>
        <w:rPr>
          <w:rFonts w:hint="default" w:ascii="Times New Roman" w:hAnsi="Times New Roman" w:eastAsia="仿宋_GB2312" w:cs="Times New Roman"/>
          <w:snapToGrid w:val="0"/>
          <w:color w:val="000000"/>
          <w:spacing w:val="-3"/>
          <w:kern w:val="0"/>
          <w:sz w:val="32"/>
          <w:szCs w:val="32"/>
          <w:highlight w:val="none"/>
          <w:u w:val="none" w:color="auto"/>
          <w:lang w:val="en-US" w:eastAsia="zh-CN" w:bidi="ar-SA"/>
        </w:rPr>
        <w:t>年初预算为</w:t>
      </w:r>
      <w:r>
        <w:rPr>
          <w:rFonts w:hint="eastAsia" w:ascii="Times New Roman" w:hAnsi="Times New Roman" w:eastAsia="仿宋_GB2312" w:cs="Times New Roman"/>
          <w:snapToGrid w:val="0"/>
          <w:color w:val="000000"/>
          <w:spacing w:val="-3"/>
          <w:kern w:val="0"/>
          <w:sz w:val="32"/>
          <w:szCs w:val="32"/>
          <w:highlight w:val="none"/>
          <w:u w:val="none" w:color="auto"/>
          <w:lang w:val="en-US" w:eastAsia="zh-CN" w:bidi="ar-SA"/>
        </w:rPr>
        <w:t>7万</w:t>
      </w:r>
      <w:r>
        <w:rPr>
          <w:rFonts w:hint="default" w:ascii="Times New Roman" w:hAnsi="Times New Roman" w:eastAsia="仿宋_GB2312" w:cs="Times New Roman"/>
          <w:snapToGrid w:val="0"/>
          <w:color w:val="000000"/>
          <w:spacing w:val="-3"/>
          <w:kern w:val="0"/>
          <w:sz w:val="32"/>
          <w:szCs w:val="32"/>
          <w:highlight w:val="none"/>
          <w:u w:val="none" w:color="auto"/>
          <w:lang w:val="en-US" w:eastAsia="zh-CN" w:bidi="ar-SA"/>
        </w:rPr>
        <w:t>元，支出决算为</w:t>
      </w:r>
      <w:r>
        <w:rPr>
          <w:rFonts w:hint="eastAsia" w:ascii="Times New Roman" w:hAnsi="Times New Roman" w:eastAsia="仿宋_GB2312" w:cs="Times New Roman"/>
          <w:snapToGrid w:val="0"/>
          <w:color w:val="000000"/>
          <w:spacing w:val="-3"/>
          <w:kern w:val="0"/>
          <w:sz w:val="32"/>
          <w:szCs w:val="32"/>
          <w:highlight w:val="none"/>
          <w:u w:val="none" w:color="auto"/>
          <w:lang w:val="en-US" w:eastAsia="zh-CN" w:bidi="ar-SA"/>
        </w:rPr>
        <w:t>81.49</w:t>
      </w:r>
      <w:r>
        <w:rPr>
          <w:rFonts w:hint="default" w:ascii="Times New Roman" w:hAnsi="Times New Roman" w:eastAsia="仿宋_GB2312" w:cs="Times New Roman"/>
          <w:snapToGrid w:val="0"/>
          <w:color w:val="000000"/>
          <w:spacing w:val="-3"/>
          <w:kern w:val="0"/>
          <w:sz w:val="32"/>
          <w:szCs w:val="32"/>
          <w:highlight w:val="none"/>
          <w:u w:val="none" w:color="auto"/>
          <w:lang w:val="en-US" w:eastAsia="zh-CN" w:bidi="ar-SA"/>
        </w:rPr>
        <w:t>万元，支出决算数大于年初预算数</w:t>
      </w:r>
      <w:r>
        <w:rPr>
          <w:rFonts w:hint="eastAsia" w:ascii="Times New Roman" w:hAnsi="Times New Roman" w:eastAsia="仿宋_GB2312" w:cs="Times New Roman"/>
          <w:snapToGrid w:val="0"/>
          <w:color w:val="000000"/>
          <w:spacing w:val="-3"/>
          <w:kern w:val="0"/>
          <w:sz w:val="32"/>
          <w:szCs w:val="32"/>
          <w:highlight w:val="none"/>
          <w:u w:val="none" w:color="auto"/>
          <w:lang w:val="en-US" w:eastAsia="zh-CN" w:bidi="ar-SA"/>
        </w:rPr>
        <w:t>，</w:t>
      </w:r>
      <w:r>
        <w:rPr>
          <w:rFonts w:hint="default" w:ascii="Times New Roman" w:hAnsi="Times New Roman" w:eastAsia="仿宋_GB2312" w:cs="Times New Roman"/>
          <w:snapToGrid w:val="0"/>
          <w:color w:val="000000"/>
          <w:spacing w:val="-3"/>
          <w:kern w:val="0"/>
          <w:sz w:val="32"/>
          <w:szCs w:val="32"/>
          <w:highlight w:val="none"/>
          <w:u w:val="none" w:color="auto"/>
          <w:lang w:val="en-US" w:eastAsia="zh-CN" w:bidi="ar-SA"/>
        </w:rPr>
        <w:t>主要原因</w:t>
      </w:r>
      <w:r>
        <w:rPr>
          <w:rFonts w:hint="eastAsia" w:ascii="Times New Roman" w:hAnsi="Times New Roman" w:eastAsia="仿宋_GB2312" w:cs="Times New Roman"/>
          <w:snapToGrid w:val="0"/>
          <w:color w:val="000000"/>
          <w:spacing w:val="-3"/>
          <w:kern w:val="0"/>
          <w:sz w:val="32"/>
          <w:szCs w:val="32"/>
          <w:highlight w:val="none"/>
          <w:u w:val="none" w:color="auto"/>
          <w:lang w:val="en-US" w:eastAsia="zh-CN" w:bidi="ar-SA"/>
        </w:rPr>
        <w:t>是武汉市光谷第四初级中学为2020年新建学校，各项校园建设亟待开展，并且随着招生规模扩大，各项开支增加。</w:t>
      </w:r>
    </w:p>
    <w:p w14:paraId="3CE2EEA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六、一般公共预算财政拨款基本支出决算情况说明</w:t>
      </w:r>
    </w:p>
    <w:p w14:paraId="2874FE1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rPr>
          <w:rFonts w:hint="default" w:ascii="Times New Roman" w:hAnsi="Times New Roman" w:eastAsia="仿宋_GB2312" w:cs="Times New Roman"/>
          <w:bCs/>
          <w:color w:val="auto"/>
          <w:kern w:val="44"/>
          <w:sz w:val="32"/>
          <w:szCs w:val="32"/>
          <w:highlight w:val="none"/>
          <w:u w:val="none"/>
          <w:lang w:val="en-US" w:eastAsia="zh-CN" w:bidi="ar-SA"/>
        </w:rPr>
      </w:pPr>
      <w:r>
        <w:rPr>
          <w:rFonts w:hint="default" w:ascii="Times New Roman" w:hAnsi="Times New Roman" w:eastAsia="仿宋_GB2312" w:cs="Times New Roman"/>
          <w:bCs/>
          <w:color w:val="auto"/>
          <w:kern w:val="44"/>
          <w:sz w:val="32"/>
          <w:szCs w:val="32"/>
          <w:highlight w:val="none"/>
          <w:u w:val="none"/>
          <w:lang w:val="en-US" w:eastAsia="zh-CN" w:bidi="ar-SA"/>
        </w:rPr>
        <w:t>202</w:t>
      </w:r>
      <w:r>
        <w:rPr>
          <w:rFonts w:hint="eastAsia" w:ascii="Times New Roman" w:hAnsi="Times New Roman" w:eastAsia="仿宋_GB2312" w:cs="Times New Roman"/>
          <w:bCs/>
          <w:color w:val="auto"/>
          <w:kern w:val="44"/>
          <w:sz w:val="32"/>
          <w:szCs w:val="32"/>
          <w:highlight w:val="none"/>
          <w:u w:val="none"/>
          <w:lang w:val="en-US" w:eastAsia="zh-CN" w:bidi="ar-SA"/>
        </w:rPr>
        <w:t>4</w:t>
      </w:r>
      <w:r>
        <w:rPr>
          <w:rFonts w:hint="default" w:ascii="Times New Roman" w:hAnsi="Times New Roman" w:eastAsia="仿宋_GB2312" w:cs="Times New Roman"/>
          <w:bCs/>
          <w:color w:val="auto"/>
          <w:kern w:val="44"/>
          <w:sz w:val="32"/>
          <w:szCs w:val="32"/>
          <w:highlight w:val="none"/>
          <w:u w:val="none"/>
          <w:lang w:val="en-US" w:eastAsia="zh-CN" w:bidi="ar-SA"/>
        </w:rPr>
        <w:t xml:space="preserve"> 年度一般公共预算财政拨款基本支出</w:t>
      </w:r>
      <w:r>
        <w:rPr>
          <w:rFonts w:hint="eastAsia" w:ascii="Times New Roman" w:hAnsi="Times New Roman" w:eastAsia="仿宋_GB2312" w:cs="Times New Roman"/>
          <w:bCs/>
          <w:color w:val="auto"/>
          <w:kern w:val="44"/>
          <w:sz w:val="32"/>
          <w:szCs w:val="32"/>
          <w:highlight w:val="none"/>
          <w:u w:val="none"/>
          <w:lang w:val="en-US" w:eastAsia="zh-CN" w:bidi="ar-SA"/>
        </w:rPr>
        <w:t>1915.14</w:t>
      </w:r>
      <w:r>
        <w:rPr>
          <w:rFonts w:hint="default" w:ascii="Times New Roman" w:hAnsi="Times New Roman" w:eastAsia="仿宋_GB2312" w:cs="Times New Roman"/>
          <w:bCs/>
          <w:color w:val="auto"/>
          <w:kern w:val="44"/>
          <w:sz w:val="32"/>
          <w:szCs w:val="32"/>
          <w:highlight w:val="none"/>
          <w:u w:val="none"/>
          <w:lang w:val="en-US" w:eastAsia="zh-CN" w:bidi="ar-SA"/>
        </w:rPr>
        <w:t>万元，其中：人员经费</w:t>
      </w:r>
      <w:r>
        <w:rPr>
          <w:rFonts w:hint="eastAsia" w:ascii="Times New Roman" w:hAnsi="Times New Roman" w:eastAsia="仿宋_GB2312" w:cs="Times New Roman"/>
          <w:bCs/>
          <w:color w:val="auto"/>
          <w:kern w:val="44"/>
          <w:sz w:val="32"/>
          <w:szCs w:val="32"/>
          <w:highlight w:val="none"/>
          <w:u w:val="none"/>
          <w:lang w:val="en-US" w:eastAsia="zh-CN" w:bidi="ar-SA"/>
        </w:rPr>
        <w:t>1772.93</w:t>
      </w:r>
      <w:r>
        <w:rPr>
          <w:rFonts w:hint="default" w:ascii="Times New Roman" w:hAnsi="Times New Roman" w:eastAsia="仿宋_GB2312" w:cs="Times New Roman"/>
          <w:bCs/>
          <w:color w:val="auto"/>
          <w:kern w:val="44"/>
          <w:sz w:val="32"/>
          <w:szCs w:val="32"/>
          <w:highlight w:val="none"/>
          <w:u w:val="none"/>
          <w:lang w:val="en-US" w:eastAsia="zh-CN" w:bidi="ar-SA"/>
        </w:rPr>
        <w:t>万元，主要包括：基本工资、津贴补贴、绩效工资、机关事业单位基本养老保险缴费、职工基本医疗保险缴费、公务员医疗补助缴费、其他社会保障缴费、住房公积金。</w:t>
      </w:r>
    </w:p>
    <w:p w14:paraId="132CDC2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Times New Roman" w:hAnsi="Times New Roman" w:eastAsia="仿宋_GB2312" w:cs="Times New Roman"/>
          <w:bCs/>
          <w:color w:val="auto"/>
          <w:kern w:val="44"/>
          <w:sz w:val="32"/>
          <w:szCs w:val="32"/>
          <w:highlight w:val="none"/>
          <w:u w:val="none"/>
          <w:lang w:val="en-US" w:eastAsia="zh-CN" w:bidi="ar-SA"/>
        </w:rPr>
      </w:pPr>
      <w:r>
        <w:rPr>
          <w:rFonts w:hint="default" w:ascii="Times New Roman" w:hAnsi="Times New Roman" w:eastAsia="仿宋_GB2312" w:cs="Times New Roman"/>
          <w:bCs/>
          <w:color w:val="auto"/>
          <w:kern w:val="44"/>
          <w:sz w:val="32"/>
          <w:szCs w:val="32"/>
          <w:highlight w:val="none"/>
          <w:u w:val="none"/>
          <w:lang w:val="en-US" w:eastAsia="zh-CN" w:bidi="ar-SA"/>
        </w:rPr>
        <w:t>公用经费142.21万元，主要包括：办公费、 印刷费、水费、电费、邮电费、物业管理费、差旅费、维修</w:t>
      </w:r>
      <w:r>
        <w:rPr>
          <w:rFonts w:hint="eastAsia" w:ascii="Times New Roman" w:hAnsi="Times New Roman" w:eastAsia="仿宋_GB2312" w:cs="Times New Roman"/>
          <w:bCs/>
          <w:color w:val="auto"/>
          <w:kern w:val="44"/>
          <w:sz w:val="32"/>
          <w:szCs w:val="32"/>
          <w:highlight w:val="none"/>
          <w:u w:val="none"/>
          <w:lang w:val="en-US" w:eastAsia="zh-CN" w:bidi="ar-SA"/>
        </w:rPr>
        <w:t>（</w:t>
      </w:r>
      <w:r>
        <w:rPr>
          <w:rFonts w:hint="default" w:ascii="Times New Roman" w:hAnsi="Times New Roman" w:eastAsia="仿宋_GB2312" w:cs="Times New Roman"/>
          <w:bCs/>
          <w:color w:val="auto"/>
          <w:kern w:val="44"/>
          <w:sz w:val="32"/>
          <w:szCs w:val="32"/>
          <w:highlight w:val="none"/>
          <w:u w:val="none"/>
          <w:lang w:val="en-US" w:eastAsia="zh-CN" w:bidi="ar-SA"/>
        </w:rPr>
        <w:t>护</w:t>
      </w:r>
      <w:r>
        <w:rPr>
          <w:rFonts w:hint="eastAsia" w:ascii="Times New Roman" w:hAnsi="Times New Roman" w:eastAsia="仿宋_GB2312" w:cs="Times New Roman"/>
          <w:bCs/>
          <w:color w:val="auto"/>
          <w:kern w:val="44"/>
          <w:sz w:val="32"/>
          <w:szCs w:val="32"/>
          <w:highlight w:val="none"/>
          <w:u w:val="none"/>
          <w:lang w:val="en-US" w:eastAsia="zh-CN" w:bidi="ar-SA"/>
        </w:rPr>
        <w:t>）</w:t>
      </w:r>
      <w:r>
        <w:rPr>
          <w:rFonts w:hint="default" w:ascii="Times New Roman" w:hAnsi="Times New Roman" w:eastAsia="仿宋_GB2312" w:cs="Times New Roman"/>
          <w:bCs/>
          <w:color w:val="auto"/>
          <w:kern w:val="44"/>
          <w:sz w:val="32"/>
          <w:szCs w:val="32"/>
          <w:highlight w:val="none"/>
          <w:u w:val="none"/>
          <w:lang w:val="en-US" w:eastAsia="zh-CN" w:bidi="ar-SA"/>
        </w:rPr>
        <w:t>费、培训费、专用材料费、劳务费、委托业务费、工会经费、福利费、其他交通费用、其他商品和服务支出。</w:t>
      </w:r>
    </w:p>
    <w:p w14:paraId="43BE896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z w:val="32"/>
          <w:szCs w:val="32"/>
          <w:u w:val="none" w:color="auto"/>
        </w:rPr>
        <w:t>七、政府性基金预算财政拨款收入支出决算情</w:t>
      </w:r>
      <w:r>
        <w:rPr>
          <w:rFonts w:hint="default" w:ascii="Times New Roman" w:hAnsi="Times New Roman" w:eastAsia="黑体" w:cs="Times New Roman"/>
          <w:spacing w:val="-1"/>
          <w:sz w:val="32"/>
          <w:szCs w:val="32"/>
          <w:u w:val="none" w:color="auto"/>
        </w:rPr>
        <w:t>况说明</w:t>
      </w:r>
    </w:p>
    <w:p w14:paraId="37460F4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本部门当年无政府性基金预算财政拨款收入支出</w:t>
      </w:r>
    </w:p>
    <w:p w14:paraId="61EB34C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八、国有资本经营预算财政拨款支出决算情况说明</w:t>
      </w:r>
    </w:p>
    <w:p w14:paraId="11632C6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本部门当年无国有资本经营预算财政拨款支出</w:t>
      </w:r>
    </w:p>
    <w:p w14:paraId="479EF9B9">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u w:val="none" w:color="auto"/>
        </w:rPr>
      </w:pPr>
      <w:r>
        <w:rPr>
          <w:rFonts w:hint="default" w:ascii="Times New Roman" w:hAnsi="Times New Roman" w:eastAsia="黑体" w:cs="Times New Roman"/>
          <w:spacing w:val="-1"/>
          <w:sz w:val="32"/>
          <w:szCs w:val="32"/>
          <w:u w:val="none" w:color="auto"/>
        </w:rPr>
        <w:t>九、财政拨款“三公”经费支出决算情况说明</w:t>
      </w:r>
    </w:p>
    <w:p w14:paraId="0C02447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(一)“三公”经费财政拨款支出决算总体情况说明</w:t>
      </w:r>
    </w:p>
    <w:p w14:paraId="38EAEE2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202</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年度“三公”经费财政拨款支出预算为</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万元，支出决算为</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万元，完成预算的</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%；较上年增加</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BE0257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(二)“三公”经费财政拨款支出决算具体情况说明</w:t>
      </w:r>
    </w:p>
    <w:p w14:paraId="3A2DBDC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highlight w:val="yellow"/>
          <w:u w:val="none"/>
          <w:lang w:val="en-US" w:eastAsia="zh-CN"/>
        </w:rPr>
      </w:pPr>
      <w:r>
        <w:rPr>
          <w:rFonts w:hint="default" w:ascii="Times New Roman" w:hAnsi="Times New Roman" w:eastAsia="仿宋_GB2312" w:cs="Times New Roman"/>
          <w:color w:val="000000"/>
          <w:sz w:val="32"/>
          <w:szCs w:val="32"/>
          <w:highlight w:val="none"/>
          <w:u w:val="none"/>
        </w:rPr>
        <w:t>1.因公出国(境)费支出决算为</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default" w:ascii="Times New Roman" w:hAnsi="Times New Roman" w:eastAsia="仿宋_GB2312" w:cs="Times New Roman"/>
          <w:color w:val="000000"/>
          <w:sz w:val="32"/>
          <w:szCs w:val="32"/>
          <w:highlight w:val="none"/>
          <w:u w:val="none"/>
          <w:lang w:eastAsia="zh-CN"/>
        </w:rPr>
        <w:t>完成年初</w:t>
      </w:r>
      <w:r>
        <w:rPr>
          <w:rFonts w:hint="default" w:ascii="Times New Roman" w:hAnsi="Times New Roman" w:eastAsia="仿宋_GB2312" w:cs="Times New Roman"/>
          <w:color w:val="000000"/>
          <w:sz w:val="32"/>
          <w:szCs w:val="32"/>
          <w:highlight w:val="none"/>
          <w:u w:val="none"/>
        </w:rPr>
        <w:t>预算的</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%，比</w:t>
      </w:r>
      <w:r>
        <w:rPr>
          <w:rFonts w:hint="default" w:ascii="Times New Roman" w:hAnsi="Times New Roman" w:eastAsia="仿宋_GB2312" w:cs="Times New Roman"/>
          <w:color w:val="000000"/>
          <w:sz w:val="32"/>
          <w:szCs w:val="32"/>
          <w:highlight w:val="none"/>
          <w:u w:val="none"/>
          <w:lang w:eastAsia="zh-CN"/>
        </w:rPr>
        <w:t>年初</w:t>
      </w:r>
      <w:r>
        <w:rPr>
          <w:rFonts w:hint="default" w:ascii="Times New Roman" w:hAnsi="Times New Roman" w:eastAsia="仿宋_GB2312" w:cs="Times New Roman"/>
          <w:color w:val="000000"/>
          <w:sz w:val="32"/>
          <w:szCs w:val="32"/>
          <w:highlight w:val="none"/>
          <w:u w:val="none"/>
        </w:rPr>
        <w:t>预算增加(减少)</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eastAsia" w:ascii="Times New Roman" w:hAnsi="Times New Roman"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lang w:val="en-US" w:eastAsia="zh-CN"/>
        </w:rPr>
        <w:t>主要原因我校无“三公”经费。</w:t>
      </w:r>
    </w:p>
    <w:p w14:paraId="4E656D5C">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kern w:val="0"/>
          <w:sz w:val="32"/>
          <w:szCs w:val="32"/>
          <w:highlight w:val="yellow"/>
          <w:u w:val="none"/>
        </w:rPr>
      </w:pPr>
      <w:r>
        <w:rPr>
          <w:rFonts w:hint="default" w:ascii="Times New Roman" w:hAnsi="Times New Roman" w:eastAsia="仿宋_GB2312" w:cs="Times New Roman"/>
          <w:color w:val="000000"/>
          <w:kern w:val="0"/>
          <w:sz w:val="32"/>
          <w:szCs w:val="32"/>
          <w:highlight w:val="none"/>
          <w:u w:val="none"/>
        </w:rPr>
        <w:t>20</w:t>
      </w:r>
      <w:r>
        <w:rPr>
          <w:rFonts w:hint="default" w:ascii="Times New Roman" w:hAnsi="Times New Roman" w:eastAsia="仿宋_GB2312" w:cs="Times New Roman"/>
          <w:color w:val="000000"/>
          <w:kern w:val="0"/>
          <w:sz w:val="32"/>
          <w:szCs w:val="32"/>
          <w:highlight w:val="none"/>
          <w:u w:val="none"/>
          <w:lang w:val="en-US" w:eastAsia="zh-CN"/>
        </w:rPr>
        <w:t>2</w:t>
      </w:r>
      <w:r>
        <w:rPr>
          <w:rFonts w:hint="eastAsia" w:ascii="Times New Roman" w:hAnsi="Times New Roman" w:eastAsia="仿宋_GB2312" w:cs="Times New Roman"/>
          <w:color w:val="000000"/>
          <w:kern w:val="0"/>
          <w:sz w:val="32"/>
          <w:szCs w:val="32"/>
          <w:highlight w:val="none"/>
          <w:u w:val="none"/>
          <w:lang w:val="en-US" w:eastAsia="zh-CN"/>
        </w:rPr>
        <w:t>4</w:t>
      </w:r>
      <w:r>
        <w:rPr>
          <w:rFonts w:hint="default" w:ascii="Times New Roman" w:hAnsi="Times New Roman" w:eastAsia="仿宋_GB2312" w:cs="Times New Roman"/>
          <w:color w:val="000000"/>
          <w:kern w:val="0"/>
          <w:sz w:val="32"/>
          <w:szCs w:val="32"/>
          <w:highlight w:val="none"/>
          <w:u w:val="none"/>
        </w:rPr>
        <w:t>年</w:t>
      </w:r>
      <w:r>
        <w:rPr>
          <w:rFonts w:hint="default" w:ascii="Times New Roman" w:hAnsi="Times New Roman" w:eastAsia="仿宋_GB2312" w:cs="Times New Roman"/>
          <w:color w:val="000000"/>
          <w:kern w:val="0"/>
          <w:sz w:val="32"/>
          <w:szCs w:val="32"/>
          <w:highlight w:val="none"/>
          <w:u w:val="none"/>
          <w:lang w:eastAsia="zh-CN"/>
        </w:rPr>
        <w:t>度</w:t>
      </w:r>
      <w:r>
        <w:rPr>
          <w:rFonts w:hint="eastAsia" w:ascii="Times New Roman" w:hAnsi="Times New Roman" w:eastAsia="仿宋_GB2312" w:cs="Times New Roman"/>
          <w:color w:val="000000"/>
          <w:kern w:val="0"/>
          <w:sz w:val="32"/>
          <w:szCs w:val="32"/>
          <w:highlight w:val="none"/>
          <w:u w:val="none"/>
          <w:lang w:eastAsia="zh-CN"/>
        </w:rPr>
        <w:t>武汉市光谷第四初级中学</w:t>
      </w:r>
      <w:r>
        <w:rPr>
          <w:rFonts w:hint="default" w:ascii="Times New Roman" w:hAnsi="Times New Roman" w:eastAsia="仿宋_GB2312" w:cs="Times New Roman"/>
          <w:color w:val="000000"/>
          <w:kern w:val="0"/>
          <w:sz w:val="32"/>
          <w:szCs w:val="32"/>
          <w:highlight w:val="none"/>
          <w:u w:val="none"/>
        </w:rPr>
        <w:t>因公出国(境)团组</w:t>
      </w:r>
      <w:r>
        <w:rPr>
          <w:rFonts w:hint="eastAsia" w:ascii="Times New Roman" w:hAnsi="Times New Roman" w:eastAsia="仿宋_GB2312" w:cs="Times New Roman"/>
          <w:color w:val="000000"/>
          <w:kern w:val="0"/>
          <w:sz w:val="32"/>
          <w:szCs w:val="32"/>
          <w:highlight w:val="none"/>
          <w:u w:val="none"/>
          <w:lang w:val="en-US" w:eastAsia="zh-CN"/>
        </w:rPr>
        <w:t>0</w:t>
      </w:r>
      <w:r>
        <w:rPr>
          <w:rFonts w:hint="default" w:ascii="Times New Roman" w:hAnsi="Times New Roman" w:eastAsia="仿宋_GB2312" w:cs="Times New Roman"/>
          <w:color w:val="000000"/>
          <w:kern w:val="0"/>
          <w:sz w:val="32"/>
          <w:szCs w:val="32"/>
          <w:highlight w:val="none"/>
          <w:u w:val="none"/>
        </w:rPr>
        <w:t xml:space="preserve">   </w:t>
      </w:r>
      <w:r>
        <w:rPr>
          <w:rFonts w:hint="default" w:ascii="Times New Roman" w:hAnsi="Times New Roman" w:eastAsia="仿宋_GB2312" w:cs="Times New Roman"/>
          <w:color w:val="000000"/>
          <w:kern w:val="0"/>
          <w:sz w:val="32"/>
          <w:szCs w:val="32"/>
          <w:highlight w:val="none"/>
          <w:u w:val="none"/>
          <w:lang w:eastAsia="zh-CN"/>
        </w:rPr>
        <w:t>个</w:t>
      </w:r>
      <w:r>
        <w:rPr>
          <w:rFonts w:hint="default" w:ascii="Times New Roman" w:hAnsi="Times New Roman" w:eastAsia="仿宋_GB2312" w:cs="Times New Roman"/>
          <w:color w:val="000000"/>
          <w:kern w:val="0"/>
          <w:sz w:val="32"/>
          <w:szCs w:val="32"/>
          <w:highlight w:val="none"/>
          <w:u w:val="none"/>
        </w:rPr>
        <w:t>，</w:t>
      </w:r>
      <w:r>
        <w:rPr>
          <w:rFonts w:hint="eastAsia" w:ascii="Times New Roman" w:hAnsi="Times New Roman" w:eastAsia="仿宋_GB2312" w:cs="Times New Roman"/>
          <w:color w:val="000000"/>
          <w:kern w:val="0"/>
          <w:sz w:val="32"/>
          <w:szCs w:val="32"/>
          <w:highlight w:val="none"/>
          <w:u w:val="none"/>
          <w:lang w:val="en-US" w:eastAsia="zh-CN"/>
        </w:rPr>
        <w:t>0</w:t>
      </w:r>
      <w:r>
        <w:rPr>
          <w:rFonts w:hint="default" w:ascii="Times New Roman" w:hAnsi="Times New Roman" w:eastAsia="仿宋_GB2312" w:cs="Times New Roman"/>
          <w:color w:val="000000"/>
          <w:kern w:val="0"/>
          <w:sz w:val="32"/>
          <w:szCs w:val="32"/>
          <w:highlight w:val="none"/>
          <w:u w:val="none"/>
        </w:rPr>
        <w:t>人次，实际发生支出</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default" w:ascii="Times New Roman" w:hAnsi="Times New Roman" w:eastAsia="仿宋_GB2312" w:cs="Times New Roman"/>
          <w:color w:val="000000"/>
          <w:kern w:val="0"/>
          <w:sz w:val="32"/>
          <w:szCs w:val="32"/>
          <w:highlight w:val="none"/>
          <w:u w:val="none"/>
        </w:rPr>
        <w:t>。其中：住宿费</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default" w:ascii="Times New Roman" w:hAnsi="Times New Roman" w:eastAsia="仿宋_GB2312" w:cs="Times New Roman"/>
          <w:color w:val="000000"/>
          <w:kern w:val="0"/>
          <w:sz w:val="32"/>
          <w:szCs w:val="32"/>
          <w:highlight w:val="none"/>
          <w:u w:val="none"/>
        </w:rPr>
        <w:t>、旅费</w:t>
      </w:r>
      <w:r>
        <w:rPr>
          <w:rFonts w:hint="eastAsia" w:ascii="Times New Roman" w:hAnsi="Times New Roman" w:eastAsia="仿宋_GB2312" w:cs="Times New Roman"/>
          <w:color w:val="000000"/>
          <w:kern w:val="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default" w:ascii="Times New Roman" w:hAnsi="Times New Roman" w:eastAsia="仿宋_GB2312" w:cs="Times New Roman"/>
          <w:color w:val="000000"/>
          <w:kern w:val="0"/>
          <w:sz w:val="32"/>
          <w:szCs w:val="32"/>
          <w:highlight w:val="none"/>
          <w:u w:val="none"/>
        </w:rPr>
        <w:t>、伙食补助费</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default" w:ascii="Times New Roman" w:hAnsi="Times New Roman" w:eastAsia="仿宋_GB2312" w:cs="Times New Roman"/>
          <w:color w:val="000000"/>
          <w:kern w:val="0"/>
          <w:sz w:val="32"/>
          <w:szCs w:val="32"/>
          <w:highlight w:val="none"/>
          <w:u w:val="none"/>
        </w:rPr>
        <w:t>、培训费</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default" w:ascii="Times New Roman" w:hAnsi="Times New Roman" w:eastAsia="仿宋_GB2312" w:cs="Times New Roman"/>
          <w:color w:val="000000"/>
          <w:kern w:val="0"/>
          <w:sz w:val="32"/>
          <w:szCs w:val="32"/>
          <w:highlight w:val="none"/>
          <w:u w:val="none"/>
        </w:rPr>
        <w:t>、杂费</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default" w:ascii="Times New Roman" w:hAnsi="Times New Roman" w:eastAsia="仿宋_GB2312" w:cs="Times New Roman"/>
          <w:color w:val="000000"/>
          <w:kern w:val="0"/>
          <w:sz w:val="32"/>
          <w:szCs w:val="32"/>
          <w:highlight w:val="none"/>
          <w:u w:val="none"/>
        </w:rPr>
        <w:t>。</w:t>
      </w:r>
    </w:p>
    <w:p w14:paraId="6BCE98FE">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rPr>
        <w:t>2.公务用车购置及运行费支出决算为</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万元，完成</w:t>
      </w:r>
      <w:r>
        <w:rPr>
          <w:rFonts w:hint="default" w:ascii="Times New Roman" w:hAnsi="Times New Roman" w:eastAsia="仿宋_GB2312" w:cs="Times New Roman"/>
          <w:color w:val="000000"/>
          <w:sz w:val="32"/>
          <w:szCs w:val="32"/>
          <w:highlight w:val="none"/>
          <w:u w:val="none"/>
          <w:lang w:eastAsia="zh-CN"/>
        </w:rPr>
        <w:t>年初</w:t>
      </w:r>
      <w:r>
        <w:rPr>
          <w:rFonts w:hint="default" w:ascii="Times New Roman" w:hAnsi="Times New Roman" w:eastAsia="仿宋_GB2312" w:cs="Times New Roman"/>
          <w:color w:val="000000"/>
          <w:sz w:val="32"/>
          <w:szCs w:val="32"/>
          <w:highlight w:val="none"/>
          <w:u w:val="none"/>
        </w:rPr>
        <w:t>预算的</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w:t>
      </w:r>
      <w:r>
        <w:rPr>
          <w:rFonts w:hint="eastAsia" w:ascii="Times New Roman" w:hAnsi="Times New Roman"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lang w:val="en-US" w:eastAsia="zh-CN"/>
        </w:rPr>
        <w:t>主要原因我校无“三公”经费。</w:t>
      </w:r>
    </w:p>
    <w:p w14:paraId="62577932">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rPr>
        <w:t>3.公务接待费支出决算为</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default" w:ascii="Times New Roman" w:hAnsi="Times New Roman" w:eastAsia="仿宋_GB2312" w:cs="Times New Roman"/>
          <w:color w:val="000000"/>
          <w:sz w:val="32"/>
          <w:szCs w:val="32"/>
          <w:highlight w:val="none"/>
          <w:u w:val="none"/>
          <w:lang w:eastAsia="zh-CN"/>
        </w:rPr>
        <w:t>完成年初</w:t>
      </w:r>
      <w:r>
        <w:rPr>
          <w:rFonts w:hint="default" w:ascii="Times New Roman" w:hAnsi="Times New Roman" w:eastAsia="仿宋_GB2312" w:cs="Times New Roman"/>
          <w:color w:val="000000"/>
          <w:sz w:val="32"/>
          <w:szCs w:val="32"/>
          <w:highlight w:val="none"/>
          <w:u w:val="none"/>
        </w:rPr>
        <w:t>预算的</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%，比</w:t>
      </w:r>
      <w:r>
        <w:rPr>
          <w:rFonts w:hint="default" w:ascii="Times New Roman" w:hAnsi="Times New Roman" w:eastAsia="仿宋_GB2312" w:cs="Times New Roman"/>
          <w:color w:val="000000"/>
          <w:sz w:val="32"/>
          <w:szCs w:val="32"/>
          <w:highlight w:val="none"/>
          <w:u w:val="none"/>
          <w:lang w:eastAsia="zh-CN"/>
        </w:rPr>
        <w:t>年初</w:t>
      </w:r>
      <w:r>
        <w:rPr>
          <w:rFonts w:hint="default" w:ascii="Times New Roman" w:hAnsi="Times New Roman" w:eastAsia="仿宋_GB2312" w:cs="Times New Roman"/>
          <w:color w:val="000000"/>
          <w:sz w:val="32"/>
          <w:szCs w:val="32"/>
          <w:highlight w:val="none"/>
          <w:u w:val="none"/>
        </w:rPr>
        <w:t>预算增加(减少)</w:t>
      </w:r>
      <w:r>
        <w:rPr>
          <w:rFonts w:hint="eastAsia" w:ascii="Times New Roman" w:hAnsi="Times New Roman" w:eastAsia="仿宋_GB2312" w:cs="Times New Roman"/>
          <w:color w:val="000000"/>
          <w:sz w:val="32"/>
          <w:szCs w:val="32"/>
          <w:highlight w:val="none"/>
          <w:u w:val="none"/>
          <w:lang w:val="en-US" w:eastAsia="zh-CN"/>
        </w:rPr>
        <w:t>0</w:t>
      </w:r>
      <w:r>
        <w:rPr>
          <w:rFonts w:hint="default" w:ascii="Times New Roman" w:hAnsi="Times New Roman" w:eastAsia="仿宋_GB2312" w:cs="Times New Roman"/>
          <w:color w:val="000000"/>
          <w:sz w:val="32"/>
          <w:szCs w:val="32"/>
          <w:highlight w:val="none"/>
          <w:u w:val="none"/>
        </w:rPr>
        <w:t>万元，</w:t>
      </w:r>
      <w:r>
        <w:rPr>
          <w:rFonts w:hint="eastAsia" w:ascii="Times New Roman" w:hAnsi="Times New Roman" w:eastAsia="仿宋_GB2312" w:cs="Times New Roman"/>
          <w:color w:val="000000"/>
          <w:sz w:val="32"/>
          <w:szCs w:val="32"/>
          <w:highlight w:val="none"/>
          <w:u w:val="none"/>
          <w:lang w:val="en-US" w:eastAsia="zh-CN"/>
        </w:rPr>
        <w:t>主要原因我校无“三公”经费。</w:t>
      </w:r>
    </w:p>
    <w:p w14:paraId="146CBC2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十、机关运行经费支出说明</w:t>
      </w:r>
    </w:p>
    <w:p w14:paraId="0D9571A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sz w:val="32"/>
          <w:szCs w:val="32"/>
          <w:u w:val="none"/>
        </w:rPr>
        <w:t>本部门当年无机关运行经费支出</w:t>
      </w:r>
    </w:p>
    <w:p w14:paraId="54079F5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highlight w:val="none"/>
          <w:u w:val="none" w:color="auto"/>
        </w:rPr>
      </w:pPr>
      <w:r>
        <w:rPr>
          <w:rFonts w:hint="default" w:ascii="Times New Roman" w:hAnsi="Times New Roman" w:eastAsia="黑体" w:cs="Times New Roman"/>
          <w:spacing w:val="-2"/>
          <w:sz w:val="32"/>
          <w:szCs w:val="32"/>
          <w:highlight w:val="none"/>
          <w:u w:val="none" w:color="auto"/>
        </w:rPr>
        <w:t>十一、政府采购支出说明</w:t>
      </w:r>
    </w:p>
    <w:p w14:paraId="5A29CEC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highlight w:val="none"/>
          <w:u w:val="none" w:color="auto"/>
        </w:rPr>
      </w:pPr>
      <w:r>
        <w:rPr>
          <w:rFonts w:hint="default" w:ascii="Times New Roman" w:hAnsi="Times New Roman" w:eastAsia="仿宋_GB2312" w:cs="Times New Roman"/>
          <w:spacing w:val="-6"/>
          <w:highlight w:val="none"/>
          <w:u w:val="none" w:color="auto"/>
        </w:rPr>
        <w:t>202</w:t>
      </w:r>
      <w:r>
        <w:rPr>
          <w:rFonts w:hint="eastAsia" w:ascii="Times New Roman" w:hAnsi="Times New Roman" w:eastAsia="仿宋_GB2312" w:cs="Times New Roman"/>
          <w:spacing w:val="-6"/>
          <w:highlight w:val="none"/>
          <w:u w:val="none" w:color="auto"/>
          <w:lang w:val="en-US" w:eastAsia="zh-CN"/>
        </w:rPr>
        <w:t>4</w:t>
      </w:r>
      <w:r>
        <w:rPr>
          <w:rFonts w:hint="default" w:ascii="Times New Roman" w:hAnsi="Times New Roman" w:eastAsia="仿宋_GB2312" w:cs="Times New Roman"/>
          <w:spacing w:val="-6"/>
          <w:highlight w:val="none"/>
          <w:u w:val="none" w:color="auto"/>
        </w:rPr>
        <w:t>年度</w:t>
      </w:r>
      <w:r>
        <w:rPr>
          <w:rFonts w:hint="eastAsia" w:ascii="Times New Roman" w:hAnsi="Times New Roman" w:eastAsia="仿宋_GB2312" w:cs="Times New Roman"/>
          <w:spacing w:val="-6"/>
          <w:highlight w:val="none"/>
          <w:u w:val="none" w:color="auto"/>
          <w:lang w:eastAsia="zh-CN"/>
        </w:rPr>
        <w:t>武汉市光谷第四初级中学</w:t>
      </w:r>
      <w:r>
        <w:rPr>
          <w:rFonts w:hint="default" w:ascii="Times New Roman" w:hAnsi="Times New Roman" w:eastAsia="仿宋_GB2312" w:cs="Times New Roman"/>
          <w:spacing w:val="-6"/>
          <w:highlight w:val="none"/>
          <w:u w:val="none" w:color="auto"/>
        </w:rPr>
        <w:t>政府采购支出总额</w:t>
      </w:r>
      <w:r>
        <w:rPr>
          <w:rFonts w:hint="eastAsia" w:ascii="Times New Roman" w:hAnsi="Times New Roman" w:eastAsia="仿宋_GB2312" w:cs="Times New Roman"/>
          <w:spacing w:val="-6"/>
          <w:highlight w:val="none"/>
          <w:u w:val="none" w:color="auto"/>
          <w:lang w:val="en-US" w:eastAsia="zh-CN"/>
        </w:rPr>
        <w:t>40.32</w:t>
      </w:r>
      <w:r>
        <w:rPr>
          <w:rFonts w:hint="default" w:ascii="Times New Roman" w:hAnsi="Times New Roman" w:eastAsia="仿宋_GB2312" w:cs="Times New Roman"/>
          <w:spacing w:val="-6"/>
          <w:highlight w:val="none"/>
          <w:u w:val="none" w:color="auto"/>
        </w:rPr>
        <w:t>万元，其中：政府采购货物支出</w:t>
      </w:r>
      <w:r>
        <w:rPr>
          <w:rFonts w:hint="eastAsia" w:ascii="Times New Roman" w:hAnsi="Times New Roman" w:eastAsia="仿宋_GB2312" w:cs="Times New Roman"/>
          <w:spacing w:val="-6"/>
          <w:highlight w:val="none"/>
          <w:u w:val="none" w:color="auto"/>
          <w:lang w:val="en-US" w:eastAsia="zh-CN"/>
        </w:rPr>
        <w:t>7.9</w:t>
      </w:r>
      <w:r>
        <w:rPr>
          <w:rFonts w:hint="default" w:ascii="Times New Roman" w:hAnsi="Times New Roman" w:eastAsia="仿宋_GB2312" w:cs="Times New Roman"/>
          <w:spacing w:val="-6"/>
          <w:highlight w:val="none"/>
          <w:u w:val="none" w:color="auto"/>
        </w:rPr>
        <w:t>万元、政府采购服务支出</w:t>
      </w:r>
      <w:r>
        <w:rPr>
          <w:rFonts w:hint="eastAsia" w:ascii="Times New Roman" w:hAnsi="Times New Roman" w:eastAsia="仿宋_GB2312" w:cs="Times New Roman"/>
          <w:spacing w:val="-6"/>
          <w:highlight w:val="none"/>
          <w:u w:val="none" w:color="auto"/>
          <w:lang w:val="en-US" w:eastAsia="zh-CN"/>
        </w:rPr>
        <w:t>32.42</w:t>
      </w:r>
      <w:r>
        <w:rPr>
          <w:rFonts w:hint="default" w:ascii="Times New Roman" w:hAnsi="Times New Roman" w:eastAsia="仿宋_GB2312" w:cs="Times New Roman"/>
          <w:spacing w:val="-6"/>
          <w:highlight w:val="none"/>
          <w:u w:val="none" w:color="auto"/>
        </w:rPr>
        <w:t>万元。</w:t>
      </w:r>
    </w:p>
    <w:p w14:paraId="6691CEA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十二、国有资产占用情况说明</w:t>
      </w:r>
    </w:p>
    <w:p w14:paraId="5920CAA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outlineLvl w:val="0"/>
        <w:rPr>
          <w:rFonts w:hint="default" w:ascii="Times New Roman" w:hAnsi="Times New Roman" w:eastAsia="仿宋_GB2312" w:cs="Times New Roman"/>
          <w:bCs/>
          <w:kern w:val="44"/>
          <w:sz w:val="32"/>
          <w:szCs w:val="32"/>
          <w:highlight w:val="none"/>
          <w:u w:val="none"/>
        </w:rPr>
      </w:pPr>
      <w:r>
        <w:rPr>
          <w:rFonts w:hint="default" w:ascii="Times New Roman" w:hAnsi="Times New Roman" w:eastAsia="仿宋_GB2312" w:cs="Times New Roman"/>
          <w:bCs/>
          <w:kern w:val="44"/>
          <w:sz w:val="32"/>
          <w:szCs w:val="32"/>
          <w:highlight w:val="none"/>
          <w:u w:val="none"/>
        </w:rPr>
        <w:t>截至20</w:t>
      </w:r>
      <w:r>
        <w:rPr>
          <w:rFonts w:hint="default" w:ascii="Times New Roman" w:hAnsi="Times New Roman" w:eastAsia="仿宋_GB2312" w:cs="Times New Roman"/>
          <w:bCs/>
          <w:kern w:val="44"/>
          <w:sz w:val="32"/>
          <w:szCs w:val="32"/>
          <w:highlight w:val="none"/>
          <w:u w:val="none"/>
          <w:lang w:val="en-US" w:eastAsia="zh-CN"/>
        </w:rPr>
        <w:t>2</w:t>
      </w:r>
      <w:r>
        <w:rPr>
          <w:rFonts w:hint="eastAsia" w:ascii="Times New Roman" w:hAnsi="Times New Roman" w:eastAsia="仿宋_GB2312" w:cs="Times New Roman"/>
          <w:bCs/>
          <w:kern w:val="44"/>
          <w:sz w:val="32"/>
          <w:szCs w:val="32"/>
          <w:highlight w:val="none"/>
          <w:u w:val="none"/>
          <w:lang w:val="en-US" w:eastAsia="zh-CN"/>
        </w:rPr>
        <w:t>4</w:t>
      </w:r>
      <w:r>
        <w:rPr>
          <w:rFonts w:hint="default" w:ascii="Times New Roman" w:hAnsi="Times New Roman" w:eastAsia="仿宋_GB2312" w:cs="Times New Roman"/>
          <w:bCs/>
          <w:kern w:val="44"/>
          <w:sz w:val="32"/>
          <w:szCs w:val="32"/>
          <w:highlight w:val="none"/>
          <w:u w:val="none"/>
        </w:rPr>
        <w:t>年12月31日，</w:t>
      </w:r>
      <w:r>
        <w:rPr>
          <w:rFonts w:hint="eastAsia" w:ascii="Times New Roman" w:hAnsi="Times New Roman" w:eastAsia="仿宋_GB2312" w:cs="Times New Roman"/>
          <w:bCs/>
          <w:sz w:val="32"/>
          <w:szCs w:val="32"/>
          <w:highlight w:val="none"/>
          <w:u w:val="none"/>
          <w:lang w:eastAsia="zh-CN"/>
        </w:rPr>
        <w:t>武汉市光谷第四初级中学</w:t>
      </w:r>
      <w:r>
        <w:rPr>
          <w:rFonts w:hint="default" w:ascii="Times New Roman" w:hAnsi="Times New Roman" w:eastAsia="仿宋_GB2312" w:cs="Times New Roman"/>
          <w:bCs/>
          <w:kern w:val="44"/>
          <w:sz w:val="32"/>
          <w:szCs w:val="32"/>
          <w:highlight w:val="none"/>
          <w:u w:val="none"/>
        </w:rPr>
        <w:t>共有车辆</w:t>
      </w:r>
      <w:r>
        <w:rPr>
          <w:rFonts w:hint="eastAsia" w:ascii="Times New Roman" w:hAnsi="Times New Roman" w:eastAsia="仿宋_GB2312" w:cs="Times New Roman"/>
          <w:bCs/>
          <w:kern w:val="44"/>
          <w:sz w:val="32"/>
          <w:szCs w:val="32"/>
          <w:highlight w:val="none"/>
          <w:u w:val="none"/>
          <w:lang w:val="en-US" w:eastAsia="zh-CN"/>
        </w:rPr>
        <w:t>0</w:t>
      </w:r>
      <w:r>
        <w:rPr>
          <w:rFonts w:hint="default" w:ascii="Times New Roman" w:hAnsi="Times New Roman" w:eastAsia="仿宋_GB2312" w:cs="Times New Roman"/>
          <w:bCs/>
          <w:kern w:val="44"/>
          <w:sz w:val="32"/>
          <w:szCs w:val="32"/>
          <w:highlight w:val="none"/>
          <w:u w:val="none"/>
        </w:rPr>
        <w:t>辆</w:t>
      </w:r>
      <w:r>
        <w:rPr>
          <w:rFonts w:hint="eastAsia" w:ascii="Times New Roman" w:hAnsi="Times New Roman" w:eastAsia="仿宋_GB2312" w:cs="Times New Roman"/>
          <w:bCs/>
          <w:kern w:val="44"/>
          <w:sz w:val="32"/>
          <w:szCs w:val="32"/>
          <w:highlight w:val="none"/>
          <w:u w:val="none"/>
          <w:lang w:eastAsia="zh-CN"/>
        </w:rPr>
        <w:t>；</w:t>
      </w:r>
      <w:r>
        <w:rPr>
          <w:rFonts w:hint="default" w:ascii="Times New Roman" w:hAnsi="Times New Roman" w:eastAsia="仿宋_GB2312" w:cs="Times New Roman"/>
          <w:bCs/>
          <w:kern w:val="44"/>
          <w:sz w:val="32"/>
          <w:szCs w:val="32"/>
          <w:highlight w:val="none"/>
          <w:u w:val="none"/>
        </w:rPr>
        <w:t>单价50 万元(含)以上通用设备</w:t>
      </w:r>
      <w:r>
        <w:rPr>
          <w:rFonts w:hint="eastAsia" w:ascii="Times New Roman" w:hAnsi="Times New Roman" w:eastAsia="仿宋_GB2312" w:cs="Times New Roman"/>
          <w:bCs/>
          <w:kern w:val="44"/>
          <w:sz w:val="32"/>
          <w:szCs w:val="32"/>
          <w:highlight w:val="none"/>
          <w:u w:val="none"/>
          <w:lang w:val="en-US" w:eastAsia="zh-CN"/>
        </w:rPr>
        <w:t>0</w:t>
      </w:r>
      <w:r>
        <w:rPr>
          <w:rFonts w:hint="default" w:ascii="Times New Roman" w:hAnsi="Times New Roman" w:eastAsia="仿宋_GB2312" w:cs="Times New Roman"/>
          <w:bCs/>
          <w:kern w:val="44"/>
          <w:sz w:val="32"/>
          <w:szCs w:val="32"/>
          <w:highlight w:val="none"/>
          <w:u w:val="none"/>
        </w:rPr>
        <w:t>台(套)，单价100万元(含)以上专用设备</w:t>
      </w:r>
      <w:r>
        <w:rPr>
          <w:rFonts w:hint="eastAsia" w:ascii="Times New Roman" w:hAnsi="Times New Roman" w:eastAsia="仿宋_GB2312" w:cs="Times New Roman"/>
          <w:bCs/>
          <w:kern w:val="44"/>
          <w:sz w:val="32"/>
          <w:szCs w:val="32"/>
          <w:highlight w:val="none"/>
          <w:u w:val="none"/>
          <w:lang w:val="en-US" w:eastAsia="zh-CN"/>
        </w:rPr>
        <w:t>0</w:t>
      </w:r>
      <w:r>
        <w:rPr>
          <w:rFonts w:hint="default" w:ascii="Times New Roman" w:hAnsi="Times New Roman" w:eastAsia="仿宋_GB2312" w:cs="Times New Roman"/>
          <w:bCs/>
          <w:kern w:val="44"/>
          <w:sz w:val="32"/>
          <w:szCs w:val="32"/>
          <w:highlight w:val="none"/>
          <w:u w:val="none"/>
        </w:rPr>
        <w:t>台(套)。</w:t>
      </w:r>
    </w:p>
    <w:p w14:paraId="1FE1989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十三、预算绩效情况说明</w:t>
      </w:r>
    </w:p>
    <w:p w14:paraId="20EE03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一</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预算绩效管理工作开展情况</w:t>
      </w:r>
    </w:p>
    <w:p w14:paraId="3CD990C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outlineLvl w:val="0"/>
        <w:rPr>
          <w:rFonts w:hint="default" w:ascii="Times New Roman" w:hAnsi="Times New Roman" w:eastAsia="仿宋_GB2312" w:cs="Times New Roman"/>
          <w:u w:val="none" w:color="auto"/>
        </w:rPr>
      </w:pPr>
      <w:r>
        <w:rPr>
          <w:rFonts w:hint="default" w:ascii="Times New Roman" w:hAnsi="Times New Roman" w:eastAsia="仿宋_GB2312" w:cs="Times New Roman"/>
          <w:bCs/>
          <w:kern w:val="44"/>
          <w:sz w:val="32"/>
          <w:szCs w:val="32"/>
          <w:highlight w:val="none"/>
          <w:u w:val="none"/>
        </w:rPr>
        <w:t>根据预算绩效管理要求，我单位组织对 202</w:t>
      </w:r>
      <w:r>
        <w:rPr>
          <w:rFonts w:hint="eastAsia" w:ascii="Times New Roman" w:hAnsi="Times New Roman" w:eastAsia="仿宋_GB2312" w:cs="Times New Roman"/>
          <w:bCs/>
          <w:kern w:val="44"/>
          <w:sz w:val="32"/>
          <w:szCs w:val="32"/>
          <w:highlight w:val="none"/>
          <w:u w:val="none"/>
          <w:lang w:val="en-US" w:eastAsia="zh-CN"/>
        </w:rPr>
        <w:t>4</w:t>
      </w:r>
      <w:r>
        <w:rPr>
          <w:rFonts w:hint="default" w:ascii="Times New Roman" w:hAnsi="Times New Roman" w:eastAsia="仿宋_GB2312" w:cs="Times New Roman"/>
          <w:bCs/>
          <w:kern w:val="44"/>
          <w:sz w:val="32"/>
          <w:szCs w:val="32"/>
          <w:highlight w:val="none"/>
          <w:u w:val="none"/>
        </w:rPr>
        <w:t xml:space="preserve"> 年度一般公共预算项目支出全面开展绩效自评，共涉及项目</w:t>
      </w:r>
      <w:r>
        <w:rPr>
          <w:rFonts w:hint="eastAsia" w:ascii="Times New Roman" w:hAnsi="Times New Roman" w:eastAsia="仿宋_GB2312" w:cs="Times New Roman"/>
          <w:bCs/>
          <w:kern w:val="44"/>
          <w:sz w:val="32"/>
          <w:szCs w:val="32"/>
          <w:highlight w:val="none"/>
          <w:u w:val="none"/>
          <w:lang w:val="en-US" w:eastAsia="zh-CN"/>
        </w:rPr>
        <w:t>4</w:t>
      </w:r>
      <w:r>
        <w:rPr>
          <w:rFonts w:hint="default" w:ascii="Times New Roman" w:hAnsi="Times New Roman" w:eastAsia="仿宋_GB2312" w:cs="Times New Roman"/>
          <w:bCs/>
          <w:kern w:val="44"/>
          <w:sz w:val="32"/>
          <w:szCs w:val="32"/>
          <w:highlight w:val="none"/>
          <w:u w:val="none"/>
        </w:rPr>
        <w:t>个，资金</w:t>
      </w:r>
      <w:r>
        <w:rPr>
          <w:rFonts w:hint="eastAsia" w:ascii="Times New Roman" w:hAnsi="Times New Roman" w:eastAsia="仿宋_GB2312" w:cs="Times New Roman"/>
          <w:bCs/>
          <w:kern w:val="44"/>
          <w:sz w:val="32"/>
          <w:szCs w:val="32"/>
          <w:highlight w:val="none"/>
          <w:u w:val="none"/>
          <w:lang w:val="en-US" w:eastAsia="zh-CN"/>
        </w:rPr>
        <w:t>81.49</w:t>
      </w:r>
      <w:r>
        <w:rPr>
          <w:rFonts w:hint="default" w:ascii="Times New Roman" w:hAnsi="Times New Roman" w:eastAsia="仿宋_GB2312" w:cs="Times New Roman"/>
          <w:bCs/>
          <w:kern w:val="44"/>
          <w:sz w:val="32"/>
          <w:szCs w:val="32"/>
          <w:highlight w:val="none"/>
          <w:u w:val="none"/>
        </w:rPr>
        <w:t>万元， 占一般公共预算</w:t>
      </w:r>
      <w:r>
        <w:rPr>
          <w:rFonts w:hint="eastAsia" w:ascii="Times New Roman" w:hAnsi="Times New Roman" w:eastAsia="仿宋_GB2312" w:cs="Times New Roman"/>
          <w:bCs/>
          <w:kern w:val="44"/>
          <w:sz w:val="32"/>
          <w:szCs w:val="32"/>
          <w:highlight w:val="none"/>
          <w:u w:val="none"/>
          <w:lang w:val="en-US" w:eastAsia="zh-CN"/>
        </w:rPr>
        <w:t>财政拨款</w:t>
      </w:r>
      <w:r>
        <w:rPr>
          <w:rFonts w:hint="default" w:ascii="Times New Roman" w:hAnsi="Times New Roman" w:eastAsia="仿宋_GB2312" w:cs="Times New Roman"/>
          <w:bCs/>
          <w:kern w:val="44"/>
          <w:sz w:val="32"/>
          <w:szCs w:val="32"/>
          <w:highlight w:val="none"/>
          <w:u w:val="none"/>
        </w:rPr>
        <w:t>支出总额的</w:t>
      </w:r>
      <w:r>
        <w:rPr>
          <w:rFonts w:hint="eastAsia" w:ascii="Times New Roman" w:hAnsi="Times New Roman" w:eastAsia="仿宋_GB2312" w:cs="Times New Roman"/>
          <w:bCs/>
          <w:kern w:val="44"/>
          <w:sz w:val="32"/>
          <w:szCs w:val="32"/>
          <w:highlight w:val="none"/>
          <w:u w:val="none"/>
          <w:lang w:val="en-US" w:eastAsia="zh-CN"/>
        </w:rPr>
        <w:t>4.08</w:t>
      </w:r>
      <w:r>
        <w:rPr>
          <w:rFonts w:hint="default" w:ascii="Times New Roman" w:hAnsi="Times New Roman" w:eastAsia="仿宋_GB2312" w:cs="Times New Roman"/>
          <w:bCs/>
          <w:kern w:val="44"/>
          <w:sz w:val="32"/>
          <w:szCs w:val="32"/>
          <w:highlight w:val="none"/>
          <w:u w:val="none"/>
        </w:rPr>
        <w:t xml:space="preserve"> %。</w:t>
      </w:r>
      <w:r>
        <w:rPr>
          <w:rFonts w:hint="eastAsia" w:ascii="Times New Roman" w:hAnsi="Times New Roman" w:eastAsia="仿宋_GB2312" w:cs="Times New Roman"/>
          <w:bCs/>
          <w:kern w:val="44"/>
          <w:sz w:val="32"/>
          <w:szCs w:val="32"/>
          <w:highlight w:val="none"/>
          <w:u w:val="none"/>
          <w:lang w:val="en-US" w:eastAsia="zh-CN"/>
        </w:rPr>
        <w:t>从绩效评价情况来看，整体支出资金严格按照相关法律法规、规范性文件的要求进行支出，产出情况较好，该项工作在预定时间内及时积极完成。项目实施效果明显，整体工作具有较好的社会效益，服务对象满意度高。</w:t>
      </w:r>
    </w:p>
    <w:p w14:paraId="51AABAE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二</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单位整体支出自评结果</w:t>
      </w:r>
    </w:p>
    <w:p w14:paraId="0070A93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 w:cs="Times New Roman"/>
          <w:sz w:val="32"/>
          <w:szCs w:val="32"/>
          <w:highlight w:val="none"/>
          <w:u w:val="none"/>
          <w:lang w:val="en-US" w:eastAsia="zh-CN"/>
        </w:rPr>
      </w:pPr>
      <w:r>
        <w:rPr>
          <w:rFonts w:hint="default" w:ascii="Times New Roman" w:hAnsi="Times New Roman" w:eastAsia="仿宋" w:cs="Times New Roman"/>
          <w:sz w:val="32"/>
          <w:szCs w:val="32"/>
          <w:highlight w:val="none"/>
          <w:u w:val="none"/>
          <w:lang w:val="en-US" w:eastAsia="zh-CN"/>
        </w:rPr>
        <w:t>我单位组织对</w:t>
      </w:r>
      <w:r>
        <w:rPr>
          <w:rFonts w:hint="eastAsia" w:ascii="Times New Roman" w:hAnsi="Times New Roman" w:eastAsia="仿宋" w:cs="Times New Roman"/>
          <w:sz w:val="32"/>
          <w:szCs w:val="32"/>
          <w:highlight w:val="none"/>
          <w:u w:val="none"/>
          <w:lang w:val="en-US" w:eastAsia="zh-CN"/>
        </w:rPr>
        <w:t>本单位</w:t>
      </w:r>
      <w:r>
        <w:rPr>
          <w:rFonts w:hint="default" w:ascii="Times New Roman" w:hAnsi="Times New Roman" w:eastAsia="仿宋" w:cs="Times New Roman"/>
          <w:sz w:val="32"/>
          <w:szCs w:val="32"/>
          <w:highlight w:val="none"/>
          <w:u w:val="none"/>
          <w:lang w:val="en-US" w:eastAsia="zh-CN"/>
        </w:rPr>
        <w:t>开展整体支出绩效自评，资金</w:t>
      </w:r>
      <w:r>
        <w:rPr>
          <w:rFonts w:hint="eastAsia" w:ascii="Times New Roman" w:hAnsi="Times New Roman" w:eastAsia="仿宋_GB2312" w:cs="Times New Roman"/>
          <w:bCs/>
          <w:kern w:val="44"/>
          <w:sz w:val="32"/>
          <w:szCs w:val="32"/>
          <w:highlight w:val="none"/>
          <w:u w:val="none"/>
          <w:lang w:val="en-US" w:eastAsia="zh-CN"/>
        </w:rPr>
        <w:t>81.49</w:t>
      </w:r>
      <w:r>
        <w:rPr>
          <w:rFonts w:hint="default" w:ascii="Times New Roman" w:hAnsi="Times New Roman" w:eastAsia="仿宋" w:cs="Times New Roman"/>
          <w:sz w:val="32"/>
          <w:szCs w:val="32"/>
          <w:highlight w:val="none"/>
          <w:u w:val="none"/>
          <w:lang w:val="en-US" w:eastAsia="zh-CN"/>
        </w:rPr>
        <w:t>万元</w:t>
      </w:r>
      <w:r>
        <w:rPr>
          <w:rFonts w:hint="eastAsia" w:ascii="Times New Roman" w:hAnsi="Times New Roman" w:eastAsia="仿宋" w:cs="Times New Roman"/>
          <w:sz w:val="32"/>
          <w:szCs w:val="32"/>
          <w:highlight w:val="none"/>
          <w:u w:val="none"/>
          <w:lang w:val="en-US" w:eastAsia="zh-CN"/>
        </w:rPr>
        <w:t>，评价情况来看，整体绩效完成度较高。</w:t>
      </w:r>
    </w:p>
    <w:p w14:paraId="0ED8A0D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三</w:t>
      </w: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项目支出自评结果</w:t>
      </w:r>
    </w:p>
    <w:p w14:paraId="52A6EE8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我单位在</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4"/>
          <w:u w:val="none" w:color="auto"/>
        </w:rPr>
        <w:t>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4"/>
          <w:u w:val="none" w:color="auto"/>
        </w:rPr>
        <w:t>年度部门决算中反映所有项目绩效自</w:t>
      </w:r>
      <w:r>
        <w:rPr>
          <w:rFonts w:hint="default" w:ascii="Times New Roman" w:hAnsi="Times New Roman" w:eastAsia="仿宋_GB2312" w:cs="Times New Roman"/>
          <w:spacing w:val="-1"/>
          <w:u w:val="none" w:color="auto"/>
        </w:rPr>
        <w:t>评结果</w:t>
      </w:r>
      <w:r>
        <w:rPr>
          <w:rFonts w:hint="eastAsia" w:ascii="Times New Roman" w:hAnsi="Times New Roman" w:eastAsia="仿宋_GB2312" w:cs="Times New Roman"/>
          <w:spacing w:val="-1"/>
          <w:u w:val="none" w:color="auto"/>
          <w:lang w:val="en-US" w:eastAsia="zh-CN"/>
        </w:rPr>
        <w:t>良好</w:t>
      </w:r>
      <w:r>
        <w:rPr>
          <w:rFonts w:hint="default" w:ascii="Times New Roman" w:hAnsi="Times New Roman" w:eastAsia="仿宋_GB2312" w:cs="Times New Roman"/>
          <w:spacing w:val="-1"/>
          <w:u w:val="none" w:color="auto"/>
        </w:rPr>
        <w:t>，共涉及</w:t>
      </w:r>
      <w:r>
        <w:rPr>
          <w:rFonts w:hint="eastAsia" w:ascii="Times New Roman" w:hAnsi="Times New Roman" w:eastAsia="仿宋_GB2312" w:cs="Times New Roman"/>
          <w:spacing w:val="-1"/>
          <w:u w:val="none" w:color="auto"/>
          <w:lang w:val="en-US" w:eastAsia="zh-CN"/>
        </w:rPr>
        <w:t>4</w:t>
      </w:r>
      <w:r>
        <w:rPr>
          <w:rFonts w:hint="default" w:ascii="Times New Roman" w:hAnsi="Times New Roman" w:eastAsia="仿宋_GB2312" w:cs="Times New Roman"/>
          <w:spacing w:val="-1"/>
          <w:u w:val="none" w:color="auto"/>
        </w:rPr>
        <w:t>个一级项目。</w:t>
      </w:r>
    </w:p>
    <w:p w14:paraId="0767C84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highlight w:val="none"/>
          <w:u w:val="none"/>
          <w:lang w:val="en-US" w:eastAsia="zh-CN"/>
        </w:rPr>
      </w:pPr>
      <w:r>
        <w:rPr>
          <w:rFonts w:hint="default" w:ascii="Times New Roman" w:hAnsi="Times New Roman" w:eastAsia="仿宋_GB2312" w:cs="Times New Roman"/>
          <w:bCs/>
          <w:kern w:val="44"/>
          <w:sz w:val="32"/>
          <w:szCs w:val="32"/>
          <w:highlight w:val="none"/>
          <w:u w:val="none"/>
          <w:lang w:val="en-US" w:eastAsia="zh-CN"/>
        </w:rPr>
        <w:t>教育事业发展专项</w:t>
      </w:r>
      <w:r>
        <w:rPr>
          <w:rFonts w:hint="eastAsia" w:ascii="Times New Roman" w:hAnsi="Times New Roman" w:eastAsia="仿宋_GB2312" w:cs="Times New Roman"/>
          <w:bCs/>
          <w:kern w:val="44"/>
          <w:sz w:val="32"/>
          <w:szCs w:val="32"/>
          <w:highlight w:val="none"/>
          <w:u w:val="none"/>
          <w:lang w:val="en-US" w:eastAsia="zh-CN"/>
        </w:rPr>
        <w:t>经费项目绩效自评综述：项目全年执行数为12万元。主要产出和效益是：本项经费主要用于我校教联体建设项目和现代化考点建设，新建升级了标准化考点建设，与区内教联体学校联合举办了多次教育教学交流活动，促进了教学水平提升。发现的问题及原因：教联体学校的协同发展是一个长期且持续的过程，需要分步骤、分阶段持续性推进实施和建设。</w:t>
      </w:r>
    </w:p>
    <w:p w14:paraId="6E17E0F3">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Times New Roman" w:hAnsi="Times New Roman" w:eastAsia="仿宋_GB2312" w:cs="Times New Roman"/>
          <w:bCs/>
          <w:kern w:val="44"/>
          <w:sz w:val="32"/>
          <w:szCs w:val="32"/>
          <w:highlight w:val="none"/>
          <w:u w:val="none"/>
          <w:lang w:val="en-US" w:eastAsia="zh-CN"/>
        </w:rPr>
      </w:pPr>
      <w:r>
        <w:rPr>
          <w:rFonts w:hint="eastAsia" w:ascii="Times New Roman" w:hAnsi="Times New Roman" w:eastAsia="仿宋_GB2312" w:cs="Times New Roman"/>
          <w:bCs/>
          <w:kern w:val="44"/>
          <w:sz w:val="32"/>
          <w:szCs w:val="32"/>
          <w:highlight w:val="none"/>
          <w:u w:val="none"/>
          <w:lang w:val="en-US" w:eastAsia="zh-CN"/>
        </w:rPr>
        <w:t>城乡义务教育补助经费项目绩效自评综述：项目全年执行数为46.85万元。主要产出和效益是：我校为2020年新建校，2024年学生人数、教师人数都有一个大幅上涨，随之而来的学校各类公用开支也有个大幅提升。发现的问题及原因：对于学校的公用开支的预算及安排，需要更加着眼于长远，提前做好规划和计划，持续性推进实施和建设。</w:t>
      </w:r>
    </w:p>
    <w:p w14:paraId="17F43FF5">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Times New Roman" w:hAnsi="Times New Roman" w:eastAsia="仿宋_GB2312" w:cs="Times New Roman"/>
          <w:bCs/>
          <w:kern w:val="44"/>
          <w:sz w:val="32"/>
          <w:szCs w:val="32"/>
          <w:highlight w:val="none"/>
          <w:u w:val="none"/>
          <w:lang w:val="en-US" w:eastAsia="zh-CN"/>
        </w:rPr>
      </w:pPr>
      <w:r>
        <w:rPr>
          <w:rFonts w:hint="eastAsia" w:ascii="Times New Roman" w:hAnsi="Times New Roman" w:eastAsia="仿宋_GB2312" w:cs="Times New Roman"/>
          <w:bCs/>
          <w:kern w:val="44"/>
          <w:sz w:val="32"/>
          <w:szCs w:val="32"/>
          <w:highlight w:val="none"/>
          <w:u w:val="none"/>
          <w:lang w:val="en-US" w:eastAsia="zh-CN"/>
        </w:rPr>
        <w:t>城乡义务教育经费保障机制省级资金项目绩效自评综述：项目全年执行数为20.64万元。主要产出和效益是：我校2024年班额数较上年度有增长，学生人数、教师人数都有一个大幅上涨，随之而来的学校各类公用开支也有个大幅提升。发现的问题及原因：对于学校的公用开支的预算及安排，需要更加着眼于长远，提前做好规划和计划，持续性推进实施和建设。</w:t>
      </w:r>
    </w:p>
    <w:p w14:paraId="565B6CA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Times New Roman" w:hAnsi="Times New Roman" w:eastAsia="仿宋_GB2312" w:cs="Times New Roman"/>
          <w:bCs/>
          <w:kern w:val="44"/>
          <w:sz w:val="32"/>
          <w:szCs w:val="32"/>
          <w:highlight w:val="none"/>
          <w:u w:val="none"/>
          <w:lang w:val="en-US" w:eastAsia="zh-CN"/>
        </w:rPr>
      </w:pPr>
      <w:r>
        <w:rPr>
          <w:rFonts w:hint="eastAsia" w:ascii="Times New Roman" w:hAnsi="Times New Roman" w:eastAsia="仿宋_GB2312" w:cs="Times New Roman"/>
          <w:bCs/>
          <w:kern w:val="44"/>
          <w:sz w:val="32"/>
          <w:szCs w:val="32"/>
          <w:highlight w:val="none"/>
          <w:u w:val="none"/>
          <w:lang w:val="en-US" w:eastAsia="zh-CN"/>
        </w:rPr>
        <w:t>教育保障机制及重点项目补助项目绩效自评综述：项目全年执行数为2万元。主要产出和效益是：本项经费主要用于我校中英校际联线项目，与对口英国学校联合举办了多次教育教学交流活动，促进了我校教学国际化水平的提升。发现的问题及原因：中英校际联线对我校来说是一个全新挑战，对于具体的协同方式及合作形式，还需要后续工作中不断加以创新和改进。</w:t>
      </w:r>
    </w:p>
    <w:p w14:paraId="772C77E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四</w:t>
      </w: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绩效自评结果应用情况</w:t>
      </w:r>
    </w:p>
    <w:p w14:paraId="723CEF45">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 w:cs="Times New Roman"/>
          <w:sz w:val="32"/>
          <w:szCs w:val="32"/>
          <w:highlight w:val="none"/>
          <w:u w:val="none"/>
          <w:lang w:val="en-US" w:eastAsia="zh-CN"/>
        </w:rPr>
      </w:pPr>
      <w:r>
        <w:rPr>
          <w:rFonts w:hint="eastAsia" w:ascii="Times New Roman" w:hAnsi="Times New Roman" w:eastAsia="仿宋_GB2312" w:cs="Times New Roman"/>
          <w:bCs/>
          <w:kern w:val="44"/>
          <w:sz w:val="32"/>
          <w:szCs w:val="32"/>
          <w:highlight w:val="none"/>
          <w:u w:val="none"/>
          <w:lang w:val="en-US" w:eastAsia="zh-CN"/>
        </w:rPr>
        <w:t>以上各项目从数量指标、质量指标、时效指标等方面要求量化产出，加强项目管理，着力打造符合校园定位的相关建设，竭力经费使用与预算安排相一致。</w:t>
      </w:r>
    </w:p>
    <w:p w14:paraId="11B309D0">
      <w:pPr>
        <w:rPr>
          <w:rFonts w:hint="default" w:ascii="Times New Roman" w:hAnsi="Times New Roman" w:eastAsia="仿宋_GB2312" w:cs="Times New Roman"/>
          <w:b/>
          <w:bCs/>
          <w:sz w:val="32"/>
          <w:szCs w:val="32"/>
          <w:u w:val="none" w:color="auto"/>
        </w:rPr>
      </w:pPr>
      <w:r>
        <w:rPr>
          <w:rFonts w:hint="default" w:ascii="Times New Roman" w:hAnsi="Times New Roman" w:eastAsia="仿宋_GB2312" w:cs="Times New Roman"/>
          <w:b/>
          <w:bCs/>
          <w:sz w:val="32"/>
          <w:szCs w:val="32"/>
          <w:u w:val="none" w:color="auto"/>
        </w:rPr>
        <w:br w:type="page"/>
      </w:r>
    </w:p>
    <w:p w14:paraId="3CE3A5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u w:val="none" w:color="auto"/>
        </w:rPr>
      </w:pPr>
      <w:r>
        <w:rPr>
          <w:rFonts w:hint="eastAsia" w:ascii="方正小标宋_GBK" w:hAnsi="方正小标宋_GBK" w:eastAsia="方正小标宋_GBK" w:cs="方正小标宋_GBK"/>
          <w:spacing w:val="-2"/>
          <w:sz w:val="44"/>
          <w:szCs w:val="44"/>
          <w:u w:val="none" w:color="auto"/>
        </w:rPr>
        <w:t xml:space="preserve">第四部分  </w:t>
      </w:r>
      <w:r>
        <w:rPr>
          <w:rFonts w:hint="eastAsia" w:ascii="Times New Roman" w:hAnsi="方正小标宋_GBK" w:eastAsia="方正小标宋_GBK" w:cs="方正小标宋_GBK"/>
          <w:spacing w:val="-2"/>
          <w:sz w:val="44"/>
          <w:szCs w:val="44"/>
          <w:u w:val="none" w:color="auto"/>
        </w:rPr>
        <w:t>202</w:t>
      </w:r>
      <w:r>
        <w:rPr>
          <w:rFonts w:hint="eastAsia" w:ascii="Times New Roman" w:hAnsi="方正小标宋_GBK" w:eastAsia="方正小标宋_GBK" w:cs="方正小标宋_GBK"/>
          <w:spacing w:val="-2"/>
          <w:sz w:val="44"/>
          <w:szCs w:val="44"/>
          <w:u w:val="none" w:color="auto"/>
          <w:lang w:val="en-US" w:eastAsia="zh-CN"/>
        </w:rPr>
        <w:t>4</w:t>
      </w:r>
      <w:r>
        <w:rPr>
          <w:rFonts w:hint="eastAsia" w:ascii="方正小标宋_GBK" w:hAnsi="方正小标宋_GBK" w:eastAsia="方正小标宋_GBK" w:cs="方正小标宋_GBK"/>
          <w:spacing w:val="-82"/>
          <w:sz w:val="44"/>
          <w:szCs w:val="44"/>
          <w:u w:val="none" w:color="auto"/>
        </w:rPr>
        <w:t xml:space="preserve"> </w:t>
      </w:r>
      <w:r>
        <w:rPr>
          <w:rFonts w:hint="eastAsia" w:ascii="方正小标宋_GBK" w:hAnsi="方正小标宋_GBK" w:eastAsia="方正小标宋_GBK" w:cs="方正小标宋_GBK"/>
          <w:spacing w:val="-2"/>
          <w:sz w:val="44"/>
          <w:szCs w:val="44"/>
          <w:u w:val="none" w:color="auto"/>
        </w:rPr>
        <w:t>年重点工作完成情况</w:t>
      </w:r>
    </w:p>
    <w:p w14:paraId="18297446">
      <w:pPr>
        <w:spacing w:line="249" w:lineRule="auto"/>
        <w:rPr>
          <w:rFonts w:hint="default" w:ascii="Times New Roman" w:hAnsi="Times New Roman" w:cs="Times New Roman"/>
          <w:sz w:val="21"/>
          <w:u w:val="none" w:color="auto"/>
        </w:rPr>
      </w:pPr>
    </w:p>
    <w:p w14:paraId="6D61D6EC">
      <w:pPr>
        <w:pStyle w:val="3"/>
        <w:keepNext w:val="0"/>
        <w:keepLines w:val="0"/>
        <w:pageBreakBefore w:val="0"/>
        <w:widowControl/>
        <w:kinsoku w:val="0"/>
        <w:wordWrap/>
        <w:overflowPunct/>
        <w:topLinePunct w:val="0"/>
        <w:autoSpaceDE w:val="0"/>
        <w:autoSpaceDN w:val="0"/>
        <w:bidi w:val="0"/>
        <w:adjustRightInd w:val="0"/>
        <w:snapToGrid w:val="0"/>
        <w:spacing w:line="284" w:lineRule="auto"/>
        <w:ind w:left="0" w:right="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2024年是光谷四初发展的第五年，这一年是学校品牌建设年，我校的工作重点在对过去四年的工作梳理小结、调整优化、局部创新，具体包含十个方面内容。</w:t>
      </w:r>
    </w:p>
    <w:p w14:paraId="17944A3E">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right="0" w:firstLine="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党建引领</w:t>
      </w:r>
    </w:p>
    <w:p w14:paraId="23FF8CAB">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加强师生思想政治工作，厚植师生家国观、集体观、学校观，教师要坚守立德树人的赤子之心，学生要有为党为国的理想信念，有计划开展党员教师红色研学活动。</w:t>
      </w:r>
    </w:p>
    <w:p w14:paraId="58C25A6B">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leftChars="0" w:right="0" w:rightChars="0" w:firstLine="0" w:firstLineChars="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安全强化</w:t>
      </w:r>
    </w:p>
    <w:p w14:paraId="4DC4CFF1">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安全管理、安全教育常态化，牢牢守住安全底线，呵护每一个生命健康安全；同时守住师德师风安全、网络舆情安全。按要求完成消防、危化品用房改造。</w:t>
      </w:r>
    </w:p>
    <w:p w14:paraId="2CD508A3">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leftChars="0" w:right="0" w:firstLine="0" w:firstLineChars="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制度修订</w:t>
      </w:r>
    </w:p>
    <w:p w14:paraId="3E4F416B">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从过去倡导的 “家文化” 走向组织文化、团队文化，要用看得见的制度来管理，用制度引领教师文化自觉。建设教师工作量核定方案，完善教师绩效工资发放方案。</w:t>
      </w:r>
    </w:p>
    <w:p w14:paraId="2BF9869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leftChars="0" w:right="0" w:firstLine="0" w:firstLineChars="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课改升级</w:t>
      </w:r>
    </w:p>
    <w:p w14:paraId="61953959">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修订学本课堂模式，设计 “流程 + 工具” 的课堂教学包，让教师有更强的教学自主权；进一步深化新课程标准学习，确定本年为 “教学目标设计研究年”，升级学本课堂竞赛活动，选送一批优秀选手到更高平台参与竞技。</w:t>
      </w:r>
    </w:p>
    <w:p w14:paraId="6481D4F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leftChars="0" w:right="0" w:firstLine="0" w:firstLineChars="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课程绘谱</w:t>
      </w:r>
    </w:p>
    <w:p w14:paraId="12F6DCEA">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绘制学校课程图谱，形成学校课程系统，打造学校一批精品课程，做到实施有效果、媒体有声音。重点进行德育课程建设。</w:t>
      </w:r>
    </w:p>
    <w:p w14:paraId="622FFA2B">
      <w:pPr>
        <w:pStyle w:val="3"/>
        <w:keepNext w:val="0"/>
        <w:keepLines w:val="0"/>
        <w:pageBreakBefore w:val="0"/>
        <w:widowControl/>
        <w:kinsoku w:val="0"/>
        <w:wordWrap/>
        <w:overflowPunct/>
        <w:topLinePunct w:val="0"/>
        <w:autoSpaceDE w:val="0"/>
        <w:autoSpaceDN w:val="0"/>
        <w:bidi w:val="0"/>
        <w:adjustRightInd w:val="0"/>
        <w:snapToGrid w:val="0"/>
        <w:spacing w:line="284" w:lineRule="auto"/>
        <w:ind w:left="0" w:right="0" w:firstLine="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p>
    <w:p w14:paraId="25CDADA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leftChars="0" w:right="0" w:firstLine="0" w:firstLineChars="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治理创新</w:t>
      </w:r>
    </w:p>
    <w:p w14:paraId="704B06D9">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运用好家校社协同力量，营造学校发展良好环境；激活师生活力，体现师生主体，强化年级组、学科组（备课组）在一线作战的管理职能。</w:t>
      </w:r>
    </w:p>
    <w:p w14:paraId="5B22E7BF">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leftChars="0" w:right="0" w:firstLine="0" w:firstLineChars="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数字赋能</w:t>
      </w:r>
    </w:p>
    <w:p w14:paraId="47DBB312">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数字转型是时代发展的潮流，拥抱数字是走向未来的必然路径，学校要打造更多成熟的数字赋能运用场景，要看到数字赋能质量的提升，筹备好年底的数字转型现场会，加强人工智能应用的研究。</w:t>
      </w:r>
    </w:p>
    <w:p w14:paraId="0D9685C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leftChars="0" w:right="0" w:firstLine="0" w:firstLineChars="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队伍夯基</w:t>
      </w:r>
    </w:p>
    <w:p w14:paraId="1B62DD45">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大力弘扬教育家精神，争做时代大先生，引领教师在对职业的深度理解、专业自信中感教师之美；关注优势教师，关心弱势教师，打造志同道合的四初合伙人团队。开展多轮次、多形式的教师培训活动。</w:t>
      </w:r>
    </w:p>
    <w:p w14:paraId="5210DC1D">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leftChars="0" w:right="0" w:firstLine="0" w:firstLineChars="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质量提升</w:t>
      </w:r>
    </w:p>
    <w:p w14:paraId="7A1F5DDB">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追求德智体美劳全面发展的质量，坚定抓好学生素质提升工作，打造学校德育工作品培养具有四初气质特点的学生；抓好九年级备考工作，确保升学率底线目标。</w:t>
      </w:r>
    </w:p>
    <w:p w14:paraId="4F8AA11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284" w:lineRule="auto"/>
        <w:ind w:left="0" w:leftChars="0" w:right="0" w:firstLine="0" w:firstLineChars="0"/>
        <w:textAlignment w:val="baseline"/>
        <w:rPr>
          <w:rFonts w:hint="eastAsia" w:ascii="Times New Roman" w:hAnsi="Times New Roman" w:eastAsia="仿宋_GB2312" w:cs="Times New Roman"/>
          <w:b/>
          <w:bCs w:val="0"/>
          <w:snapToGrid w:val="0"/>
          <w:color w:val="000000"/>
          <w:kern w:val="44"/>
          <w:sz w:val="32"/>
          <w:szCs w:val="32"/>
          <w:highlight w:val="none"/>
          <w:u w:val="none"/>
          <w:lang w:val="en-US" w:eastAsia="zh-CN" w:bidi="ar-SA"/>
        </w:rPr>
      </w:pPr>
      <w:r>
        <w:rPr>
          <w:rFonts w:hint="eastAsia" w:ascii="Times New Roman" w:hAnsi="Times New Roman" w:eastAsia="仿宋_GB2312" w:cs="Times New Roman"/>
          <w:b/>
          <w:bCs w:val="0"/>
          <w:snapToGrid w:val="0"/>
          <w:color w:val="000000"/>
          <w:kern w:val="44"/>
          <w:sz w:val="32"/>
          <w:szCs w:val="32"/>
          <w:highlight w:val="none"/>
          <w:u w:val="none"/>
          <w:lang w:val="en-US" w:eastAsia="zh-CN" w:bidi="ar-SA"/>
        </w:rPr>
        <w:t>文化塑品</w:t>
      </w:r>
    </w:p>
    <w:p w14:paraId="1B1CB513">
      <w:pPr>
        <w:pStyle w:val="3"/>
        <w:keepNext w:val="0"/>
        <w:keepLines w:val="0"/>
        <w:pageBreakBefore w:val="0"/>
        <w:widowControl/>
        <w:numPr>
          <w:numId w:val="0"/>
        </w:numPr>
        <w:kinsoku w:val="0"/>
        <w:wordWrap/>
        <w:overflowPunct/>
        <w:topLinePunct w:val="0"/>
        <w:autoSpaceDE w:val="0"/>
        <w:autoSpaceDN w:val="0"/>
        <w:bidi w:val="0"/>
        <w:adjustRightInd w:val="0"/>
        <w:snapToGrid w:val="0"/>
        <w:spacing w:line="284" w:lineRule="auto"/>
        <w:ind w:leftChars="0" w:right="0" w:rightChars="0" w:firstLine="640" w:firstLineChars="200"/>
        <w:textAlignment w:val="baseline"/>
        <w:rPr>
          <w:rFonts w:hint="eastAsia" w:ascii="Times New Roman" w:hAnsi="Times New Roman" w:eastAsia="仿宋_GB2312" w:cs="Times New Roman"/>
          <w:bCs/>
          <w:snapToGrid w:val="0"/>
          <w:color w:val="000000"/>
          <w:kern w:val="44"/>
          <w:sz w:val="32"/>
          <w:szCs w:val="32"/>
          <w:highlight w:val="none"/>
          <w:u w:val="none"/>
          <w:lang w:val="en-US" w:eastAsia="zh-CN" w:bidi="ar-SA"/>
        </w:rPr>
      </w:pPr>
      <w:r>
        <w:rPr>
          <w:rFonts w:hint="eastAsia" w:ascii="Times New Roman" w:hAnsi="Times New Roman" w:eastAsia="仿宋_GB2312" w:cs="Times New Roman"/>
          <w:bCs/>
          <w:snapToGrid w:val="0"/>
          <w:color w:val="000000"/>
          <w:kern w:val="44"/>
          <w:sz w:val="32"/>
          <w:szCs w:val="32"/>
          <w:highlight w:val="none"/>
          <w:u w:val="none"/>
          <w:lang w:val="en-US" w:eastAsia="zh-CN" w:bidi="ar-SA"/>
        </w:rPr>
        <w:t>丰富学校文化价值内涵，学校文化深入人心，形成光谷四初办学文化自信和文化自觉更多的校园语录和校园故事传播；以科研赋能学校品牌提升，把学校重点难点转为课题研究，用果。重塑“一班一品”班级文化，升级墙面文化，通过校园十大活动促进学校理念和文化的渗透。</w:t>
      </w:r>
    </w:p>
    <w:p w14:paraId="3D885C6F">
      <w:pPr>
        <w:rPr>
          <w:rFonts w:hint="default" w:ascii="Times New Roman" w:hAnsi="Times New Roman" w:cs="Times New Roman"/>
          <w:u w:val="none" w:color="auto"/>
          <w:lang w:val="en-US" w:eastAsia="zh-CN"/>
        </w:rPr>
      </w:pPr>
    </w:p>
    <w:p w14:paraId="3E191F7F">
      <w:pPr>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br w:type="page"/>
      </w:r>
      <w:bookmarkStart w:id="0" w:name="_GoBack"/>
      <w:bookmarkEnd w:id="0"/>
    </w:p>
    <w:p w14:paraId="1F02F2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t>第五部分  名词解释</w:t>
      </w:r>
    </w:p>
    <w:p w14:paraId="35BBD948">
      <w:pPr>
        <w:spacing w:line="398" w:lineRule="auto"/>
        <w:rPr>
          <w:rFonts w:hint="default" w:ascii="Times New Roman" w:hAnsi="Times New Roman" w:cs="Times New Roman"/>
          <w:sz w:val="21"/>
          <w:u w:val="none" w:color="auto"/>
        </w:rPr>
      </w:pPr>
    </w:p>
    <w:p w14:paraId="5D092B1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一</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一般公共预算财政拨款收入：指</w:t>
      </w:r>
      <w:r>
        <w:rPr>
          <w:rFonts w:hint="default" w:ascii="Times New Roman" w:hAnsi="Times New Roman" w:eastAsia="仿宋_GB2312" w:cs="Times New Roman"/>
          <w:spacing w:val="4"/>
          <w:u w:val="none" w:color="auto"/>
          <w:lang w:eastAsia="zh-CN"/>
        </w:rPr>
        <w:t>区</w:t>
      </w:r>
      <w:r>
        <w:rPr>
          <w:rFonts w:hint="default" w:ascii="Times New Roman" w:hAnsi="Times New Roman" w:eastAsia="仿宋_GB2312" w:cs="Times New Roman"/>
          <w:spacing w:val="4"/>
          <w:u w:val="none" w:color="auto"/>
        </w:rPr>
        <w:t>级财政一般公共预</w:t>
      </w:r>
      <w:r>
        <w:rPr>
          <w:rFonts w:hint="default" w:ascii="Times New Roman" w:hAnsi="Times New Roman" w:eastAsia="仿宋_GB2312" w:cs="Times New Roman"/>
          <w:spacing w:val="7"/>
          <w:u w:val="none" w:color="auto"/>
        </w:rPr>
        <w:t xml:space="preserve"> </w:t>
      </w:r>
      <w:r>
        <w:rPr>
          <w:rFonts w:hint="default" w:ascii="Times New Roman" w:hAnsi="Times New Roman" w:eastAsia="仿宋_GB2312" w:cs="Times New Roman"/>
          <w:spacing w:val="-1"/>
          <w:u w:val="none" w:color="auto"/>
        </w:rPr>
        <w:t>算当年拨付的资金。</w:t>
      </w:r>
    </w:p>
    <w:p w14:paraId="3452588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二</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政府性基金预算财政拨款收入：指</w:t>
      </w:r>
      <w:r>
        <w:rPr>
          <w:rFonts w:hint="default" w:ascii="Times New Roman" w:hAnsi="Times New Roman" w:eastAsia="仿宋_GB2312" w:cs="Times New Roman"/>
          <w:spacing w:val="-7"/>
          <w:u w:val="none" w:color="auto"/>
          <w:lang w:eastAsia="zh-CN"/>
        </w:rPr>
        <w:t>区</w:t>
      </w:r>
      <w:r>
        <w:rPr>
          <w:rFonts w:hint="default" w:ascii="Times New Roman" w:hAnsi="Times New Roman" w:eastAsia="仿宋_GB2312" w:cs="Times New Roman"/>
          <w:spacing w:val="-7"/>
          <w:u w:val="none" w:color="auto"/>
        </w:rPr>
        <w:t>级财政政</w:t>
      </w:r>
      <w:r>
        <w:rPr>
          <w:rFonts w:hint="default" w:ascii="Times New Roman" w:hAnsi="Times New Roman" w:eastAsia="仿宋_GB2312" w:cs="Times New Roman"/>
          <w:spacing w:val="-8"/>
          <w:u w:val="none" w:color="auto"/>
        </w:rPr>
        <w:t>府性基金</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预算当年拨付的资金。</w:t>
      </w:r>
    </w:p>
    <w:p w14:paraId="66089D6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三</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国有资本经营预算财政拨款收入：指</w:t>
      </w:r>
      <w:r>
        <w:rPr>
          <w:rFonts w:hint="default" w:ascii="Times New Roman" w:hAnsi="Times New Roman" w:eastAsia="仿宋_GB2312" w:cs="Times New Roman"/>
          <w:spacing w:val="-8"/>
          <w:u w:val="none" w:color="auto"/>
          <w:lang w:eastAsia="zh-CN"/>
        </w:rPr>
        <w:t>区</w:t>
      </w:r>
      <w:r>
        <w:rPr>
          <w:rFonts w:hint="default" w:ascii="Times New Roman" w:hAnsi="Times New Roman" w:eastAsia="仿宋_GB2312" w:cs="Times New Roman"/>
          <w:spacing w:val="-8"/>
          <w:u w:val="none" w:color="auto"/>
        </w:rPr>
        <w:t>级财政国有资本</w:t>
      </w:r>
      <w:r>
        <w:rPr>
          <w:rFonts w:hint="default" w:ascii="Times New Roman" w:hAnsi="Times New Roman" w:eastAsia="仿宋_GB2312" w:cs="Times New Roman"/>
          <w:spacing w:val="18"/>
          <w:u w:val="none" w:color="auto"/>
        </w:rPr>
        <w:t xml:space="preserve"> </w:t>
      </w:r>
      <w:r>
        <w:rPr>
          <w:rFonts w:hint="default" w:ascii="Times New Roman" w:hAnsi="Times New Roman" w:eastAsia="仿宋_GB2312" w:cs="Times New Roman"/>
          <w:spacing w:val="-2"/>
          <w:u w:val="none" w:color="auto"/>
        </w:rPr>
        <w:t>经营预算当年拨付的资金。</w:t>
      </w:r>
    </w:p>
    <w:p w14:paraId="48A01BC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四</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上级补助收入：指从事业单位主管部门和上级</w:t>
      </w:r>
      <w:r>
        <w:rPr>
          <w:rFonts w:hint="default" w:ascii="Times New Roman" w:hAnsi="Times New Roman" w:eastAsia="仿宋_GB2312" w:cs="Times New Roman"/>
          <w:spacing w:val="-8"/>
          <w:u w:val="none" w:color="auto"/>
        </w:rPr>
        <w:t>单位取得</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5"/>
          <w:u w:val="none" w:color="auto"/>
        </w:rPr>
        <w:t>的非财政补助收入。</w:t>
      </w:r>
    </w:p>
    <w:p w14:paraId="2017454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五</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事业收入：指事业单位开展专业业务活动及其辅助活动</w:t>
      </w:r>
      <w:r>
        <w:rPr>
          <w:rFonts w:hint="default" w:ascii="Times New Roman" w:hAnsi="Times New Roman" w:eastAsia="仿宋_GB2312" w:cs="Times New Roman"/>
          <w:spacing w:val="1"/>
          <w:u w:val="none" w:color="auto"/>
        </w:rPr>
        <w:t xml:space="preserve"> </w:t>
      </w:r>
      <w:r>
        <w:rPr>
          <w:rFonts w:hint="default" w:ascii="Times New Roman" w:hAnsi="Times New Roman" w:eastAsia="仿宋_GB2312" w:cs="Times New Roman"/>
          <w:spacing w:val="-3"/>
          <w:u w:val="none" w:color="auto"/>
        </w:rPr>
        <w:t>取得的收入。</w:t>
      </w:r>
    </w:p>
    <w:p w14:paraId="0043F74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六</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经营收入：指事业单位在专业业务活动及其辅助活动之</w:t>
      </w:r>
      <w:r>
        <w:rPr>
          <w:rFonts w:hint="default" w:ascii="Times New Roman" w:hAnsi="Times New Roman" w:eastAsia="仿宋_GB2312" w:cs="Times New Roman"/>
          <w:spacing w:val="1"/>
          <w:u w:val="none" w:color="auto"/>
        </w:rPr>
        <w:t xml:space="preserve"> </w:t>
      </w:r>
      <w:r>
        <w:rPr>
          <w:rFonts w:hint="default" w:ascii="Times New Roman" w:hAnsi="Times New Roman" w:eastAsia="仿宋_GB2312" w:cs="Times New Roman"/>
          <w:spacing w:val="-2"/>
          <w:u w:val="none" w:color="auto"/>
        </w:rPr>
        <w:t>外开展非独立核算经营活动取得的收入。</w:t>
      </w:r>
    </w:p>
    <w:p w14:paraId="2256359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七</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其他收入：指单位取得的除上述“一般公共预算财政拨</w:t>
      </w:r>
      <w:r>
        <w:rPr>
          <w:rFonts w:hint="default" w:ascii="Times New Roman" w:hAnsi="Times New Roman" w:eastAsia="仿宋_GB2312" w:cs="Times New Roman"/>
          <w:spacing w:val="9"/>
          <w:u w:val="none" w:color="auto"/>
        </w:rPr>
        <w:t xml:space="preserve">  </w:t>
      </w:r>
      <w:r>
        <w:rPr>
          <w:rFonts w:hint="default" w:ascii="Times New Roman" w:hAnsi="Times New Roman" w:eastAsia="仿宋_GB2312" w:cs="Times New Roman"/>
          <w:spacing w:val="-16"/>
          <w:u w:val="none" w:color="auto"/>
        </w:rPr>
        <w:t>款收入”、“政府性基金预算财政拨款收入”、“国有资本经营预</w:t>
      </w:r>
      <w:r>
        <w:rPr>
          <w:rFonts w:hint="default" w:ascii="Times New Roman" w:hAnsi="Times New Roman" w:eastAsia="仿宋_GB2312" w:cs="Times New Roman"/>
          <w:spacing w:val="-26"/>
          <w:u w:val="none" w:color="auto"/>
        </w:rPr>
        <w:t>算财政拨款收入”、“上级补助收入”、“事业收入”、</w:t>
      </w:r>
      <w:r>
        <w:rPr>
          <w:rFonts w:hint="default" w:ascii="Times New Roman" w:hAnsi="Times New Roman" w:eastAsia="仿宋_GB2312" w:cs="Times New Roman"/>
          <w:spacing w:val="-27"/>
          <w:u w:val="none" w:color="auto"/>
        </w:rPr>
        <w:t>“经营收入”</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等收入以外的各项收入。</w:t>
      </w:r>
      <w:r>
        <w:rPr>
          <w:rFonts w:hint="default" w:ascii="Times New Roman" w:hAnsi="Times New Roman" w:eastAsia="仿宋_GB2312" w:cs="Times New Roman"/>
          <w:spacing w:val="-38"/>
          <w:u w:val="none" w:color="auto"/>
        </w:rPr>
        <w:t xml:space="preserve"> </w:t>
      </w:r>
    </w:p>
    <w:p w14:paraId="6F474C8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八</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使用非财政拨款结余</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含专用结余</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：指事业单位按预算</w:t>
      </w:r>
      <w:r>
        <w:rPr>
          <w:rFonts w:hint="default" w:ascii="Times New Roman" w:hAnsi="Times New Roman" w:eastAsia="仿宋_GB2312" w:cs="Times New Roman"/>
          <w:spacing w:val="6"/>
          <w:u w:val="none" w:color="auto"/>
        </w:rPr>
        <w:t>管理要求使用非财政拨款结余</w:t>
      </w:r>
      <w:r>
        <w:rPr>
          <w:rFonts w:hint="default"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含专用结余</w:t>
      </w:r>
      <w:r>
        <w:rPr>
          <w:rFonts w:hint="default"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弥补收支差额的金</w:t>
      </w:r>
      <w:r>
        <w:rPr>
          <w:rFonts w:hint="default" w:ascii="Times New Roman" w:hAnsi="Times New Roman" w:eastAsia="仿宋_GB2312" w:cs="Times New Roman"/>
          <w:spacing w:val="-10"/>
          <w:u w:val="none" w:color="auto"/>
        </w:rPr>
        <w:t>额。</w:t>
      </w:r>
    </w:p>
    <w:p w14:paraId="0E3D4B7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九</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年初结转和结余：指单位以前年度尚未完成、</w:t>
      </w:r>
      <w:r>
        <w:rPr>
          <w:rFonts w:hint="default" w:ascii="Times New Roman" w:hAnsi="Times New Roman" w:eastAsia="仿宋_GB2312" w:cs="Times New Roman"/>
          <w:spacing w:val="-8"/>
          <w:u w:val="none" w:color="auto"/>
        </w:rPr>
        <w:t>结转到本</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5"/>
          <w:u w:val="none" w:color="auto"/>
        </w:rPr>
        <w:t>年仍按原规定用途继续使用的资金，或项目已完成等产生的结余</w:t>
      </w:r>
      <w:r>
        <w:rPr>
          <w:rFonts w:hint="default" w:ascii="Times New Roman" w:hAnsi="Times New Roman" w:eastAsia="仿宋_GB2312" w:cs="Times New Roman"/>
          <w:spacing w:val="9"/>
          <w:u w:val="none" w:color="auto"/>
        </w:rPr>
        <w:t xml:space="preserve"> </w:t>
      </w:r>
      <w:r>
        <w:rPr>
          <w:rFonts w:hint="default" w:ascii="Times New Roman" w:hAnsi="Times New Roman" w:eastAsia="仿宋_GB2312" w:cs="Times New Roman"/>
          <w:spacing w:val="-5"/>
          <w:u w:val="none" w:color="auto"/>
        </w:rPr>
        <w:t>资金。</w:t>
      </w:r>
    </w:p>
    <w:p w14:paraId="78C0A7F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十</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本部门使用的支出功能分类科目</w:t>
      </w:r>
    </w:p>
    <w:p w14:paraId="195D5CE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仿宋_GB2312" w:cs="Times New Roman"/>
          <w:spacing w:val="-2"/>
          <w:u w:val="none" w:color="auto"/>
          <w:lang w:val="en-US" w:eastAsia="zh-CN"/>
        </w:rPr>
      </w:pPr>
      <w:r>
        <w:rPr>
          <w:rFonts w:hint="eastAsia" w:ascii="Times New Roman" w:hAnsi="Times New Roman" w:eastAsia="仿宋_GB2312" w:cs="Times New Roman"/>
          <w:spacing w:val="-2"/>
          <w:u w:val="none" w:color="auto"/>
          <w:lang w:val="en-US" w:eastAsia="zh-CN"/>
        </w:rPr>
        <w:t>无特殊项目</w:t>
      </w:r>
    </w:p>
    <w:p w14:paraId="37E3EF6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十一</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结余分配：指单位按照会计制度规定缴纳企</w:t>
      </w:r>
      <w:r>
        <w:rPr>
          <w:rFonts w:hint="default" w:ascii="Times New Roman" w:hAnsi="Times New Roman" w:eastAsia="仿宋_GB2312" w:cs="Times New Roman"/>
          <w:spacing w:val="-8"/>
          <w:u w:val="none" w:color="auto"/>
        </w:rPr>
        <w:t>业所得税</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2"/>
          <w:u w:val="none" w:color="auto"/>
        </w:rPr>
        <w:t>以及从非财政拨款结余或经营结余中提取各类结余的情况。</w:t>
      </w:r>
    </w:p>
    <w:p w14:paraId="37547E4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十二</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年末结转和结余：指单位按有关规定结转到</w:t>
      </w:r>
      <w:r>
        <w:rPr>
          <w:rFonts w:hint="default" w:ascii="Times New Roman" w:hAnsi="Times New Roman" w:eastAsia="仿宋_GB2312" w:cs="Times New Roman"/>
          <w:spacing w:val="-8"/>
          <w:u w:val="none" w:color="auto"/>
        </w:rPr>
        <w:t>下年或以</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后年度继续使用的资金，或项目已完成等产生的结余资金。</w:t>
      </w:r>
    </w:p>
    <w:p w14:paraId="2D82EDB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十三</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基本支出：指为保障机构正常运转、完成日</w:t>
      </w:r>
      <w:r>
        <w:rPr>
          <w:rFonts w:hint="default" w:ascii="Times New Roman" w:hAnsi="Times New Roman" w:eastAsia="仿宋_GB2312" w:cs="Times New Roman"/>
          <w:spacing w:val="-8"/>
          <w:u w:val="none" w:color="auto"/>
        </w:rPr>
        <w:t>常工作任</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务而发生的人员支出和公用支出。</w:t>
      </w:r>
    </w:p>
    <w:p w14:paraId="2E39A6E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十四</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项目支出：指在基本支出之外为完成特定行</w:t>
      </w:r>
      <w:r>
        <w:rPr>
          <w:rFonts w:hint="default" w:ascii="Times New Roman" w:hAnsi="Times New Roman" w:eastAsia="仿宋_GB2312" w:cs="Times New Roman"/>
          <w:spacing w:val="-8"/>
          <w:u w:val="none" w:color="auto"/>
        </w:rPr>
        <w:t>政任务或</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2"/>
          <w:u w:val="none" w:color="auto"/>
        </w:rPr>
        <w:t>事业发展目标所发生的支出。</w:t>
      </w:r>
    </w:p>
    <w:p w14:paraId="0F8AF63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十五</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经营支出：指事业单位在专业活动及辅助活</w:t>
      </w:r>
      <w:r>
        <w:rPr>
          <w:rFonts w:hint="default" w:ascii="Times New Roman" w:hAnsi="Times New Roman" w:eastAsia="仿宋_GB2312" w:cs="Times New Roman"/>
          <w:spacing w:val="-8"/>
          <w:u w:val="none" w:color="auto"/>
        </w:rPr>
        <w:t>动之外开</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展非独立核算经营活动发生的支出。</w:t>
      </w:r>
    </w:p>
    <w:p w14:paraId="30DFE8E0">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十六</w:t>
      </w: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111"/>
          <w:u w:val="none" w:color="auto"/>
        </w:rPr>
        <w:t xml:space="preserve"> </w:t>
      </w:r>
      <w:r>
        <w:rPr>
          <w:rFonts w:hint="default" w:ascii="Times New Roman" w:hAnsi="Times New Roman" w:eastAsia="仿宋_GB2312" w:cs="Times New Roman"/>
          <w:spacing w:val="-3"/>
          <w:u w:val="none" w:color="auto"/>
        </w:rPr>
        <w:t>“</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3"/>
          <w:u w:val="none" w:color="auto"/>
        </w:rPr>
        <w:t>三公”经费：纳入市级财政预决算管理的</w:t>
      </w:r>
      <w:r>
        <w:rPr>
          <w:rFonts w:hint="default" w:ascii="Times New Roman" w:hAnsi="Times New Roman" w:eastAsia="仿宋_GB2312" w:cs="Times New Roman"/>
          <w:spacing w:val="-118"/>
          <w:u w:val="none" w:color="auto"/>
        </w:rPr>
        <w:t xml:space="preserve"> </w:t>
      </w:r>
      <w:r>
        <w:rPr>
          <w:rFonts w:hint="default" w:ascii="Times New Roman" w:hAnsi="Times New Roman" w:eastAsia="仿宋_GB2312" w:cs="Times New Roman"/>
          <w:spacing w:val="-3"/>
          <w:u w:val="none" w:color="auto"/>
        </w:rPr>
        <w:t>“</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3"/>
          <w:u w:val="none" w:color="auto"/>
        </w:rPr>
        <w:t>三公”</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5"/>
          <w:u w:val="none" w:color="auto"/>
        </w:rPr>
        <w:t>经费，是指部门用财政拨款安排的因公出国</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境</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费、公务用</w:t>
      </w:r>
      <w:r>
        <w:rPr>
          <w:rFonts w:hint="default" w:ascii="Times New Roman" w:hAnsi="Times New Roman" w:eastAsia="仿宋_GB2312" w:cs="Times New Roman"/>
          <w:spacing w:val="-8"/>
          <w:u w:val="none" w:color="auto"/>
        </w:rPr>
        <w:t>车购置及运行维护费和公务接待费。其中，因公出国</w:t>
      </w:r>
      <w:r>
        <w:rPr>
          <w:rFonts w:hint="default" w:ascii="Times New Roman" w:hAnsi="Times New Roman" w:eastAsia="仿宋_GB2312" w:cs="Times New Roman"/>
          <w:spacing w:val="-65"/>
          <w:u w:val="none" w:color="auto"/>
        </w:rPr>
        <w:t xml:space="preserve"> </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境</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费反映</w:t>
      </w:r>
      <w:r>
        <w:rPr>
          <w:rFonts w:hint="default" w:ascii="Times New Roman" w:hAnsi="Times New Roman" w:eastAsia="仿宋_GB2312" w:cs="Times New Roman"/>
          <w:spacing w:val="-5"/>
          <w:u w:val="none" w:color="auto"/>
        </w:rPr>
        <w:t>单位公务出国</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境</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的国际旅费、国外城市间交通费、住宿费、伙食费、培训费、公杂费等支出；公务用车购置及运行维护费反映</w:t>
      </w:r>
      <w:r>
        <w:rPr>
          <w:rFonts w:hint="default" w:ascii="Times New Roman" w:hAnsi="Times New Roman" w:eastAsia="仿宋_GB2312" w:cs="Times New Roman"/>
          <w:spacing w:val="13"/>
          <w:u w:val="none" w:color="auto"/>
        </w:rPr>
        <w:t xml:space="preserve"> </w:t>
      </w:r>
      <w:r>
        <w:rPr>
          <w:rFonts w:hint="default" w:ascii="Times New Roman" w:hAnsi="Times New Roman" w:eastAsia="仿宋_GB2312" w:cs="Times New Roman"/>
          <w:spacing w:val="-7"/>
          <w:u w:val="none" w:color="auto"/>
        </w:rPr>
        <w:t>单位公务用车购置支出</w:t>
      </w:r>
      <w:r>
        <w:rPr>
          <w:rFonts w:hint="default" w:ascii="Times New Roman" w:hAnsi="Times New Roman" w:eastAsia="仿宋_GB2312" w:cs="Times New Roman"/>
          <w:spacing w:val="-80"/>
          <w:u w:val="none" w:color="auto"/>
        </w:rPr>
        <w:t xml:space="preserve"> </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含车辆购置税、牌照</w:t>
      </w:r>
      <w:r>
        <w:rPr>
          <w:rFonts w:hint="default" w:ascii="Times New Roman" w:hAnsi="Times New Roman" w:eastAsia="仿宋_GB2312" w:cs="Times New Roman"/>
          <w:spacing w:val="-8"/>
          <w:u w:val="none" w:color="auto"/>
        </w:rPr>
        <w:t>费</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及燃料费、维修</w:t>
      </w:r>
      <w:r>
        <w:rPr>
          <w:rFonts w:hint="default" w:ascii="Times New Roman" w:hAnsi="Times New Roman" w:eastAsia="仿宋_GB2312" w:cs="Times New Roman"/>
          <w:spacing w:val="-5"/>
          <w:u w:val="none" w:color="auto"/>
        </w:rPr>
        <w:t>费、过桥过路费、保险费、安全奖励费用等支出；公务接待费反</w:t>
      </w:r>
      <w:r>
        <w:rPr>
          <w:rFonts w:hint="default" w:ascii="Times New Roman" w:hAnsi="Times New Roman" w:eastAsia="仿宋_GB2312" w:cs="Times New Roman"/>
          <w:spacing w:val="-1"/>
          <w:u w:val="none" w:color="auto"/>
        </w:rPr>
        <w:t>映单位按规定开支的各类公务接待</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含外宾接待</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费用。</w:t>
      </w:r>
    </w:p>
    <w:p w14:paraId="3D9757D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十七</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机关运行经费：指为保障行政单位</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包括参照公务员</w:t>
      </w:r>
      <w:r>
        <w:rPr>
          <w:rFonts w:hint="default" w:ascii="Times New Roman" w:hAnsi="Times New Roman" w:eastAsia="仿宋_GB2312" w:cs="Times New Roman"/>
          <w:spacing w:val="16"/>
          <w:u w:val="none" w:color="auto"/>
        </w:rPr>
        <w:t xml:space="preserve"> </w:t>
      </w:r>
      <w:r>
        <w:rPr>
          <w:rFonts w:hint="default" w:ascii="Times New Roman" w:hAnsi="Times New Roman" w:eastAsia="仿宋_GB2312" w:cs="Times New Roman"/>
          <w:spacing w:val="1"/>
          <w:u w:val="none" w:color="auto"/>
        </w:rPr>
        <w:t>法管理的事业单位</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运行用于购买货物和服务的各项资金，</w:t>
      </w:r>
      <w:r>
        <w:rPr>
          <w:rFonts w:hint="default" w:ascii="Times New Roman" w:hAnsi="Times New Roman" w:eastAsia="仿宋_GB2312" w:cs="Times New Roman"/>
          <w:u w:val="none" w:color="auto"/>
        </w:rPr>
        <w:t xml:space="preserve">包括 </w:t>
      </w:r>
      <w:r>
        <w:rPr>
          <w:rFonts w:hint="default" w:ascii="Times New Roman" w:hAnsi="Times New Roman" w:eastAsia="仿宋_GB2312" w:cs="Times New Roman"/>
          <w:spacing w:val="-5"/>
          <w:u w:val="none" w:color="auto"/>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u w:val="none" w:color="auto"/>
        </w:rPr>
        <w:t>暖费、办公用房物业管理费、公务用车运行维护费以及其他费用。</w:t>
      </w:r>
    </w:p>
    <w:p w14:paraId="4348A08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十八</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其他专用名词。</w:t>
      </w:r>
    </w:p>
    <w:p w14:paraId="64C85D7D">
      <w:pPr>
        <w:rPr>
          <w:rFonts w:hint="default" w:ascii="Times New Roman" w:hAnsi="Times New Roman" w:cs="Times New Roman"/>
          <w:u w:val="none" w:color="auto"/>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7C3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94E46">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494E46">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74CFC"/>
    <w:multiLevelType w:val="singleLevel"/>
    <w:tmpl w:val="10A74CFC"/>
    <w:lvl w:ilvl="0" w:tentative="0">
      <w:start w:val="2"/>
      <w:numFmt w:val="chineseCounting"/>
      <w:suff w:val="space"/>
      <w:lvlText w:val="第%1部分"/>
      <w:lvlJc w:val="left"/>
      <w:rPr>
        <w:rFonts w:hint="eastAsia"/>
      </w:r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abstractNum w:abstractNumId="2">
    <w:nsid w:val="6D1A083C"/>
    <w:multiLevelType w:val="singleLevel"/>
    <w:tmpl w:val="6D1A083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68838C2"/>
    <w:rsid w:val="07180E92"/>
    <w:rsid w:val="089839BA"/>
    <w:rsid w:val="0B492353"/>
    <w:rsid w:val="0C237F5B"/>
    <w:rsid w:val="117A5E54"/>
    <w:rsid w:val="12FE3B58"/>
    <w:rsid w:val="13747DAA"/>
    <w:rsid w:val="172355D3"/>
    <w:rsid w:val="1B2466E5"/>
    <w:rsid w:val="1C0E2A35"/>
    <w:rsid w:val="1C817790"/>
    <w:rsid w:val="1DCD7D00"/>
    <w:rsid w:val="1EE21DA7"/>
    <w:rsid w:val="1F3C5B49"/>
    <w:rsid w:val="20017382"/>
    <w:rsid w:val="21676B90"/>
    <w:rsid w:val="21961EB7"/>
    <w:rsid w:val="21A05F7E"/>
    <w:rsid w:val="284F4C0D"/>
    <w:rsid w:val="28A65FBE"/>
    <w:rsid w:val="2A857986"/>
    <w:rsid w:val="2BE83F94"/>
    <w:rsid w:val="2BF42D02"/>
    <w:rsid w:val="2BF7779C"/>
    <w:rsid w:val="2F8119D0"/>
    <w:rsid w:val="34EA2EB6"/>
    <w:rsid w:val="34F62908"/>
    <w:rsid w:val="353B695E"/>
    <w:rsid w:val="36B946D4"/>
    <w:rsid w:val="390037A2"/>
    <w:rsid w:val="391A78CF"/>
    <w:rsid w:val="39F72424"/>
    <w:rsid w:val="3C411FBF"/>
    <w:rsid w:val="3C4F2C50"/>
    <w:rsid w:val="3DA60130"/>
    <w:rsid w:val="40586425"/>
    <w:rsid w:val="4116473E"/>
    <w:rsid w:val="4268313C"/>
    <w:rsid w:val="43DA5B87"/>
    <w:rsid w:val="44C60C63"/>
    <w:rsid w:val="467E1CDE"/>
    <w:rsid w:val="4787624B"/>
    <w:rsid w:val="49D46CB0"/>
    <w:rsid w:val="4A033BC9"/>
    <w:rsid w:val="4B5F0A0E"/>
    <w:rsid w:val="4C746661"/>
    <w:rsid w:val="4C8C3F07"/>
    <w:rsid w:val="4D555CB1"/>
    <w:rsid w:val="4F104997"/>
    <w:rsid w:val="53266975"/>
    <w:rsid w:val="542F756E"/>
    <w:rsid w:val="54777E46"/>
    <w:rsid w:val="57327F9E"/>
    <w:rsid w:val="57B31914"/>
    <w:rsid w:val="592F537B"/>
    <w:rsid w:val="5DE402B6"/>
    <w:rsid w:val="5F942D12"/>
    <w:rsid w:val="604A5C2C"/>
    <w:rsid w:val="62C17492"/>
    <w:rsid w:val="62F51C0D"/>
    <w:rsid w:val="639835A3"/>
    <w:rsid w:val="66F640BD"/>
    <w:rsid w:val="687B3694"/>
    <w:rsid w:val="6B6066A7"/>
    <w:rsid w:val="6B8342AA"/>
    <w:rsid w:val="6BB34631"/>
    <w:rsid w:val="6D745521"/>
    <w:rsid w:val="6DA422E5"/>
    <w:rsid w:val="6FA755CF"/>
    <w:rsid w:val="70846AFD"/>
    <w:rsid w:val="70E57BE1"/>
    <w:rsid w:val="72614EAD"/>
    <w:rsid w:val="73F15019"/>
    <w:rsid w:val="749073E1"/>
    <w:rsid w:val="767D6EE6"/>
    <w:rsid w:val="77CA6886"/>
    <w:rsid w:val="7D8B4DB9"/>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3">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01-&#24037;&#20316;&#25991;&#20214;\BaiduSyncdisk\00&#23616;-&#36130;&#21153;-&#26446;&#32500;\2023&#24180;&#20915;&#31639;&#20844;&#24320;\2023&#24180;&#20915;&#31639;&#20844;&#24320;\&#25968;&#25454;&#22270;&#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D:\01-&#24037;&#20316;&#25991;&#20214;\BaiduSyncdisk\00&#23616;-&#36130;&#21153;-&#26446;&#32500;\2023&#24180;&#20915;&#31639;&#20844;&#24320;\2023&#24180;&#20915;&#31639;&#20844;&#24320;\&#25968;&#25454;&#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01-&#24037;&#20316;&#25991;&#20214;\BaiduSyncdisk\00&#23616;-&#36130;&#21153;-&#26446;&#32500;\2023&#24180;&#20915;&#31639;&#20844;&#24320;\2023&#24180;&#20915;&#31639;&#20844;&#24320;\&#25968;&#25454;&#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01-&#24037;&#20316;&#25991;&#20214;\BaiduSyncdisk\00&#23616;-&#36130;&#21153;-&#26446;&#32500;\2023&#24180;&#20915;&#31639;&#20844;&#24320;\2023&#24180;&#20915;&#31639;&#20844;&#24320;\&#25968;&#25454;&#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[数据图表.xlsx]Sheet1!$D$4:$D$6</c:f>
              <c:strCache>
                <c:ptCount val="1"/>
                <c:pt idx="0">
                  <c:v>按经济科目分类 收入支出总体情况 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[数据图表.xlsx]Sheet1!$C$7:$C$9</c:f>
              <c:strCache>
                <c:ptCount val="3"/>
                <c:pt idx="1" c:formatCode="@">
                  <c:v>2023年</c:v>
                </c:pt>
                <c:pt idx="2" c:formatCode="@">
                  <c:v>2024年</c:v>
                </c:pt>
              </c:strCache>
            </c:strRef>
          </c:cat>
          <c:val>
            <c:numRef>
              <c:f>[数据图表.xlsx]Sheet1!$D$7:$D$9</c:f>
              <c:numCache>
                <c:formatCode>General</c:formatCode>
                <c:ptCount val="3"/>
                <c:pt idx="1" c:formatCode="#,##0.00">
                  <c:v>1790.66</c:v>
                </c:pt>
                <c:pt idx="2" c:formatCode="#,##0.00">
                  <c:v>2090.89</c:v>
                </c:pt>
              </c:numCache>
            </c:numRef>
          </c:val>
        </c:ser>
        <c:dLbls>
          <c:showLegendKey val="0"/>
          <c:showVal val="1"/>
          <c:showCatName val="0"/>
          <c:showSerName val="0"/>
          <c:showPercent val="0"/>
          <c:showBubbleSize val="0"/>
        </c:dLbls>
        <c:gapWidth val="219"/>
        <c:overlap val="-27"/>
        <c:axId val="717959940"/>
        <c:axId val="383606081"/>
      </c:barChart>
      <c:catAx>
        <c:axId val="7179599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606081"/>
        <c:crosses val="autoZero"/>
        <c:auto val="1"/>
        <c:lblAlgn val="ctr"/>
        <c:lblOffset val="100"/>
        <c:noMultiLvlLbl val="0"/>
      </c:catAx>
      <c:valAx>
        <c:axId val="3836060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7959940"/>
        <c:crosses val="autoZero"/>
        <c:crossBetween val="between"/>
      </c:valAx>
      <c:spPr>
        <a:noFill/>
        <a:ln>
          <a:noFill/>
        </a:ln>
        <a:effectLst/>
      </c:spPr>
    </c:plotArea>
    <c:plotVisOnly val="1"/>
    <c:dispBlanksAs val="gap"/>
    <c:showDLblsOverMax val="0"/>
    <c:extLst>
      <c:ext uri="{0b15fc19-7d7d-44ad-8c2d-2c3a37ce22c3}">
        <chartProps xmlns="https://web.wps.cn/et/2018/main" chartId="{33085907-15e7-4fc3-a014-cb6628715d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8067413404152"/>
          <c:y val="0.199134199134199"/>
          <c:w val="0.411575273422998"/>
          <c:h val="0.693263804713804"/>
        </c:manualLayout>
      </c:layout>
      <c:pieChart>
        <c:varyColors val="1"/>
        <c:ser>
          <c:idx val="0"/>
          <c:order val="0"/>
          <c:tx>
            <c:strRef>
              <c:f>[数据图表.xlsx]Sheet1!$D$19:$D$21</c:f>
              <c:strCache>
                <c:ptCount val="1"/>
                <c:pt idx="0">
                  <c:v>2022年度本年收入 4</c:v>
                </c:pt>
              </c:strCache>
            </c:strRef>
          </c:tx>
          <c:spPr>
            <a:solidFill>
              <a:srgbClr val="63B1EF">
                <a:alpha val="67000"/>
              </a:srgbClr>
            </a:solidFill>
            <a:ln w="19050" cap="rnd">
              <a:noFill/>
              <a:round/>
            </a:ln>
            <a:effectLst/>
          </c:spPr>
          <c:explosion val="0"/>
          <c:dPt>
            <c:idx val="0"/>
            <c:bubble3D val="0"/>
            <c:spPr>
              <a:solidFill>
                <a:srgbClr val="63B1EF">
                  <a:alpha val="67000"/>
                </a:srgbClr>
              </a:solidFill>
              <a:ln w="19050" cap="rnd">
                <a:noFill/>
                <a:round/>
              </a:ln>
              <a:effectLst/>
            </c:spPr>
          </c:dPt>
          <c:dPt>
            <c:idx val="1"/>
            <c:bubble3D val="0"/>
            <c:spPr>
              <a:solidFill>
                <a:srgbClr val="75D890">
                  <a:alpha val="67000"/>
                </a:srgbClr>
              </a:solidFill>
              <a:ln w="19050" cap="rnd">
                <a:no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[数据图表.xlsx]Sheet1!$C$22:$C$23</c:f>
              <c:strCache>
                <c:ptCount val="2"/>
                <c:pt idx="0" c:formatCode="@">
                  <c:v>财政拨款收入</c:v>
                </c:pt>
                <c:pt idx="1" c:formatCode="@">
                  <c:v>其他收入</c:v>
                </c:pt>
              </c:strCache>
            </c:strRef>
          </c:cat>
          <c:val>
            <c:numRef>
              <c:f>[数据图表.xlsx]Sheet1!$D$22:$D$23</c:f>
              <c:numCache>
                <c:formatCode>#,##0.00</c:formatCode>
                <c:ptCount val="2"/>
                <c:pt idx="0">
                  <c:v>1996.63</c:v>
                </c:pt>
                <c:pt idx="1">
                  <c:v>93.99</c:v>
                </c:pt>
              </c:numCache>
            </c:numRef>
          </c:val>
        </c:ser>
        <c:dLbls>
          <c:showLegendKey val="0"/>
          <c:showVal val="0"/>
          <c:showCatName val="1"/>
          <c:showSerName val="0"/>
          <c:showPercent val="1"/>
          <c:showBubbleSize val="0"/>
          <c:showLeaderLines val="1"/>
        </c:dLbls>
        <c:firstSliceAng val="0"/>
      </c:pieChart>
      <c:spPr>
        <a:pattFill prst="lgGrid">
          <a:fgClr>
            <a:srgbClr val="F8F8F8"/>
          </a:fgClr>
          <a:bgClr>
            <a:schemeClr val="bg1"/>
          </a:bgClr>
        </a:pattFill>
        <a:ln>
          <a:solidFill>
            <a:schemeClr val="bg1">
              <a:lumMod val="95000"/>
            </a:schemeClr>
          </a:solidFill>
        </a:ln>
        <a:effectLst/>
      </c:spPr>
    </c:plotArea>
    <c:plotVisOnly val="1"/>
    <c:dispBlanksAs val="gap"/>
    <c:showDLblsOverMax val="0"/>
    <c:extLst>
      <c:ext uri="{0b15fc19-7d7d-44ad-8c2d-2c3a37ce22c3}">
        <chartProps xmlns="https://web.wps.cn/et/2018/main" chartId="{94fa14fd-e785-48d3-9fe1-a23cf477a4c6}"/>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[数据图表.xlsx]Sheet1!#REF!</c:f>
              <c:strCache>
                <c:ptCount val="1"/>
                <c:pt idx="0">
                  <c:v/>
                </c:pt>
              </c:strCache>
            </c:strRef>
          </c:tx>
          <c:spPr>
            <a:effectLst/>
          </c:spPr>
          <c:explosion val="0"/>
          <c:dPt>
            <c:idx val="0"/>
            <c:bubble3D val="0"/>
            <c:spPr>
              <a:solidFill>
                <a:schemeClr val="accent1"/>
              </a:solidFill>
              <a:ln>
                <a:noFill/>
              </a:ln>
              <a:effectLst/>
            </c:spPr>
          </c:dPt>
          <c:dPt>
            <c:idx val="1"/>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[数据图表.xlsx]Sheet1!$C$38:$C$39</c:f>
              <c:strCache>
                <c:ptCount val="2"/>
                <c:pt idx="0" c:formatCode="@">
                  <c:v>基本支出</c:v>
                </c:pt>
                <c:pt idx="1" c:formatCode="@">
                  <c:v>项目支出</c:v>
                </c:pt>
              </c:strCache>
            </c:strRef>
          </c:cat>
          <c:val>
            <c:numRef>
              <c:f>[数据图表.xlsx]Sheet1!$D$38:$D$39</c:f>
              <c:numCache>
                <c:formatCode>#,##0.00</c:formatCode>
                <c:ptCount val="2"/>
                <c:pt idx="0">
                  <c:v>1991.86</c:v>
                </c:pt>
                <c:pt idx="1">
                  <c:v>99.03</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5f44da08-fa7c-4fe0-839f-88828636876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tx>
            <c:strRef>
              <c:f>[数据图表.xlsx]Sheet1!$D$63</c:f>
              <c:strCache>
                <c:ptCount val="1"/>
                <c:pt idx="0">
                  <c:v>财政拨款收、支决算总体情况</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[数据图表.xlsx]Sheet1!$C$64:$C$66</c:f>
              <c:strCache>
                <c:ptCount val="3"/>
                <c:pt idx="1" c:formatCode="@">
                  <c:v>2023年度</c:v>
                </c:pt>
                <c:pt idx="2" c:formatCode="@">
                  <c:v>2024年度</c:v>
                </c:pt>
              </c:strCache>
            </c:strRef>
          </c:cat>
          <c:val>
            <c:numRef>
              <c:f>[数据图表.xlsx]Sheet1!$D$64:$D$66</c:f>
              <c:numCache>
                <c:formatCode>General</c:formatCode>
                <c:ptCount val="3"/>
                <c:pt idx="1" c:formatCode="#,##0.00">
                  <c:v>1704.4</c:v>
                </c:pt>
                <c:pt idx="2" c:formatCode="#,##0.00">
                  <c:v>1996.63</c:v>
                </c:pt>
              </c:numCache>
            </c:numRef>
          </c:val>
          <c:smooth val="0"/>
        </c:ser>
        <c:dLbls>
          <c:showLegendKey val="0"/>
          <c:showVal val="1"/>
          <c:showCatName val="0"/>
          <c:showSerName val="0"/>
          <c:showPercent val="0"/>
          <c:showBubbleSize val="0"/>
        </c:dLbls>
        <c:marker val="0"/>
        <c:smooth val="0"/>
        <c:axId val="359112659"/>
        <c:axId val="531174681"/>
      </c:lineChart>
      <c:catAx>
        <c:axId val="3591126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1174681"/>
        <c:crosses val="autoZero"/>
        <c:auto val="1"/>
        <c:lblAlgn val="ctr"/>
        <c:lblOffset val="100"/>
        <c:noMultiLvlLbl val="0"/>
      </c:catAx>
      <c:valAx>
        <c:axId val="5311746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112659"/>
        <c:crosses val="autoZero"/>
        <c:crossBetween val="between"/>
      </c:valAx>
      <c:spPr>
        <a:noFill/>
        <a:ln>
          <a:noFill/>
        </a:ln>
        <a:effectLst/>
      </c:spPr>
    </c:plotArea>
    <c:plotVisOnly val="1"/>
    <c:dispBlanksAs val="gap"/>
    <c:showDLblsOverMax val="0"/>
    <c:extLst>
      <c:ext uri="{0b15fc19-7d7d-44ad-8c2d-2c3a37ce22c3}">
        <chartProps xmlns="https://web.wps.cn/et/2018/main" chartId="{b3b49a08-1cdd-4cf7-81b8-656a945bee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860</Words>
  <Characters>890</Characters>
  <Lines>0</Lines>
  <Paragraphs>0</Paragraphs>
  <TotalTime>42</TotalTime>
  <ScaleCrop>false</ScaleCrop>
  <LinksUpToDate>false</LinksUpToDate>
  <CharactersWithSpaces>949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Taya</cp:lastModifiedBy>
  <cp:lastPrinted>2025-08-20T07:46:00Z</cp:lastPrinted>
  <dcterms:modified xsi:type="dcterms:W3CDTF">2025-09-12T08:47:02Z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DADA2B326901443B9B9AC7B4645F762D_13</vt:lpwstr>
  </property>
  <property fmtid="{D5CDD505-2E9C-101B-9397-08002B2CF9AE}" pid="4" name="KSOTemplateDocerSaveRecord">
    <vt:lpwstr>eyJoZGlkIjoiYTc2ZGZiNzZiNDVlOGViOWVmM2JhOTY0NGJkNjUyYzgiLCJ1c2VySWQiOiI0NDcwMTE0MjYifQ==</vt:lpwstr>
  </property>
</Properties>
</file>