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EEF552">
      <w:pPr>
        <w:spacing w:line="250" w:lineRule="auto"/>
        <w:rPr>
          <w:rFonts w:hint="default" w:ascii="Times New Roman" w:hAnsi="Times New Roman" w:cs="Times New Roman"/>
          <w:spacing w:val="0"/>
          <w:w w:val="100"/>
          <w:position w:val="0"/>
          <w:sz w:val="21"/>
          <w:u w:val="none" w:color="auto"/>
        </w:rPr>
      </w:pPr>
    </w:p>
    <w:p w14:paraId="6044063D">
      <w:pPr>
        <w:pStyle w:val="6"/>
        <w:rPr>
          <w:rFonts w:hint="default"/>
          <w:u w:val="none" w:color="auto"/>
        </w:rPr>
      </w:pPr>
    </w:p>
    <w:p w14:paraId="5CC268F3">
      <w:pPr>
        <w:spacing w:line="250" w:lineRule="auto"/>
        <w:rPr>
          <w:rFonts w:hint="default" w:ascii="Times New Roman" w:hAnsi="Times New Roman" w:cs="Times New Roman"/>
          <w:spacing w:val="0"/>
          <w:w w:val="100"/>
          <w:position w:val="0"/>
          <w:sz w:val="21"/>
          <w:u w:val="none" w:color="auto"/>
        </w:rPr>
      </w:pPr>
    </w:p>
    <w:p w14:paraId="09B13974">
      <w:pPr>
        <w:spacing w:line="250" w:lineRule="auto"/>
        <w:rPr>
          <w:rFonts w:hint="default" w:ascii="Times New Roman" w:hAnsi="Times New Roman" w:cs="Times New Roman"/>
          <w:spacing w:val="0"/>
          <w:w w:val="100"/>
          <w:position w:val="0"/>
          <w:sz w:val="21"/>
          <w:u w:val="none" w:color="auto"/>
        </w:rPr>
      </w:pPr>
    </w:p>
    <w:p w14:paraId="2846376D">
      <w:pPr>
        <w:spacing w:line="250" w:lineRule="auto"/>
        <w:rPr>
          <w:rFonts w:hint="default" w:ascii="Times New Roman" w:hAnsi="Times New Roman" w:cs="Times New Roman"/>
          <w:spacing w:val="0"/>
          <w:w w:val="100"/>
          <w:position w:val="0"/>
          <w:sz w:val="21"/>
          <w:u w:val="none" w:color="auto"/>
        </w:rPr>
      </w:pPr>
    </w:p>
    <w:p w14:paraId="0B3AF04B">
      <w:pPr>
        <w:spacing w:line="251" w:lineRule="auto"/>
        <w:rPr>
          <w:rFonts w:hint="default" w:ascii="Times New Roman" w:hAnsi="Times New Roman" w:cs="Times New Roman"/>
          <w:spacing w:val="0"/>
          <w:w w:val="100"/>
          <w:position w:val="0"/>
          <w:sz w:val="21"/>
          <w:u w:val="none" w:color="auto"/>
        </w:rPr>
      </w:pPr>
    </w:p>
    <w:p w14:paraId="4EDDFCCF">
      <w:pPr>
        <w:spacing w:line="251" w:lineRule="auto"/>
        <w:rPr>
          <w:rFonts w:hint="default" w:ascii="Times New Roman" w:hAnsi="Times New Roman" w:cs="Times New Roman"/>
          <w:spacing w:val="0"/>
          <w:w w:val="100"/>
          <w:position w:val="0"/>
          <w:sz w:val="21"/>
          <w:u w:val="none" w:color="auto"/>
        </w:rPr>
      </w:pPr>
    </w:p>
    <w:p w14:paraId="6155C7C8">
      <w:pPr>
        <w:spacing w:line="251" w:lineRule="auto"/>
        <w:rPr>
          <w:rFonts w:hint="default" w:ascii="Times New Roman" w:hAnsi="Times New Roman" w:cs="Times New Roman"/>
          <w:spacing w:val="0"/>
          <w:w w:val="100"/>
          <w:position w:val="0"/>
          <w:sz w:val="21"/>
          <w:u w:val="none" w:color="auto"/>
        </w:rPr>
      </w:pPr>
    </w:p>
    <w:p w14:paraId="2778F0A7">
      <w:pPr>
        <w:spacing w:before="156" w:line="221" w:lineRule="auto"/>
        <w:ind w:right="20"/>
        <w:jc w:val="center"/>
        <w:rPr>
          <w:rFonts w:hint="eastAsia" w:ascii="Times New Roman" w:hAnsi="Times New Roman" w:eastAsia="方正小标宋简体" w:cs="Times New Roman"/>
          <w:spacing w:val="0"/>
          <w:w w:val="100"/>
          <w:position w:val="0"/>
          <w:sz w:val="44"/>
          <w:szCs w:val="44"/>
          <w:u w:val="none" w:color="auto"/>
          <w:lang w:val="en-US" w:eastAsia="zh-CN"/>
        </w:rPr>
      </w:pPr>
      <w:r>
        <w:rPr>
          <w:rFonts w:hint="default" w:ascii="Times New Roman" w:hAnsi="Times New Roman" w:eastAsia="方正小标宋简体" w:cs="Times New Roman"/>
          <w:spacing w:val="0"/>
          <w:w w:val="100"/>
          <w:position w:val="0"/>
          <w:sz w:val="44"/>
          <w:szCs w:val="44"/>
          <w:u w:val="none" w:color="auto"/>
        </w:rPr>
        <w:t>202</w:t>
      </w:r>
      <w:r>
        <w:rPr>
          <w:rFonts w:hint="eastAsia" w:ascii="Times New Roman" w:hAnsi="Times New Roman" w:eastAsia="方正小标宋简体" w:cs="Times New Roman"/>
          <w:spacing w:val="0"/>
          <w:w w:val="100"/>
          <w:position w:val="0"/>
          <w:sz w:val="44"/>
          <w:szCs w:val="44"/>
          <w:u w:val="none" w:color="auto"/>
          <w:lang w:val="en-US" w:eastAsia="zh-CN"/>
        </w:rPr>
        <w:t>4</w:t>
      </w:r>
      <w:r>
        <w:rPr>
          <w:rFonts w:hint="default" w:ascii="Times New Roman" w:hAnsi="Times New Roman" w:eastAsia="方正小标宋简体" w:cs="Times New Roman"/>
          <w:spacing w:val="0"/>
          <w:w w:val="100"/>
          <w:position w:val="0"/>
          <w:sz w:val="44"/>
          <w:szCs w:val="44"/>
          <w:u w:val="none" w:color="auto"/>
        </w:rPr>
        <w:t>年度</w:t>
      </w:r>
      <w:r>
        <w:rPr>
          <w:rFonts w:hint="eastAsia" w:ascii="Times New Roman" w:hAnsi="Times New Roman" w:eastAsia="方正小标宋简体" w:cs="Times New Roman"/>
          <w:spacing w:val="0"/>
          <w:w w:val="100"/>
          <w:position w:val="0"/>
          <w:sz w:val="44"/>
          <w:szCs w:val="44"/>
          <w:u w:val="none" w:color="auto"/>
          <w:lang w:val="en-US" w:eastAsia="zh-CN"/>
        </w:rPr>
        <w:t>武汉市光谷第八初级中学</w:t>
      </w:r>
    </w:p>
    <w:p w14:paraId="135B7CC2">
      <w:pPr>
        <w:spacing w:before="156" w:line="221" w:lineRule="auto"/>
        <w:ind w:right="20"/>
        <w:jc w:val="center"/>
        <w:rPr>
          <w:rFonts w:hint="default" w:ascii="Times New Roman" w:hAnsi="Times New Roman" w:eastAsia="黑体" w:cs="Times New Roman"/>
          <w:spacing w:val="0"/>
          <w:w w:val="100"/>
          <w:position w:val="0"/>
          <w:sz w:val="48"/>
          <w:szCs w:val="48"/>
          <w:u w:val="none" w:color="auto"/>
          <w:lang w:eastAsia="zh-CN"/>
        </w:rPr>
      </w:pPr>
      <w:r>
        <w:rPr>
          <w:rFonts w:hint="default" w:ascii="Times New Roman" w:hAnsi="Times New Roman" w:eastAsia="方正小标宋简体" w:cs="Times New Roman"/>
          <w:spacing w:val="0"/>
          <w:w w:val="100"/>
          <w:position w:val="0"/>
          <w:sz w:val="44"/>
          <w:szCs w:val="44"/>
          <w:u w:val="none" w:color="auto"/>
        </w:rPr>
        <w:t>部门决算公开</w:t>
      </w:r>
    </w:p>
    <w:p w14:paraId="6B28A26F">
      <w:pPr>
        <w:spacing w:line="241" w:lineRule="auto"/>
        <w:rPr>
          <w:rFonts w:hint="default" w:ascii="Times New Roman" w:hAnsi="Times New Roman" w:cs="Times New Roman"/>
          <w:spacing w:val="0"/>
          <w:w w:val="100"/>
          <w:position w:val="0"/>
          <w:sz w:val="21"/>
          <w:u w:val="none" w:color="auto"/>
        </w:rPr>
      </w:pPr>
    </w:p>
    <w:p w14:paraId="3FD42AD8">
      <w:pPr>
        <w:spacing w:line="241" w:lineRule="auto"/>
        <w:rPr>
          <w:rFonts w:hint="default" w:ascii="Times New Roman" w:hAnsi="Times New Roman" w:cs="Times New Roman"/>
          <w:spacing w:val="0"/>
          <w:w w:val="100"/>
          <w:position w:val="0"/>
          <w:sz w:val="21"/>
          <w:u w:val="none" w:color="auto"/>
        </w:rPr>
      </w:pPr>
    </w:p>
    <w:p w14:paraId="77ACEB27">
      <w:pPr>
        <w:spacing w:line="241" w:lineRule="auto"/>
        <w:rPr>
          <w:rFonts w:hint="default" w:ascii="Times New Roman" w:hAnsi="Times New Roman" w:cs="Times New Roman"/>
          <w:spacing w:val="0"/>
          <w:w w:val="100"/>
          <w:position w:val="0"/>
          <w:sz w:val="21"/>
          <w:u w:val="none" w:color="auto"/>
        </w:rPr>
      </w:pPr>
    </w:p>
    <w:p w14:paraId="3A5E5953">
      <w:pPr>
        <w:spacing w:line="241" w:lineRule="auto"/>
        <w:rPr>
          <w:rFonts w:hint="default" w:ascii="Times New Roman" w:hAnsi="Times New Roman" w:cs="Times New Roman"/>
          <w:spacing w:val="0"/>
          <w:w w:val="100"/>
          <w:position w:val="0"/>
          <w:sz w:val="21"/>
          <w:u w:val="none" w:color="auto"/>
        </w:rPr>
      </w:pPr>
    </w:p>
    <w:p w14:paraId="75553281">
      <w:pPr>
        <w:spacing w:line="241" w:lineRule="auto"/>
        <w:rPr>
          <w:rFonts w:hint="default" w:ascii="Times New Roman" w:hAnsi="Times New Roman" w:cs="Times New Roman"/>
          <w:spacing w:val="0"/>
          <w:w w:val="100"/>
          <w:position w:val="0"/>
          <w:sz w:val="21"/>
          <w:u w:val="none" w:color="auto"/>
        </w:rPr>
      </w:pPr>
    </w:p>
    <w:p w14:paraId="115646B3">
      <w:pPr>
        <w:spacing w:line="241" w:lineRule="auto"/>
        <w:rPr>
          <w:rFonts w:hint="default" w:ascii="Times New Roman" w:hAnsi="Times New Roman" w:cs="Times New Roman"/>
          <w:spacing w:val="0"/>
          <w:w w:val="100"/>
          <w:position w:val="0"/>
          <w:sz w:val="21"/>
          <w:u w:val="none" w:color="auto"/>
        </w:rPr>
      </w:pPr>
    </w:p>
    <w:p w14:paraId="769D0485">
      <w:pPr>
        <w:spacing w:line="241" w:lineRule="auto"/>
        <w:rPr>
          <w:rFonts w:hint="default" w:ascii="Times New Roman" w:hAnsi="Times New Roman" w:cs="Times New Roman"/>
          <w:spacing w:val="0"/>
          <w:w w:val="100"/>
          <w:position w:val="0"/>
          <w:sz w:val="21"/>
          <w:u w:val="none" w:color="auto"/>
        </w:rPr>
      </w:pPr>
    </w:p>
    <w:p w14:paraId="474CAB6C">
      <w:pPr>
        <w:spacing w:line="241" w:lineRule="auto"/>
        <w:rPr>
          <w:rFonts w:hint="default" w:ascii="Times New Roman" w:hAnsi="Times New Roman" w:cs="Times New Roman"/>
          <w:spacing w:val="0"/>
          <w:w w:val="100"/>
          <w:position w:val="0"/>
          <w:sz w:val="21"/>
          <w:u w:val="none" w:color="auto"/>
        </w:rPr>
      </w:pPr>
    </w:p>
    <w:p w14:paraId="5F166A36">
      <w:pPr>
        <w:spacing w:line="241" w:lineRule="auto"/>
        <w:rPr>
          <w:rFonts w:hint="default" w:ascii="Times New Roman" w:hAnsi="Times New Roman" w:cs="Times New Roman"/>
          <w:spacing w:val="0"/>
          <w:w w:val="100"/>
          <w:position w:val="0"/>
          <w:sz w:val="21"/>
          <w:u w:val="none" w:color="auto"/>
        </w:rPr>
      </w:pPr>
    </w:p>
    <w:p w14:paraId="74A1207D">
      <w:pPr>
        <w:spacing w:line="241" w:lineRule="auto"/>
        <w:rPr>
          <w:rFonts w:hint="default" w:ascii="Times New Roman" w:hAnsi="Times New Roman" w:cs="Times New Roman"/>
          <w:spacing w:val="0"/>
          <w:w w:val="100"/>
          <w:position w:val="0"/>
          <w:sz w:val="21"/>
          <w:u w:val="none" w:color="auto"/>
        </w:rPr>
      </w:pPr>
    </w:p>
    <w:p w14:paraId="46218723">
      <w:pPr>
        <w:spacing w:line="241" w:lineRule="auto"/>
        <w:rPr>
          <w:rFonts w:hint="default" w:ascii="Times New Roman" w:hAnsi="Times New Roman" w:cs="Times New Roman"/>
          <w:spacing w:val="0"/>
          <w:w w:val="100"/>
          <w:position w:val="0"/>
          <w:sz w:val="21"/>
          <w:u w:val="none" w:color="auto"/>
        </w:rPr>
      </w:pPr>
    </w:p>
    <w:p w14:paraId="38F174EB">
      <w:pPr>
        <w:spacing w:line="241" w:lineRule="auto"/>
        <w:rPr>
          <w:rFonts w:hint="default" w:ascii="Times New Roman" w:hAnsi="Times New Roman" w:cs="Times New Roman"/>
          <w:spacing w:val="0"/>
          <w:w w:val="100"/>
          <w:position w:val="0"/>
          <w:sz w:val="21"/>
          <w:u w:val="none" w:color="auto"/>
        </w:rPr>
      </w:pPr>
    </w:p>
    <w:p w14:paraId="77E98D00">
      <w:pPr>
        <w:spacing w:line="241" w:lineRule="auto"/>
        <w:rPr>
          <w:rFonts w:hint="default" w:ascii="Times New Roman" w:hAnsi="Times New Roman" w:cs="Times New Roman"/>
          <w:spacing w:val="0"/>
          <w:w w:val="100"/>
          <w:position w:val="0"/>
          <w:sz w:val="21"/>
          <w:u w:val="none" w:color="auto"/>
        </w:rPr>
      </w:pPr>
    </w:p>
    <w:p w14:paraId="7A949F13">
      <w:pPr>
        <w:spacing w:line="241" w:lineRule="auto"/>
        <w:rPr>
          <w:rFonts w:hint="default" w:ascii="Times New Roman" w:hAnsi="Times New Roman" w:cs="Times New Roman"/>
          <w:spacing w:val="0"/>
          <w:w w:val="100"/>
          <w:position w:val="0"/>
          <w:sz w:val="21"/>
          <w:u w:val="none" w:color="auto"/>
        </w:rPr>
      </w:pPr>
    </w:p>
    <w:p w14:paraId="0E0EF538">
      <w:pPr>
        <w:spacing w:line="241" w:lineRule="auto"/>
        <w:rPr>
          <w:rFonts w:hint="default" w:ascii="Times New Roman" w:hAnsi="Times New Roman" w:cs="Times New Roman"/>
          <w:spacing w:val="0"/>
          <w:w w:val="100"/>
          <w:position w:val="0"/>
          <w:sz w:val="21"/>
          <w:u w:val="none" w:color="auto"/>
        </w:rPr>
      </w:pPr>
    </w:p>
    <w:p w14:paraId="7553A70D">
      <w:pPr>
        <w:spacing w:line="241" w:lineRule="auto"/>
        <w:rPr>
          <w:rFonts w:hint="default" w:ascii="Times New Roman" w:hAnsi="Times New Roman" w:cs="Times New Roman"/>
          <w:spacing w:val="0"/>
          <w:w w:val="100"/>
          <w:position w:val="0"/>
          <w:sz w:val="21"/>
          <w:u w:val="none" w:color="auto"/>
        </w:rPr>
      </w:pPr>
    </w:p>
    <w:p w14:paraId="5ED40D24">
      <w:pPr>
        <w:spacing w:line="241" w:lineRule="auto"/>
        <w:rPr>
          <w:rFonts w:hint="default" w:ascii="Times New Roman" w:hAnsi="Times New Roman" w:cs="Times New Roman"/>
          <w:spacing w:val="0"/>
          <w:w w:val="100"/>
          <w:position w:val="0"/>
          <w:sz w:val="21"/>
          <w:u w:val="none" w:color="auto"/>
        </w:rPr>
      </w:pPr>
    </w:p>
    <w:p w14:paraId="50D609FB">
      <w:pPr>
        <w:spacing w:line="241" w:lineRule="auto"/>
        <w:rPr>
          <w:rFonts w:hint="default" w:ascii="Times New Roman" w:hAnsi="Times New Roman" w:cs="Times New Roman"/>
          <w:spacing w:val="0"/>
          <w:w w:val="100"/>
          <w:position w:val="0"/>
          <w:sz w:val="21"/>
          <w:u w:val="none" w:color="auto"/>
        </w:rPr>
      </w:pPr>
    </w:p>
    <w:p w14:paraId="029D4C34">
      <w:pPr>
        <w:spacing w:line="241" w:lineRule="auto"/>
        <w:rPr>
          <w:rFonts w:hint="default" w:ascii="Times New Roman" w:hAnsi="Times New Roman" w:cs="Times New Roman"/>
          <w:spacing w:val="0"/>
          <w:w w:val="100"/>
          <w:position w:val="0"/>
          <w:sz w:val="21"/>
          <w:u w:val="none" w:color="auto"/>
        </w:rPr>
      </w:pPr>
    </w:p>
    <w:p w14:paraId="7818D633">
      <w:pPr>
        <w:spacing w:line="241" w:lineRule="auto"/>
        <w:rPr>
          <w:rFonts w:hint="default" w:ascii="Times New Roman" w:hAnsi="Times New Roman" w:cs="Times New Roman"/>
          <w:spacing w:val="0"/>
          <w:w w:val="100"/>
          <w:position w:val="0"/>
          <w:sz w:val="21"/>
          <w:u w:val="none" w:color="auto"/>
        </w:rPr>
      </w:pPr>
    </w:p>
    <w:p w14:paraId="35E8BC70">
      <w:pPr>
        <w:spacing w:line="241" w:lineRule="auto"/>
        <w:rPr>
          <w:rFonts w:hint="default" w:ascii="Times New Roman" w:hAnsi="Times New Roman" w:cs="Times New Roman"/>
          <w:spacing w:val="0"/>
          <w:w w:val="100"/>
          <w:position w:val="0"/>
          <w:sz w:val="21"/>
          <w:u w:val="none" w:color="auto"/>
        </w:rPr>
      </w:pPr>
    </w:p>
    <w:p w14:paraId="6FC550C0">
      <w:pPr>
        <w:spacing w:line="241" w:lineRule="auto"/>
        <w:rPr>
          <w:rFonts w:hint="default" w:ascii="Times New Roman" w:hAnsi="Times New Roman" w:cs="Times New Roman"/>
          <w:spacing w:val="0"/>
          <w:w w:val="100"/>
          <w:position w:val="0"/>
          <w:sz w:val="21"/>
          <w:u w:val="none" w:color="auto"/>
        </w:rPr>
      </w:pPr>
    </w:p>
    <w:p w14:paraId="047CF969">
      <w:pPr>
        <w:spacing w:line="241" w:lineRule="auto"/>
        <w:rPr>
          <w:rFonts w:hint="default" w:ascii="Times New Roman" w:hAnsi="Times New Roman" w:cs="Times New Roman"/>
          <w:spacing w:val="0"/>
          <w:w w:val="100"/>
          <w:position w:val="0"/>
          <w:sz w:val="21"/>
          <w:u w:val="none" w:color="auto"/>
        </w:rPr>
      </w:pPr>
    </w:p>
    <w:p w14:paraId="48E772AA">
      <w:pPr>
        <w:spacing w:line="241" w:lineRule="auto"/>
        <w:rPr>
          <w:rFonts w:hint="default" w:ascii="Times New Roman" w:hAnsi="Times New Roman" w:cs="Times New Roman"/>
          <w:spacing w:val="0"/>
          <w:w w:val="100"/>
          <w:position w:val="0"/>
          <w:sz w:val="21"/>
          <w:u w:val="none" w:color="auto"/>
        </w:rPr>
      </w:pPr>
    </w:p>
    <w:p w14:paraId="4A998A09">
      <w:pPr>
        <w:spacing w:line="241" w:lineRule="auto"/>
        <w:rPr>
          <w:rFonts w:hint="default" w:ascii="Times New Roman" w:hAnsi="Times New Roman" w:cs="Times New Roman"/>
          <w:spacing w:val="0"/>
          <w:w w:val="100"/>
          <w:position w:val="0"/>
          <w:sz w:val="21"/>
          <w:u w:val="none" w:color="auto"/>
        </w:rPr>
      </w:pPr>
    </w:p>
    <w:p w14:paraId="659B9207">
      <w:pPr>
        <w:spacing w:line="241" w:lineRule="auto"/>
        <w:rPr>
          <w:rFonts w:hint="default" w:ascii="Times New Roman" w:hAnsi="Times New Roman" w:cs="Times New Roman"/>
          <w:spacing w:val="0"/>
          <w:w w:val="100"/>
          <w:position w:val="0"/>
          <w:sz w:val="21"/>
          <w:u w:val="none" w:color="auto"/>
        </w:rPr>
      </w:pPr>
    </w:p>
    <w:p w14:paraId="0427BD3D">
      <w:pPr>
        <w:spacing w:line="241" w:lineRule="auto"/>
        <w:rPr>
          <w:rFonts w:hint="default" w:ascii="Times New Roman" w:hAnsi="Times New Roman" w:cs="Times New Roman"/>
          <w:spacing w:val="0"/>
          <w:w w:val="100"/>
          <w:position w:val="0"/>
          <w:sz w:val="21"/>
          <w:u w:val="none" w:color="auto"/>
        </w:rPr>
      </w:pPr>
    </w:p>
    <w:p w14:paraId="4352E574">
      <w:pPr>
        <w:spacing w:line="241" w:lineRule="auto"/>
        <w:rPr>
          <w:rFonts w:hint="default" w:ascii="Times New Roman" w:hAnsi="Times New Roman" w:cs="Times New Roman"/>
          <w:spacing w:val="0"/>
          <w:w w:val="100"/>
          <w:position w:val="0"/>
          <w:sz w:val="21"/>
          <w:u w:val="none" w:color="auto"/>
        </w:rPr>
      </w:pPr>
    </w:p>
    <w:p w14:paraId="32EB18F5">
      <w:pPr>
        <w:spacing w:line="241" w:lineRule="auto"/>
        <w:rPr>
          <w:rFonts w:hint="default" w:ascii="Times New Roman" w:hAnsi="Times New Roman" w:cs="Times New Roman"/>
          <w:spacing w:val="0"/>
          <w:w w:val="100"/>
          <w:position w:val="0"/>
          <w:sz w:val="21"/>
          <w:u w:val="none" w:color="auto"/>
        </w:rPr>
      </w:pPr>
    </w:p>
    <w:p w14:paraId="6190BE6A">
      <w:pPr>
        <w:spacing w:line="241" w:lineRule="auto"/>
        <w:rPr>
          <w:rFonts w:hint="default" w:ascii="Times New Roman" w:hAnsi="Times New Roman" w:cs="Times New Roman"/>
          <w:spacing w:val="0"/>
          <w:w w:val="100"/>
          <w:position w:val="0"/>
          <w:sz w:val="21"/>
          <w:u w:val="none" w:color="auto"/>
        </w:rPr>
      </w:pPr>
    </w:p>
    <w:p w14:paraId="79235E0E">
      <w:pPr>
        <w:spacing w:line="241" w:lineRule="auto"/>
        <w:rPr>
          <w:rFonts w:hint="default" w:ascii="Times New Roman" w:hAnsi="Times New Roman" w:cs="Times New Roman"/>
          <w:spacing w:val="0"/>
          <w:w w:val="100"/>
          <w:position w:val="0"/>
          <w:sz w:val="21"/>
          <w:u w:val="none" w:color="auto"/>
        </w:rPr>
      </w:pPr>
    </w:p>
    <w:p w14:paraId="6653162C">
      <w:pPr>
        <w:spacing w:line="241" w:lineRule="auto"/>
        <w:rPr>
          <w:rFonts w:hint="default" w:ascii="Times New Roman" w:hAnsi="Times New Roman" w:cs="Times New Roman"/>
          <w:spacing w:val="0"/>
          <w:w w:val="100"/>
          <w:position w:val="0"/>
          <w:sz w:val="21"/>
          <w:u w:val="none" w:color="auto"/>
        </w:rPr>
      </w:pPr>
    </w:p>
    <w:p w14:paraId="425A74DC">
      <w:pPr>
        <w:spacing w:line="242" w:lineRule="auto"/>
        <w:rPr>
          <w:rFonts w:hint="default" w:ascii="Times New Roman" w:hAnsi="Times New Roman" w:cs="Times New Roman"/>
          <w:spacing w:val="0"/>
          <w:w w:val="100"/>
          <w:position w:val="0"/>
          <w:sz w:val="21"/>
          <w:u w:val="none" w:color="auto"/>
        </w:rPr>
      </w:pPr>
    </w:p>
    <w:p w14:paraId="177049D0">
      <w:pPr>
        <w:spacing w:line="242" w:lineRule="auto"/>
        <w:rPr>
          <w:rFonts w:hint="default" w:ascii="Times New Roman" w:hAnsi="Times New Roman" w:cs="Times New Roman"/>
          <w:spacing w:val="0"/>
          <w:w w:val="100"/>
          <w:position w:val="0"/>
          <w:sz w:val="21"/>
          <w:u w:val="none" w:color="auto"/>
        </w:rPr>
      </w:pPr>
    </w:p>
    <w:p w14:paraId="1160D393">
      <w:pPr>
        <w:spacing w:line="242" w:lineRule="auto"/>
        <w:rPr>
          <w:rFonts w:hint="default" w:ascii="Times New Roman" w:hAnsi="Times New Roman" w:cs="Times New Roman"/>
          <w:spacing w:val="0"/>
          <w:w w:val="100"/>
          <w:position w:val="0"/>
          <w:sz w:val="21"/>
          <w:u w:val="none" w:color="auto"/>
        </w:rPr>
      </w:pPr>
    </w:p>
    <w:p w14:paraId="7B5109B0">
      <w:pPr>
        <w:pStyle w:val="2"/>
        <w:spacing w:before="104" w:line="224" w:lineRule="auto"/>
        <w:ind w:left="316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202</w:t>
      </w:r>
      <w:r>
        <w:rPr>
          <w:rFonts w:hint="eastAsia" w:ascii="Times New Roman" w:hAnsi="Times New Roman" w:eastAsia="仿宋_GB2312" w:cs="Times New Roman"/>
          <w:spacing w:val="0"/>
          <w:w w:val="100"/>
          <w:position w:val="0"/>
          <w:u w:val="none" w:color="auto"/>
          <w:lang w:val="en-US" w:eastAsia="zh-CN"/>
        </w:rPr>
        <w:t>5</w:t>
      </w:r>
      <w:r>
        <w:rPr>
          <w:rFonts w:hint="default" w:ascii="Times New Roman" w:hAnsi="Times New Roman" w:eastAsia="仿宋_GB2312" w:cs="Times New Roman"/>
          <w:spacing w:val="0"/>
          <w:w w:val="100"/>
          <w:position w:val="0"/>
          <w:u w:val="none" w:color="auto"/>
        </w:rPr>
        <w:t>年9月29日</w:t>
      </w:r>
    </w:p>
    <w:p w14:paraId="17E0F214">
      <w:pPr>
        <w:spacing w:line="280" w:lineRule="auto"/>
        <w:rPr>
          <w:rFonts w:hint="default" w:ascii="Times New Roman" w:hAnsi="Times New Roman" w:cs="Times New Roman"/>
          <w:spacing w:val="0"/>
          <w:w w:val="100"/>
          <w:position w:val="0"/>
          <w:sz w:val="21"/>
          <w:u w:val="none" w:color="auto"/>
        </w:rPr>
      </w:pPr>
    </w:p>
    <w:p w14:paraId="5538E6CF">
      <w:pPr>
        <w:pStyle w:val="7"/>
        <w:rPr>
          <w:rFonts w:hint="default" w:ascii="Times New Roman" w:hAnsi="Times New Roman" w:cs="Times New Roman"/>
          <w:spacing w:val="0"/>
          <w:w w:val="100"/>
          <w:position w:val="0"/>
          <w:sz w:val="21"/>
          <w:u w:val="none" w:color="auto"/>
        </w:rPr>
      </w:pPr>
    </w:p>
    <w:p w14:paraId="23F16D07">
      <w:pPr>
        <w:rPr>
          <w:rFonts w:hint="default" w:ascii="Times New Roman" w:hAnsi="Times New Roman" w:cs="Times New Roman"/>
          <w:spacing w:val="0"/>
          <w:w w:val="100"/>
          <w:position w:val="0"/>
          <w:sz w:val="21"/>
          <w:u w:val="none" w:color="auto"/>
        </w:rPr>
      </w:pPr>
    </w:p>
    <w:p w14:paraId="0DC8AD6B">
      <w:pPr>
        <w:spacing w:before="143" w:line="222" w:lineRule="auto"/>
        <w:ind w:left="3361"/>
        <w:outlineLvl w:val="0"/>
        <w:rPr>
          <w:rFonts w:hint="default" w:ascii="Times New Roman" w:hAnsi="Times New Roman" w:eastAsia="方正小标宋简体" w:cs="Times New Roman"/>
          <w:spacing w:val="0"/>
          <w:w w:val="100"/>
          <w:position w:val="0"/>
          <w:sz w:val="44"/>
          <w:szCs w:val="44"/>
          <w:u w:val="none" w:color="auto"/>
        </w:rPr>
      </w:pPr>
      <w:r>
        <w:rPr>
          <w:rFonts w:hint="default" w:ascii="Times New Roman" w:hAnsi="Times New Roman" w:eastAsia="方正小标宋简体" w:cs="Times New Roman"/>
          <w:spacing w:val="0"/>
          <w:w w:val="100"/>
          <w:position w:val="0"/>
          <w:sz w:val="44"/>
          <w:szCs w:val="44"/>
          <w:u w:val="none" w:color="auto"/>
        </w:rPr>
        <w:t>目录</w:t>
      </w:r>
    </w:p>
    <w:p w14:paraId="67656C26">
      <w:pPr>
        <w:spacing w:line="251" w:lineRule="auto"/>
        <w:rPr>
          <w:rFonts w:hint="default" w:ascii="Times New Roman" w:hAnsi="Times New Roman" w:cs="Times New Roman"/>
          <w:spacing w:val="0"/>
          <w:w w:val="100"/>
          <w:position w:val="0"/>
          <w:sz w:val="21"/>
          <w:u w:val="none" w:color="auto"/>
        </w:rPr>
      </w:pPr>
    </w:p>
    <w:p w14:paraId="131A4E65">
      <w:pPr>
        <w:spacing w:line="251" w:lineRule="auto"/>
        <w:rPr>
          <w:rFonts w:hint="default" w:ascii="Times New Roman" w:hAnsi="Times New Roman" w:cs="Times New Roman"/>
          <w:spacing w:val="0"/>
          <w:w w:val="100"/>
          <w:position w:val="0"/>
          <w:sz w:val="21"/>
          <w:u w:val="none" w:color="auto"/>
        </w:rPr>
      </w:pPr>
    </w:p>
    <w:p w14:paraId="3D85D958">
      <w:pPr>
        <w:keepNext w:val="0"/>
        <w:keepLines w:val="0"/>
        <w:pageBreakBefore w:val="0"/>
        <w:wordWrap/>
        <w:overflowPunct/>
        <w:topLinePunct w:val="0"/>
        <w:bidi w:val="0"/>
        <w:adjustRightInd w:val="0"/>
        <w:snapToGrid w:val="0"/>
        <w:spacing w:line="580" w:lineRule="exact"/>
        <w:ind w:left="397"/>
        <w:rPr>
          <w:rFonts w:hint="default" w:ascii="Times New Roman" w:hAnsi="Times New Roman" w:eastAsia="黑体" w:cs="Times New Roman"/>
          <w:spacing w:val="0"/>
          <w:w w:val="100"/>
          <w:position w:val="0"/>
          <w:sz w:val="32"/>
          <w:szCs w:val="32"/>
          <w:u w:val="none" w:color="auto"/>
        </w:rPr>
      </w:pPr>
      <w:r>
        <w:rPr>
          <w:rFonts w:hint="default" w:ascii="Times New Roman" w:hAnsi="Times New Roman" w:eastAsia="黑体" w:cs="Times New Roman"/>
          <w:spacing w:val="0"/>
          <w:w w:val="100"/>
          <w:position w:val="0"/>
          <w:sz w:val="32"/>
          <w:szCs w:val="32"/>
          <w:u w:val="none" w:color="auto"/>
        </w:rPr>
        <w:t>第一部分</w:t>
      </w:r>
      <w:r>
        <w:rPr>
          <w:rFonts w:hint="eastAsia" w:ascii="Times New Roman" w:hAnsi="Times New Roman" w:eastAsia="黑体" w:cs="Times New Roman"/>
          <w:spacing w:val="0"/>
          <w:w w:val="100"/>
          <w:position w:val="0"/>
          <w:sz w:val="32"/>
          <w:szCs w:val="32"/>
          <w:u w:val="none" w:color="auto"/>
          <w:lang w:val="en-US" w:eastAsia="zh-CN"/>
        </w:rPr>
        <w:t>武汉市光谷第八初级中学</w:t>
      </w:r>
      <w:r>
        <w:rPr>
          <w:rFonts w:hint="default" w:ascii="Times New Roman" w:hAnsi="Times New Roman" w:eastAsia="黑体" w:cs="Times New Roman"/>
          <w:spacing w:val="0"/>
          <w:w w:val="100"/>
          <w:position w:val="0"/>
          <w:sz w:val="32"/>
          <w:szCs w:val="32"/>
          <w:u w:val="none" w:color="auto"/>
        </w:rPr>
        <w:t>概况</w:t>
      </w:r>
    </w:p>
    <w:p w14:paraId="04D403D1">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一、部门主要职责</w:t>
      </w:r>
    </w:p>
    <w:p w14:paraId="3CBF44EC">
      <w:pPr>
        <w:pStyle w:val="2"/>
        <w:keepNext w:val="0"/>
        <w:keepLines w:val="0"/>
        <w:pageBreakBefore w:val="0"/>
        <w:wordWrap/>
        <w:overflowPunct/>
        <w:topLinePunct w:val="0"/>
        <w:bidi w:val="0"/>
        <w:adjustRightInd w:val="0"/>
        <w:snapToGrid w:val="0"/>
        <w:spacing w:line="580" w:lineRule="exact"/>
        <w:ind w:left="414"/>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二、机构设置情况</w:t>
      </w:r>
    </w:p>
    <w:p w14:paraId="71CE81CE">
      <w:pPr>
        <w:keepNext w:val="0"/>
        <w:keepLines w:val="0"/>
        <w:pageBreakBefore w:val="0"/>
        <w:wordWrap/>
        <w:overflowPunct/>
        <w:topLinePunct w:val="0"/>
        <w:bidi w:val="0"/>
        <w:adjustRightInd w:val="0"/>
        <w:snapToGrid w:val="0"/>
        <w:spacing w:line="580" w:lineRule="exact"/>
        <w:ind w:left="397"/>
        <w:rPr>
          <w:rFonts w:hint="default" w:ascii="Times New Roman" w:hAnsi="Times New Roman" w:eastAsia="黑体" w:cs="Times New Roman"/>
          <w:spacing w:val="0"/>
          <w:w w:val="100"/>
          <w:position w:val="0"/>
          <w:sz w:val="32"/>
          <w:szCs w:val="32"/>
          <w:u w:val="none" w:color="auto"/>
        </w:rPr>
      </w:pPr>
      <w:r>
        <w:rPr>
          <w:rFonts w:hint="default" w:ascii="Times New Roman" w:hAnsi="Times New Roman" w:eastAsia="黑体" w:cs="Times New Roman"/>
          <w:spacing w:val="0"/>
          <w:w w:val="100"/>
          <w:position w:val="0"/>
          <w:sz w:val="32"/>
          <w:szCs w:val="32"/>
          <w:u w:val="none" w:color="auto"/>
        </w:rPr>
        <w:t>第二部分</w:t>
      </w:r>
      <w:r>
        <w:rPr>
          <w:rFonts w:hint="eastAsia" w:ascii="Times New Roman" w:hAnsi="Times New Roman" w:eastAsia="黑体" w:cs="Times New Roman"/>
          <w:spacing w:val="0"/>
          <w:w w:val="100"/>
          <w:position w:val="0"/>
          <w:sz w:val="32"/>
          <w:szCs w:val="32"/>
          <w:u w:val="none" w:color="auto"/>
          <w:lang w:val="en-US" w:eastAsia="zh-CN"/>
        </w:rPr>
        <w:t>武汉市光谷第八初级中学</w:t>
      </w:r>
      <w:r>
        <w:rPr>
          <w:rFonts w:hint="default" w:ascii="Times New Roman" w:hAnsi="Times New Roman" w:eastAsia="黑体" w:cs="Times New Roman"/>
          <w:spacing w:val="0"/>
          <w:w w:val="100"/>
          <w:position w:val="0"/>
          <w:sz w:val="32"/>
          <w:szCs w:val="32"/>
          <w:u w:val="none" w:color="auto"/>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rPr>
        <w:t>年度部门决算表</w:t>
      </w:r>
    </w:p>
    <w:p w14:paraId="1FB07CB5">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一、收入支出决算总表</w:t>
      </w:r>
    </w:p>
    <w:p w14:paraId="41278C01">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二、收入决算表</w:t>
      </w:r>
    </w:p>
    <w:p w14:paraId="06C330CD">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三、支出决算表</w:t>
      </w:r>
    </w:p>
    <w:p w14:paraId="5E9D182B">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四、财政拨款收入支出决算总表</w:t>
      </w:r>
    </w:p>
    <w:p w14:paraId="2559A1EE">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五、一般公共预算财政拨款支出决算表</w:t>
      </w:r>
    </w:p>
    <w:p w14:paraId="41ED5021">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六、一般公共预算财政拨款基本支出决算明细表</w:t>
      </w:r>
    </w:p>
    <w:p w14:paraId="2373BE13">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七、政府性基金预算财政拨款收入支出决算表</w:t>
      </w:r>
    </w:p>
    <w:p w14:paraId="306E016A">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八、国有资本经营预算财政拨款支出决算表</w:t>
      </w:r>
    </w:p>
    <w:p w14:paraId="4DBAC434">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九、财政拨款“三公”经费支出决算表</w:t>
      </w:r>
    </w:p>
    <w:p w14:paraId="50AAB916">
      <w:pPr>
        <w:keepNext w:val="0"/>
        <w:keepLines w:val="0"/>
        <w:pageBreakBefore w:val="0"/>
        <w:wordWrap/>
        <w:overflowPunct/>
        <w:topLinePunct w:val="0"/>
        <w:bidi w:val="0"/>
        <w:adjustRightInd w:val="0"/>
        <w:snapToGrid w:val="0"/>
        <w:spacing w:line="580" w:lineRule="exact"/>
        <w:ind w:left="397"/>
        <w:rPr>
          <w:rFonts w:hint="default" w:ascii="Times New Roman" w:hAnsi="Times New Roman" w:eastAsia="黑体" w:cs="Times New Roman"/>
          <w:spacing w:val="0"/>
          <w:w w:val="100"/>
          <w:position w:val="0"/>
          <w:sz w:val="32"/>
          <w:szCs w:val="32"/>
          <w:u w:val="none" w:color="auto"/>
        </w:rPr>
      </w:pPr>
      <w:r>
        <w:rPr>
          <w:rFonts w:hint="default" w:ascii="Times New Roman" w:hAnsi="Times New Roman" w:eastAsia="黑体" w:cs="Times New Roman"/>
          <w:spacing w:val="0"/>
          <w:w w:val="100"/>
          <w:position w:val="0"/>
          <w:sz w:val="32"/>
          <w:szCs w:val="32"/>
          <w:u w:val="none" w:color="auto"/>
        </w:rPr>
        <w:t>第三部分</w:t>
      </w:r>
      <w:r>
        <w:rPr>
          <w:rFonts w:hint="eastAsia" w:ascii="Times New Roman" w:hAnsi="Times New Roman" w:eastAsia="黑体" w:cs="Times New Roman"/>
          <w:spacing w:val="0"/>
          <w:w w:val="100"/>
          <w:position w:val="0"/>
          <w:sz w:val="32"/>
          <w:szCs w:val="32"/>
          <w:u w:val="none" w:color="auto"/>
          <w:lang w:val="en-US" w:eastAsia="zh-CN"/>
        </w:rPr>
        <w:t>武汉市光谷第八初级中学</w:t>
      </w:r>
      <w:r>
        <w:rPr>
          <w:rFonts w:hint="default" w:ascii="Times New Roman" w:hAnsi="Times New Roman" w:eastAsia="黑体" w:cs="Times New Roman"/>
          <w:spacing w:val="0"/>
          <w:w w:val="100"/>
          <w:position w:val="0"/>
          <w:sz w:val="32"/>
          <w:szCs w:val="32"/>
          <w:u w:val="none" w:color="auto"/>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rPr>
        <w:t>年度部门决算情况说明</w:t>
      </w:r>
    </w:p>
    <w:p w14:paraId="76453955">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一、收入支出决算总体情况说明</w:t>
      </w:r>
    </w:p>
    <w:p w14:paraId="5033928F">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二、收入决算情况说明</w:t>
      </w:r>
    </w:p>
    <w:p w14:paraId="3573D824">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三、支出决算情况说明</w:t>
      </w:r>
    </w:p>
    <w:p w14:paraId="6382F20A">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四、财政拨款收入支出决算总体情况说明</w:t>
      </w:r>
    </w:p>
    <w:p w14:paraId="7407DF26">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五、一般公共预算财政拨款支出决算情况说明</w:t>
      </w:r>
    </w:p>
    <w:p w14:paraId="7697F60D">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六、一般公共预算财政拨款基本支出决算情况说明</w:t>
      </w:r>
    </w:p>
    <w:p w14:paraId="28E456B9">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七、政府性基金预算财政拨款收入支出决算情况说明</w:t>
      </w:r>
    </w:p>
    <w:p w14:paraId="69AA10EA">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八、国有资本经营预算财政拨款支出决算情况说明</w:t>
      </w:r>
    </w:p>
    <w:p w14:paraId="2BA9F6E0">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九、财政拨款“三公”经费支出决算情况说明</w:t>
      </w:r>
    </w:p>
    <w:p w14:paraId="4CD7CFF6">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十、机关运行经费支出说明</w:t>
      </w:r>
    </w:p>
    <w:p w14:paraId="61B08035">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十一、政府采购支出说明</w:t>
      </w:r>
    </w:p>
    <w:p w14:paraId="1CCA7B94">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十二、国有资产占用情况说明</w:t>
      </w:r>
    </w:p>
    <w:p w14:paraId="05980355">
      <w:pPr>
        <w:pStyle w:val="2"/>
        <w:keepNext w:val="0"/>
        <w:keepLines w:val="0"/>
        <w:pageBreakBefore w:val="0"/>
        <w:wordWrap/>
        <w:overflowPunct/>
        <w:topLinePunct w:val="0"/>
        <w:bidi w:val="0"/>
        <w:adjustRightInd w:val="0"/>
        <w:snapToGrid w:val="0"/>
        <w:spacing w:line="580" w:lineRule="exact"/>
        <w:ind w:left="417"/>
        <w:rPr>
          <w:rFonts w:hint="default" w:ascii="Times New Roman" w:hAnsi="Times New Roman" w:eastAsia="仿宋_GB2312" w:cs="Times New Roman"/>
          <w:spacing w:val="0"/>
          <w:w w:val="100"/>
          <w:position w:val="0"/>
          <w:u w:val="none" w:color="auto"/>
        </w:rPr>
      </w:pPr>
      <w:r>
        <w:rPr>
          <w:rFonts w:hint="default" w:ascii="Times New Roman" w:hAnsi="Times New Roman" w:eastAsia="仿宋_GB2312" w:cs="Times New Roman"/>
          <w:spacing w:val="0"/>
          <w:w w:val="100"/>
          <w:position w:val="0"/>
          <w:u w:val="none" w:color="auto"/>
        </w:rPr>
        <w:t>十三、预算绩效情况说明</w:t>
      </w:r>
    </w:p>
    <w:p w14:paraId="592D894F">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jc w:val="left"/>
        <w:textAlignment w:val="auto"/>
        <w:outlineLvl w:val="9"/>
        <w:rPr>
          <w:rFonts w:hint="default" w:ascii="Times New Roman" w:hAnsi="Times New Roman" w:eastAsia="黑体" w:cs="Times New Roman"/>
          <w:spacing w:val="0"/>
          <w:w w:val="100"/>
          <w:position w:val="0"/>
          <w:sz w:val="32"/>
          <w:u w:val="none" w:color="auto"/>
        </w:rPr>
      </w:pPr>
      <w:r>
        <w:rPr>
          <w:rFonts w:hint="default" w:ascii="Times New Roman" w:hAnsi="Times New Roman" w:eastAsia="黑体" w:cs="Times New Roman"/>
          <w:spacing w:val="0"/>
          <w:w w:val="100"/>
          <w:position w:val="0"/>
          <w:sz w:val="32"/>
          <w:u w:val="none" w:color="auto"/>
        </w:rPr>
        <w:t>第四部分202</w:t>
      </w:r>
      <w:r>
        <w:rPr>
          <w:rFonts w:hint="eastAsia" w:ascii="Times New Roman" w:hAnsi="Times New Roman" w:eastAsia="黑体" w:cs="Times New Roman"/>
          <w:spacing w:val="0"/>
          <w:w w:val="100"/>
          <w:position w:val="0"/>
          <w:sz w:val="32"/>
          <w:u w:val="none" w:color="auto"/>
          <w:lang w:val="en-US" w:eastAsia="zh-CN"/>
        </w:rPr>
        <w:t>4</w:t>
      </w:r>
      <w:r>
        <w:rPr>
          <w:rFonts w:hint="default" w:ascii="Times New Roman" w:hAnsi="Times New Roman" w:eastAsia="黑体" w:cs="Times New Roman"/>
          <w:spacing w:val="0"/>
          <w:w w:val="100"/>
          <w:position w:val="0"/>
          <w:sz w:val="32"/>
          <w:u w:val="none" w:color="auto"/>
        </w:rPr>
        <w:t>年重点工作完成情况</w:t>
      </w:r>
    </w:p>
    <w:p w14:paraId="31ECC9C1">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jc w:val="left"/>
        <w:textAlignment w:val="auto"/>
        <w:outlineLvl w:val="9"/>
        <w:rPr>
          <w:rFonts w:hint="default" w:ascii="Times New Roman" w:hAnsi="Times New Roman" w:eastAsia="黑体" w:cs="Times New Roman"/>
          <w:spacing w:val="0"/>
          <w:w w:val="100"/>
          <w:position w:val="0"/>
          <w:sz w:val="32"/>
          <w:u w:val="none" w:color="auto"/>
        </w:rPr>
      </w:pPr>
      <w:r>
        <w:rPr>
          <w:rFonts w:hint="default" w:ascii="Times New Roman" w:hAnsi="Times New Roman" w:eastAsia="黑体" w:cs="Times New Roman"/>
          <w:spacing w:val="0"/>
          <w:w w:val="100"/>
          <w:position w:val="0"/>
          <w:sz w:val="32"/>
          <w:u w:val="none" w:color="auto"/>
        </w:rPr>
        <w:t>第五部分名词解释</w:t>
      </w:r>
    </w:p>
    <w:p w14:paraId="59B721C0">
      <w:pPr>
        <w:keepNext w:val="0"/>
        <w:keepLines w:val="0"/>
        <w:pageBreakBefore w:val="0"/>
        <w:widowControl w:val="0"/>
        <w:kinsoku/>
        <w:wordWrap/>
        <w:overflowPunct/>
        <w:topLinePunct w:val="0"/>
        <w:autoSpaceDE/>
        <w:autoSpaceDN/>
        <w:bidi w:val="0"/>
        <w:adjustRightInd w:val="0"/>
        <w:snapToGrid w:val="0"/>
        <w:spacing w:line="580" w:lineRule="exact"/>
        <w:ind w:firstLine="320" w:firstLineChars="100"/>
        <w:jc w:val="left"/>
        <w:textAlignment w:val="auto"/>
        <w:outlineLvl w:val="9"/>
        <w:rPr>
          <w:rFonts w:hint="default" w:ascii="Times New Roman" w:hAnsi="Times New Roman" w:eastAsia="黑体" w:cs="Times New Roman"/>
          <w:spacing w:val="0"/>
          <w:w w:val="100"/>
          <w:position w:val="0"/>
          <w:sz w:val="32"/>
          <w:u w:val="none" w:color="auto"/>
        </w:rPr>
      </w:pPr>
      <w:r>
        <w:rPr>
          <w:rFonts w:hint="default" w:ascii="Times New Roman" w:hAnsi="Times New Roman" w:eastAsia="黑体" w:cs="Times New Roman"/>
          <w:spacing w:val="0"/>
          <w:w w:val="100"/>
          <w:position w:val="0"/>
          <w:sz w:val="32"/>
          <w:u w:val="none" w:color="auto"/>
        </w:rPr>
        <w:t>第六部分附件</w:t>
      </w:r>
    </w:p>
    <w:p w14:paraId="76577437">
      <w:pPr>
        <w:rPr>
          <w:rFonts w:hint="default" w:ascii="Times New Roman" w:hAnsi="Times New Roman" w:cs="Times New Roman"/>
          <w:u w:val="none" w:color="auto"/>
        </w:rPr>
      </w:pPr>
    </w:p>
    <w:p w14:paraId="053BDD54">
      <w:pPr>
        <w:pStyle w:val="7"/>
        <w:rPr>
          <w:rFonts w:hint="default" w:ascii="Times New Roman" w:hAnsi="Times New Roman" w:cs="Times New Roman"/>
          <w:u w:val="none" w:color="auto"/>
        </w:rPr>
      </w:pPr>
    </w:p>
    <w:p w14:paraId="7777F933">
      <w:pPr>
        <w:rPr>
          <w:rFonts w:hint="default" w:ascii="Times New Roman" w:hAnsi="Times New Roman" w:cs="Times New Roman"/>
          <w:u w:val="none" w:color="auto"/>
        </w:rPr>
      </w:pPr>
    </w:p>
    <w:p w14:paraId="12AAF300">
      <w:pPr>
        <w:pStyle w:val="7"/>
        <w:rPr>
          <w:rFonts w:hint="default" w:ascii="Times New Roman" w:hAnsi="Times New Roman" w:cs="Times New Roman"/>
          <w:u w:val="none" w:color="auto"/>
        </w:rPr>
      </w:pPr>
    </w:p>
    <w:p w14:paraId="3ED4FC6A">
      <w:pPr>
        <w:rPr>
          <w:rFonts w:hint="default" w:ascii="Times New Roman" w:hAnsi="Times New Roman" w:cs="Times New Roman"/>
          <w:u w:val="none" w:color="auto"/>
        </w:rPr>
      </w:pPr>
    </w:p>
    <w:p w14:paraId="66BB94C5">
      <w:pPr>
        <w:pStyle w:val="7"/>
        <w:rPr>
          <w:rFonts w:hint="default" w:ascii="Times New Roman" w:hAnsi="Times New Roman" w:cs="Times New Roman"/>
          <w:u w:val="none" w:color="auto"/>
        </w:rPr>
      </w:pPr>
    </w:p>
    <w:p w14:paraId="393435DA">
      <w:pPr>
        <w:rPr>
          <w:rFonts w:hint="default" w:ascii="Times New Roman" w:hAnsi="Times New Roman" w:cs="Times New Roman"/>
          <w:u w:val="none" w:color="auto"/>
        </w:rPr>
      </w:pPr>
    </w:p>
    <w:p w14:paraId="7C2DB7C0">
      <w:pPr>
        <w:pStyle w:val="7"/>
        <w:rPr>
          <w:rFonts w:hint="default" w:ascii="Times New Roman" w:hAnsi="Times New Roman" w:cs="Times New Roman"/>
          <w:u w:val="none" w:color="auto"/>
        </w:rPr>
      </w:pPr>
    </w:p>
    <w:p w14:paraId="1676363C">
      <w:pPr>
        <w:rPr>
          <w:rFonts w:hint="default" w:ascii="Times New Roman" w:hAnsi="Times New Roman" w:cs="Times New Roman"/>
          <w:u w:val="none" w:color="auto"/>
        </w:rPr>
      </w:pPr>
    </w:p>
    <w:p w14:paraId="6A0173D6">
      <w:pPr>
        <w:pStyle w:val="7"/>
        <w:rPr>
          <w:rFonts w:hint="default" w:ascii="Times New Roman" w:hAnsi="Times New Roman" w:cs="Times New Roman"/>
          <w:u w:val="none" w:color="auto"/>
        </w:rPr>
      </w:pPr>
    </w:p>
    <w:p w14:paraId="0ED8FE2A">
      <w:pPr>
        <w:rPr>
          <w:rFonts w:hint="default" w:ascii="Times New Roman" w:hAnsi="Times New Roman" w:cs="Times New Roman"/>
          <w:u w:val="none" w:color="auto"/>
        </w:rPr>
      </w:pPr>
    </w:p>
    <w:p w14:paraId="572A9052">
      <w:pPr>
        <w:pStyle w:val="7"/>
        <w:rPr>
          <w:rFonts w:hint="default" w:ascii="Times New Roman" w:hAnsi="Times New Roman" w:cs="Times New Roman"/>
          <w:u w:val="none" w:color="auto"/>
        </w:rPr>
      </w:pPr>
    </w:p>
    <w:p w14:paraId="0A3556C4">
      <w:pPr>
        <w:rPr>
          <w:rFonts w:hint="default" w:ascii="Times New Roman" w:hAnsi="Times New Roman" w:cs="Times New Roman"/>
          <w:u w:val="none" w:color="auto"/>
        </w:rPr>
      </w:pPr>
    </w:p>
    <w:p w14:paraId="5454AA72">
      <w:pPr>
        <w:pStyle w:val="7"/>
        <w:rPr>
          <w:rFonts w:hint="default" w:ascii="Times New Roman" w:hAnsi="Times New Roman" w:cs="Times New Roman"/>
          <w:u w:val="none" w:color="auto"/>
        </w:rPr>
      </w:pPr>
    </w:p>
    <w:p w14:paraId="3B4D0900">
      <w:pPr>
        <w:rPr>
          <w:rFonts w:hint="default" w:ascii="Times New Roman" w:hAnsi="Times New Roman" w:cs="Times New Roman"/>
          <w:u w:val="none" w:color="auto"/>
        </w:rPr>
      </w:pPr>
    </w:p>
    <w:p w14:paraId="3EBE11DB">
      <w:pPr>
        <w:pStyle w:val="7"/>
        <w:rPr>
          <w:rFonts w:hint="default" w:ascii="Times New Roman" w:hAnsi="Times New Roman" w:cs="Times New Roman"/>
          <w:u w:val="none" w:color="auto"/>
        </w:rPr>
      </w:pPr>
    </w:p>
    <w:p w14:paraId="7D0D3DA8">
      <w:pPr>
        <w:pStyle w:val="7"/>
        <w:ind w:left="0" w:leftChars="0" w:firstLine="0" w:firstLineChars="0"/>
        <w:rPr>
          <w:rFonts w:hint="default" w:ascii="Times New Roman" w:hAnsi="Times New Roman" w:cs="Times New Roman"/>
          <w:u w:val="none" w:color="auto"/>
        </w:rPr>
      </w:pPr>
    </w:p>
    <w:p w14:paraId="56DC810F">
      <w:pPr>
        <w:spacing w:before="143" w:line="222" w:lineRule="auto"/>
        <w:jc w:val="center"/>
        <w:rPr>
          <w:rFonts w:hint="default" w:ascii="Times New Roman" w:hAnsi="Times New Roman" w:eastAsia="方正小标宋简体" w:cs="Times New Roman"/>
          <w:spacing w:val="0"/>
          <w:w w:val="100"/>
          <w:position w:val="0"/>
          <w:sz w:val="44"/>
          <w:szCs w:val="44"/>
          <w:u w:val="none" w:color="auto"/>
        </w:rPr>
      </w:pPr>
      <w:r>
        <w:rPr>
          <w:rFonts w:hint="default" w:ascii="Times New Roman" w:hAnsi="Times New Roman" w:eastAsia="方正小标宋简体" w:cs="Times New Roman"/>
          <w:spacing w:val="0"/>
          <w:w w:val="100"/>
          <w:position w:val="0"/>
          <w:sz w:val="44"/>
          <w:szCs w:val="44"/>
          <w:u w:val="none" w:color="auto"/>
        </w:rPr>
        <w:t>第一部分</w:t>
      </w:r>
      <w:r>
        <w:rPr>
          <w:rFonts w:hint="default" w:ascii="Times New Roman" w:hAnsi="Times New Roman" w:eastAsia="方正小标宋简体" w:cs="Times New Roman"/>
          <w:spacing w:val="0"/>
          <w:w w:val="100"/>
          <w:position w:val="0"/>
          <w:sz w:val="44"/>
          <w:szCs w:val="44"/>
          <w:u w:val="none" w:color="auto"/>
          <w:lang w:val="en-US" w:eastAsia="zh-CN"/>
        </w:rPr>
        <w:t>武汉市光谷第八初级中学</w:t>
      </w:r>
      <w:r>
        <w:rPr>
          <w:rFonts w:hint="default" w:ascii="Times New Roman" w:hAnsi="Times New Roman" w:eastAsia="方正小标宋简体" w:cs="Times New Roman"/>
          <w:spacing w:val="0"/>
          <w:w w:val="100"/>
          <w:position w:val="0"/>
          <w:sz w:val="44"/>
          <w:szCs w:val="44"/>
          <w:u w:val="none" w:color="auto"/>
        </w:rPr>
        <w:t>概况</w:t>
      </w:r>
    </w:p>
    <w:p w14:paraId="61DF46B9">
      <w:pPr>
        <w:keepNext w:val="0"/>
        <w:keepLines w:val="0"/>
        <w:pageBreakBefore w:val="0"/>
        <w:wordWrap/>
        <w:overflowPunct/>
        <w:topLinePunct w:val="0"/>
        <w:bidi w:val="0"/>
        <w:adjustRightInd w:val="0"/>
        <w:snapToGrid w:val="0"/>
        <w:spacing w:line="580" w:lineRule="exact"/>
        <w:ind w:left="634"/>
        <w:rPr>
          <w:rFonts w:hint="default" w:ascii="Times New Roman" w:hAnsi="Times New Roman" w:eastAsia="黑体" w:cs="Times New Roman"/>
          <w:spacing w:val="0"/>
          <w:w w:val="100"/>
          <w:position w:val="0"/>
          <w:sz w:val="32"/>
          <w:szCs w:val="32"/>
          <w:u w:val="none" w:color="auto"/>
        </w:rPr>
      </w:pPr>
    </w:p>
    <w:p w14:paraId="4A88EF1B">
      <w:pPr>
        <w:keepNext w:val="0"/>
        <w:keepLines w:val="0"/>
        <w:pageBreakBefore w:val="0"/>
        <w:wordWrap/>
        <w:overflowPunct/>
        <w:topLinePunct w:val="0"/>
        <w:bidi w:val="0"/>
        <w:adjustRightInd w:val="0"/>
        <w:snapToGrid w:val="0"/>
        <w:spacing w:line="580" w:lineRule="exact"/>
        <w:ind w:left="634"/>
        <w:rPr>
          <w:rFonts w:hint="default" w:ascii="Times New Roman" w:hAnsi="Times New Roman" w:eastAsia="黑体" w:cs="Times New Roman"/>
          <w:spacing w:val="0"/>
          <w:w w:val="100"/>
          <w:position w:val="0"/>
          <w:sz w:val="32"/>
          <w:szCs w:val="32"/>
          <w:u w:val="none" w:color="auto"/>
        </w:rPr>
      </w:pPr>
      <w:r>
        <w:rPr>
          <w:rFonts w:hint="default" w:ascii="Times New Roman" w:hAnsi="Times New Roman" w:eastAsia="黑体" w:cs="Times New Roman"/>
          <w:spacing w:val="0"/>
          <w:w w:val="100"/>
          <w:position w:val="0"/>
          <w:sz w:val="32"/>
          <w:szCs w:val="32"/>
          <w:u w:val="none" w:color="auto"/>
        </w:rPr>
        <w:t>一、部门主要职责</w:t>
      </w:r>
    </w:p>
    <w:p w14:paraId="2B118BA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outlineLvl w:val="9"/>
        <w:rPr>
          <w:rFonts w:hint="default" w:ascii="Times New Roman" w:hAnsi="Times New Roman" w:eastAsia="仿宋_GB2312" w:cs="Times New Roman"/>
          <w:bCs/>
          <w:spacing w:val="0"/>
          <w:w w:val="100"/>
          <w:position w:val="0"/>
          <w:sz w:val="32"/>
          <w:szCs w:val="32"/>
          <w:u w:val="none" w:color="auto"/>
          <w:lang w:val="en-US" w:eastAsia="zh-CN"/>
        </w:rPr>
      </w:pPr>
      <w:r>
        <w:rPr>
          <w:rFonts w:hint="default" w:ascii="Times New Roman" w:hAnsi="Times New Roman" w:eastAsia="仿宋_GB2312" w:cs="Times New Roman"/>
          <w:bCs/>
          <w:spacing w:val="0"/>
          <w:w w:val="100"/>
          <w:position w:val="0"/>
          <w:sz w:val="32"/>
          <w:szCs w:val="32"/>
          <w:u w:val="none" w:color="auto"/>
          <w:lang w:val="en-US" w:eastAsia="zh-CN"/>
        </w:rPr>
        <w:t>根据上级批示精神，全面贯彻落实党和国家的教育方针政策、法律法规，根据上级指示精神，结合我校实际情况，全面实施初中阶段义务教育，完成初中段学历教育，培养全面发展的合格人才，努力办好人民满意的光谷教育。</w:t>
      </w:r>
    </w:p>
    <w:p w14:paraId="045CB6A2">
      <w:pPr>
        <w:keepNext w:val="0"/>
        <w:keepLines w:val="0"/>
        <w:pageBreakBefore w:val="0"/>
        <w:wordWrap/>
        <w:overflowPunct/>
        <w:topLinePunct w:val="0"/>
        <w:bidi w:val="0"/>
        <w:adjustRightInd w:val="0"/>
        <w:snapToGrid w:val="0"/>
        <w:spacing w:line="580" w:lineRule="exact"/>
        <w:ind w:left="634"/>
        <w:rPr>
          <w:rFonts w:hint="default" w:ascii="Times New Roman" w:hAnsi="Times New Roman" w:eastAsia="黑体" w:cs="Times New Roman"/>
          <w:spacing w:val="0"/>
          <w:w w:val="100"/>
          <w:position w:val="0"/>
          <w:sz w:val="32"/>
          <w:szCs w:val="32"/>
          <w:u w:val="none" w:color="auto"/>
        </w:rPr>
      </w:pPr>
      <w:r>
        <w:rPr>
          <w:rFonts w:hint="default" w:ascii="Times New Roman" w:hAnsi="Times New Roman" w:eastAsia="黑体" w:cs="Times New Roman"/>
          <w:spacing w:val="0"/>
          <w:w w:val="100"/>
          <w:position w:val="0"/>
          <w:sz w:val="32"/>
          <w:szCs w:val="32"/>
          <w:u w:val="none" w:color="auto"/>
        </w:rPr>
        <w:t>二、机构设置情况</w:t>
      </w:r>
    </w:p>
    <w:p w14:paraId="43B1D46B">
      <w:pPr>
        <w:pStyle w:val="2"/>
        <w:keepNext w:val="0"/>
        <w:keepLines w:val="0"/>
        <w:pageBreakBefore w:val="0"/>
        <w:wordWrap/>
        <w:overflowPunct/>
        <w:topLinePunct w:val="0"/>
        <w:bidi w:val="0"/>
        <w:adjustRightInd w:val="0"/>
        <w:snapToGrid w:val="0"/>
        <w:spacing w:line="580" w:lineRule="exact"/>
        <w:ind w:right="10" w:firstLine="637"/>
        <w:rPr>
          <w:rFonts w:hint="default" w:ascii="Times New Roman" w:hAnsi="Times New Roman" w:eastAsia="仿宋_GB2312" w:cs="Times New Roman"/>
          <w:spacing w:val="0"/>
          <w:w w:val="100"/>
          <w:position w:val="0"/>
          <w:sz w:val="32"/>
          <w:szCs w:val="32"/>
          <w:u w:val="none" w:color="auto"/>
        </w:rPr>
      </w:pPr>
      <w:r>
        <w:rPr>
          <w:rFonts w:hint="default" w:ascii="Times New Roman" w:hAnsi="Times New Roman" w:eastAsia="仿宋_GB2312" w:cs="Times New Roman"/>
          <w:spacing w:val="0"/>
          <w:w w:val="100"/>
          <w:position w:val="0"/>
          <w:sz w:val="32"/>
          <w:szCs w:val="32"/>
          <w:u w:val="none" w:color="auto"/>
        </w:rPr>
        <w:t>从单位构成看，</w:t>
      </w:r>
      <w:r>
        <w:rPr>
          <w:rFonts w:hint="eastAsia" w:ascii="Times New Roman" w:hAnsi="Times New Roman" w:eastAsia="仿宋_GB2312" w:cs="Times New Roman"/>
          <w:spacing w:val="0"/>
          <w:w w:val="100"/>
          <w:position w:val="0"/>
          <w:sz w:val="32"/>
          <w:szCs w:val="32"/>
          <w:u w:val="none" w:color="auto"/>
          <w:lang w:val="en-US" w:eastAsia="zh-CN"/>
        </w:rPr>
        <w:t>武汉市光谷第八初级中学部门决算由纳入独立核算的单位本级决算组成</w:t>
      </w:r>
      <w:r>
        <w:rPr>
          <w:rFonts w:hint="default" w:ascii="Times New Roman" w:hAnsi="Times New Roman" w:eastAsia="仿宋_GB2312" w:cs="Times New Roman"/>
          <w:spacing w:val="0"/>
          <w:w w:val="100"/>
          <w:position w:val="0"/>
          <w:sz w:val="32"/>
          <w:szCs w:val="32"/>
          <w:u w:val="none" w:color="auto"/>
        </w:rPr>
        <w:t>。</w:t>
      </w:r>
    </w:p>
    <w:p w14:paraId="382FF576">
      <w:pPr>
        <w:pStyle w:val="7"/>
        <w:rPr>
          <w:rFonts w:hint="default" w:ascii="Times New Roman" w:hAnsi="Times New Roman" w:eastAsia="仿宋_GB2312" w:cs="Times New Roman"/>
          <w:b/>
          <w:bCs/>
          <w:spacing w:val="0"/>
          <w:w w:val="100"/>
          <w:position w:val="0"/>
          <w:sz w:val="32"/>
          <w:szCs w:val="32"/>
          <w:u w:val="none" w:color="auto"/>
          <w:lang w:eastAsia="zh-CN"/>
        </w:rPr>
      </w:pPr>
    </w:p>
    <w:p w14:paraId="7434F8C4">
      <w:pPr>
        <w:rPr>
          <w:rFonts w:hint="default"/>
          <w:u w:val="none" w:color="auto"/>
          <w:lang w:eastAsia="zh-CN"/>
        </w:rPr>
      </w:pPr>
    </w:p>
    <w:p w14:paraId="424BF55D">
      <w:pPr>
        <w:rPr>
          <w:rFonts w:hint="default" w:ascii="Times New Roman" w:hAnsi="Times New Roman" w:eastAsia="仿宋_GB2312" w:cs="Times New Roman"/>
          <w:b/>
          <w:bCs/>
          <w:spacing w:val="0"/>
          <w:w w:val="100"/>
          <w:position w:val="0"/>
          <w:sz w:val="32"/>
          <w:szCs w:val="32"/>
          <w:u w:val="none" w:color="auto"/>
          <w:lang w:eastAsia="zh-CN"/>
        </w:rPr>
      </w:pPr>
    </w:p>
    <w:p w14:paraId="0C79D905">
      <w:pPr>
        <w:pStyle w:val="7"/>
        <w:rPr>
          <w:rFonts w:hint="default" w:ascii="Times New Roman" w:hAnsi="Times New Roman" w:eastAsia="仿宋_GB2312" w:cs="Times New Roman"/>
          <w:b/>
          <w:bCs/>
          <w:spacing w:val="0"/>
          <w:w w:val="100"/>
          <w:position w:val="0"/>
          <w:sz w:val="32"/>
          <w:szCs w:val="32"/>
          <w:u w:val="none" w:color="auto"/>
          <w:lang w:eastAsia="zh-CN"/>
        </w:rPr>
      </w:pPr>
    </w:p>
    <w:p w14:paraId="243A0DB3">
      <w:pPr>
        <w:rPr>
          <w:rFonts w:hint="default" w:ascii="Times New Roman" w:hAnsi="Times New Roman" w:eastAsia="仿宋_GB2312" w:cs="Times New Roman"/>
          <w:b/>
          <w:bCs/>
          <w:spacing w:val="0"/>
          <w:w w:val="100"/>
          <w:position w:val="0"/>
          <w:sz w:val="32"/>
          <w:szCs w:val="32"/>
          <w:u w:val="none" w:color="auto"/>
          <w:lang w:eastAsia="zh-CN"/>
        </w:rPr>
      </w:pPr>
    </w:p>
    <w:p w14:paraId="733ADC0C">
      <w:pPr>
        <w:pStyle w:val="7"/>
        <w:rPr>
          <w:rFonts w:hint="default" w:ascii="Times New Roman" w:hAnsi="Times New Roman" w:eastAsia="仿宋_GB2312" w:cs="Times New Roman"/>
          <w:b/>
          <w:bCs/>
          <w:spacing w:val="0"/>
          <w:w w:val="100"/>
          <w:position w:val="0"/>
          <w:sz w:val="32"/>
          <w:szCs w:val="32"/>
          <w:u w:val="none" w:color="auto"/>
          <w:lang w:eastAsia="zh-CN"/>
        </w:rPr>
      </w:pPr>
    </w:p>
    <w:p w14:paraId="40EF7365">
      <w:pPr>
        <w:rPr>
          <w:rFonts w:hint="default" w:ascii="Times New Roman" w:hAnsi="Times New Roman" w:eastAsia="仿宋_GB2312" w:cs="Times New Roman"/>
          <w:b/>
          <w:bCs/>
          <w:spacing w:val="0"/>
          <w:w w:val="100"/>
          <w:position w:val="0"/>
          <w:sz w:val="32"/>
          <w:szCs w:val="32"/>
          <w:u w:val="none" w:color="auto"/>
          <w:lang w:eastAsia="zh-CN"/>
        </w:rPr>
      </w:pPr>
    </w:p>
    <w:p w14:paraId="5FEC57AD">
      <w:pPr>
        <w:pStyle w:val="7"/>
        <w:rPr>
          <w:rFonts w:hint="default"/>
          <w:u w:val="none" w:color="auto"/>
          <w:lang w:eastAsia="zh-CN"/>
        </w:rPr>
      </w:pPr>
    </w:p>
    <w:p w14:paraId="5A729F5C">
      <w:pPr>
        <w:rPr>
          <w:rFonts w:hint="default" w:ascii="Times New Roman" w:hAnsi="Times New Roman" w:eastAsia="仿宋_GB2312" w:cs="Times New Roman"/>
          <w:b/>
          <w:bCs/>
          <w:spacing w:val="0"/>
          <w:w w:val="100"/>
          <w:position w:val="0"/>
          <w:sz w:val="32"/>
          <w:szCs w:val="32"/>
          <w:u w:val="none" w:color="auto"/>
          <w:lang w:eastAsia="zh-CN"/>
        </w:rPr>
      </w:pPr>
    </w:p>
    <w:p w14:paraId="5CAFE425">
      <w:pPr>
        <w:pStyle w:val="7"/>
        <w:rPr>
          <w:rFonts w:hint="default" w:ascii="Times New Roman" w:hAnsi="Times New Roman" w:eastAsia="仿宋_GB2312" w:cs="Times New Roman"/>
          <w:b/>
          <w:bCs/>
          <w:spacing w:val="0"/>
          <w:w w:val="100"/>
          <w:position w:val="0"/>
          <w:sz w:val="32"/>
          <w:szCs w:val="32"/>
          <w:u w:val="none" w:color="auto"/>
          <w:lang w:eastAsia="zh-CN"/>
        </w:rPr>
      </w:pPr>
    </w:p>
    <w:p w14:paraId="164AF31B">
      <w:pPr>
        <w:rPr>
          <w:rFonts w:hint="default" w:ascii="Times New Roman" w:hAnsi="Times New Roman" w:eastAsia="仿宋_GB2312" w:cs="Times New Roman"/>
          <w:b/>
          <w:bCs/>
          <w:spacing w:val="0"/>
          <w:w w:val="100"/>
          <w:position w:val="0"/>
          <w:sz w:val="32"/>
          <w:szCs w:val="32"/>
          <w:u w:val="none" w:color="auto"/>
          <w:lang w:eastAsia="zh-CN"/>
        </w:rPr>
      </w:pPr>
    </w:p>
    <w:p w14:paraId="2BD8C43F">
      <w:pPr>
        <w:rPr>
          <w:rFonts w:hint="default" w:ascii="Times New Roman" w:hAnsi="Times New Roman" w:eastAsia="仿宋_GB2312" w:cs="Times New Roman"/>
          <w:b/>
          <w:bCs/>
          <w:spacing w:val="0"/>
          <w:w w:val="100"/>
          <w:position w:val="0"/>
          <w:sz w:val="32"/>
          <w:szCs w:val="32"/>
          <w:u w:val="none" w:color="auto"/>
          <w:lang w:eastAsia="zh-CN"/>
        </w:rPr>
      </w:pPr>
    </w:p>
    <w:p w14:paraId="069ACA8B">
      <w:pPr>
        <w:pStyle w:val="7"/>
        <w:ind w:left="0" w:leftChars="0" w:firstLine="0" w:firstLineChars="0"/>
        <w:jc w:val="center"/>
        <w:rPr>
          <w:rFonts w:hint="default" w:ascii="Times New Roman" w:hAnsi="Times New Roman" w:eastAsia="方正小标宋_GBK" w:cs="Times New Roman"/>
          <w:spacing w:val="-3"/>
          <w:sz w:val="44"/>
          <w:szCs w:val="44"/>
          <w:u w:val="none" w:color="auto"/>
        </w:rPr>
      </w:pPr>
    </w:p>
    <w:p w14:paraId="29AAF144">
      <w:pPr>
        <w:rPr>
          <w:rFonts w:hint="default"/>
          <w:u w:val="none" w:color="auto"/>
        </w:rPr>
      </w:pPr>
    </w:p>
    <w:p w14:paraId="0FC1360C">
      <w:pPr>
        <w:pStyle w:val="7"/>
        <w:ind w:left="0" w:leftChars="0" w:firstLine="0" w:firstLineChars="0"/>
        <w:jc w:val="center"/>
        <w:rPr>
          <w:rFonts w:hint="default" w:ascii="Times New Roman" w:hAnsi="Times New Roman" w:cs="Times New Roman"/>
          <w:u w:val="none" w:color="auto"/>
        </w:rPr>
      </w:pPr>
      <w:r>
        <w:rPr>
          <w:rFonts w:hint="default" w:ascii="Times New Roman" w:hAnsi="Times New Roman" w:eastAsia="方正小标宋_GBK" w:cs="Times New Roman"/>
          <w:spacing w:val="-3"/>
          <w:sz w:val="44"/>
          <w:szCs w:val="44"/>
          <w:u w:val="none" w:color="auto"/>
        </w:rPr>
        <w:t>第二部分</w:t>
      </w:r>
      <w:r>
        <w:rPr>
          <w:rFonts w:hint="eastAsia" w:ascii="Times New Roman" w:hAnsi="Times New Roman" w:eastAsia="方正小标宋_GBK" w:cs="Times New Roman"/>
          <w:spacing w:val="-3"/>
          <w:sz w:val="44"/>
          <w:szCs w:val="44"/>
          <w:u w:val="none" w:color="auto"/>
          <w:lang w:val="en-US" w:eastAsia="zh-CN"/>
        </w:rPr>
        <w:t>武汉市光谷第八初级中学2024年度部门决算表</w:t>
      </w:r>
    </w:p>
    <w:p w14:paraId="08DCECD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rPr>
      </w:pPr>
      <w:r>
        <w:rPr>
          <w:rFonts w:hint="default" w:ascii="Times New Roman" w:hAnsi="Times New Roman" w:eastAsia="黑体" w:cs="Times New Roman"/>
          <w:spacing w:val="0"/>
          <w:w w:val="100"/>
          <w:position w:val="0"/>
          <w:sz w:val="32"/>
          <w:szCs w:val="32"/>
          <w:u w:val="none" w:color="auto"/>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rPr>
        <w:t>年度收入支出决算总表</w:t>
      </w:r>
    </w:p>
    <w:p w14:paraId="536C7D89">
      <w:pPr>
        <w:pStyle w:val="7"/>
        <w:jc w:val="right"/>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公开01表</w:t>
      </w:r>
    </w:p>
    <w:p w14:paraId="58331388">
      <w:pPr>
        <w:jc w:val="right"/>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部门：</w:t>
      </w:r>
      <w:r>
        <w:rPr>
          <w:rFonts w:hint="eastAsia" w:ascii="Times New Roman" w:hAnsi="Times New Roman" w:eastAsia="仿宋_GB2312" w:cs="Times New Roman"/>
          <w:bCs/>
          <w:snapToGrid w:val="0"/>
          <w:color w:val="000000"/>
          <w:spacing w:val="0"/>
          <w:w w:val="100"/>
          <w:kern w:val="0"/>
          <w:position w:val="0"/>
          <w:sz w:val="28"/>
          <w:szCs w:val="28"/>
          <w:u w:val="none" w:color="auto"/>
          <w:lang w:val="en-US" w:eastAsia="zh-CN" w:bidi="ar-SA"/>
        </w:rPr>
        <w:t>武汉市光谷第八初级中学</w:t>
      </w: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金额单位：</w:t>
      </w:r>
      <w:r>
        <w:rPr>
          <w:rFonts w:hint="eastAsia" w:ascii="Times New Roman" w:hAnsi="Times New Roman" w:eastAsia="仿宋_GB2312" w:cs="Times New Roman"/>
          <w:bCs/>
          <w:snapToGrid w:val="0"/>
          <w:color w:val="000000"/>
          <w:spacing w:val="0"/>
          <w:w w:val="100"/>
          <w:kern w:val="0"/>
          <w:position w:val="0"/>
          <w:sz w:val="28"/>
          <w:szCs w:val="28"/>
          <w:u w:val="none" w:color="auto"/>
          <w:lang w:val="en-US" w:eastAsia="zh-CN" w:bidi="ar-SA"/>
        </w:rPr>
        <w:t>万</w:t>
      </w: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元</w:t>
      </w:r>
    </w:p>
    <w:tbl>
      <w:tblPr>
        <w:tblStyle w:val="8"/>
        <w:tblW w:w="10919" w:type="dxa"/>
        <w:tblInd w:w="-9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419"/>
        <w:gridCol w:w="674"/>
        <w:gridCol w:w="1276"/>
        <w:gridCol w:w="3269"/>
        <w:gridCol w:w="779"/>
        <w:gridCol w:w="1502"/>
      </w:tblGrid>
      <w:tr w14:paraId="4020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7" w:hRule="atLeast"/>
        </w:trPr>
        <w:tc>
          <w:tcPr>
            <w:tcW w:w="5369" w:type="dxa"/>
            <w:gridSpan w:val="3"/>
            <w:shd w:val="clear" w:color="auto" w:fill="auto"/>
            <w:noWrap/>
            <w:vAlign w:val="center"/>
          </w:tcPr>
          <w:p w14:paraId="0D2F11B1">
            <w:pPr>
              <w:jc w:val="center"/>
              <w:rPr>
                <w:rFonts w:hint="eastAsia" w:ascii="宋体" w:hAnsi="宋体" w:eastAsia="宋体" w:cs="宋体"/>
                <w:i w:val="0"/>
                <w:iCs w:val="0"/>
                <w:color w:val="000000"/>
                <w:sz w:val="18"/>
                <w:szCs w:val="18"/>
                <w:u w:val="none" w:color="auto"/>
                <w:lang w:val="en-US" w:eastAsia="zh-CN"/>
              </w:rPr>
            </w:pPr>
            <w:r>
              <w:rPr>
                <w:rFonts w:hint="eastAsia" w:ascii="宋体" w:hAnsi="宋体" w:eastAsia="宋体" w:cs="宋体"/>
                <w:i w:val="0"/>
                <w:iCs w:val="0"/>
                <w:color w:val="000000"/>
                <w:sz w:val="18"/>
                <w:szCs w:val="18"/>
                <w:u w:val="none" w:color="auto"/>
                <w:lang w:val="en-US" w:eastAsia="zh-CN"/>
              </w:rPr>
              <w:t>收入</w:t>
            </w:r>
          </w:p>
        </w:tc>
        <w:tc>
          <w:tcPr>
            <w:tcW w:w="5550" w:type="dxa"/>
            <w:gridSpan w:val="3"/>
            <w:shd w:val="clear" w:color="auto" w:fill="auto"/>
            <w:noWrap/>
            <w:vAlign w:val="center"/>
          </w:tcPr>
          <w:p w14:paraId="5719E0B1">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支出</w:t>
            </w:r>
          </w:p>
        </w:tc>
      </w:tr>
      <w:tr w14:paraId="6744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7985E30F">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项目</w:t>
            </w:r>
          </w:p>
        </w:tc>
        <w:tc>
          <w:tcPr>
            <w:tcW w:w="674" w:type="dxa"/>
            <w:shd w:val="clear" w:color="auto" w:fill="auto"/>
            <w:noWrap/>
            <w:vAlign w:val="center"/>
          </w:tcPr>
          <w:p w14:paraId="6146F28C">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行次</w:t>
            </w:r>
          </w:p>
        </w:tc>
        <w:tc>
          <w:tcPr>
            <w:tcW w:w="1276" w:type="dxa"/>
            <w:shd w:val="clear" w:color="auto" w:fill="auto"/>
            <w:noWrap/>
            <w:vAlign w:val="center"/>
          </w:tcPr>
          <w:p w14:paraId="177C16A8">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金额</w:t>
            </w:r>
          </w:p>
        </w:tc>
        <w:tc>
          <w:tcPr>
            <w:tcW w:w="3269" w:type="dxa"/>
            <w:shd w:val="clear" w:color="auto" w:fill="auto"/>
            <w:noWrap/>
            <w:vAlign w:val="center"/>
          </w:tcPr>
          <w:p w14:paraId="40614FB3">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项目</w:t>
            </w:r>
          </w:p>
        </w:tc>
        <w:tc>
          <w:tcPr>
            <w:tcW w:w="779" w:type="dxa"/>
            <w:shd w:val="clear" w:color="auto" w:fill="auto"/>
            <w:noWrap/>
            <w:vAlign w:val="center"/>
          </w:tcPr>
          <w:p w14:paraId="372A1F71">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行次</w:t>
            </w:r>
          </w:p>
        </w:tc>
        <w:tc>
          <w:tcPr>
            <w:tcW w:w="1502" w:type="dxa"/>
            <w:shd w:val="clear" w:color="auto" w:fill="auto"/>
            <w:noWrap/>
            <w:vAlign w:val="center"/>
          </w:tcPr>
          <w:p w14:paraId="7451FF76">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金额</w:t>
            </w:r>
          </w:p>
        </w:tc>
      </w:tr>
      <w:tr w14:paraId="0BB9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745B261F">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栏次</w:t>
            </w:r>
          </w:p>
        </w:tc>
        <w:tc>
          <w:tcPr>
            <w:tcW w:w="674" w:type="dxa"/>
            <w:shd w:val="clear" w:color="auto" w:fill="auto"/>
            <w:noWrap/>
            <w:vAlign w:val="center"/>
          </w:tcPr>
          <w:p w14:paraId="143DE43A">
            <w:pPr>
              <w:jc w:val="center"/>
              <w:rPr>
                <w:rFonts w:hint="eastAsia" w:ascii="宋体" w:hAnsi="宋体" w:eastAsia="宋体" w:cs="宋体"/>
                <w:i w:val="0"/>
                <w:iCs w:val="0"/>
                <w:color w:val="000000"/>
                <w:sz w:val="18"/>
                <w:szCs w:val="18"/>
                <w:u w:val="none" w:color="auto"/>
              </w:rPr>
            </w:pPr>
          </w:p>
        </w:tc>
        <w:tc>
          <w:tcPr>
            <w:tcW w:w="1276" w:type="dxa"/>
            <w:shd w:val="clear" w:color="auto" w:fill="auto"/>
            <w:noWrap/>
            <w:vAlign w:val="center"/>
          </w:tcPr>
          <w:p w14:paraId="1CD5E202">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w:t>
            </w:r>
          </w:p>
        </w:tc>
        <w:tc>
          <w:tcPr>
            <w:tcW w:w="3269" w:type="dxa"/>
            <w:shd w:val="clear" w:color="auto" w:fill="auto"/>
            <w:noWrap/>
            <w:vAlign w:val="center"/>
          </w:tcPr>
          <w:p w14:paraId="55FF09CC">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栏次</w:t>
            </w:r>
          </w:p>
        </w:tc>
        <w:tc>
          <w:tcPr>
            <w:tcW w:w="779" w:type="dxa"/>
            <w:shd w:val="clear" w:color="auto" w:fill="auto"/>
            <w:noWrap/>
            <w:vAlign w:val="center"/>
          </w:tcPr>
          <w:p w14:paraId="6C8F7462">
            <w:pPr>
              <w:jc w:val="center"/>
              <w:rPr>
                <w:rFonts w:hint="eastAsia" w:ascii="宋体" w:hAnsi="宋体" w:eastAsia="宋体" w:cs="宋体"/>
                <w:i w:val="0"/>
                <w:iCs w:val="0"/>
                <w:color w:val="000000"/>
                <w:sz w:val="18"/>
                <w:szCs w:val="18"/>
                <w:u w:val="none" w:color="auto"/>
              </w:rPr>
            </w:pPr>
          </w:p>
        </w:tc>
        <w:tc>
          <w:tcPr>
            <w:tcW w:w="1502" w:type="dxa"/>
            <w:shd w:val="clear" w:color="auto" w:fill="auto"/>
            <w:noWrap/>
            <w:vAlign w:val="center"/>
          </w:tcPr>
          <w:p w14:paraId="229DB59C">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w:t>
            </w:r>
          </w:p>
        </w:tc>
      </w:tr>
      <w:tr w14:paraId="50F35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4E07A8F5">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一、一般公共预算财政拨款收入</w:t>
            </w:r>
          </w:p>
        </w:tc>
        <w:tc>
          <w:tcPr>
            <w:tcW w:w="674" w:type="dxa"/>
            <w:shd w:val="clear" w:color="auto" w:fill="auto"/>
            <w:noWrap/>
            <w:vAlign w:val="center"/>
          </w:tcPr>
          <w:p w14:paraId="1151995E">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w:t>
            </w:r>
          </w:p>
        </w:tc>
        <w:tc>
          <w:tcPr>
            <w:tcW w:w="1276" w:type="dxa"/>
            <w:shd w:val="clear" w:color="auto" w:fill="auto"/>
            <w:noWrap/>
            <w:vAlign w:val="center"/>
          </w:tcPr>
          <w:p w14:paraId="4CBAFF0C">
            <w:pPr>
              <w:keepNext w:val="0"/>
              <w:keepLines w:val="0"/>
              <w:widowControl/>
              <w:suppressLineNumbers w:val="0"/>
              <w:jc w:val="righ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2,647.60</w:t>
            </w:r>
          </w:p>
        </w:tc>
        <w:tc>
          <w:tcPr>
            <w:tcW w:w="3269" w:type="dxa"/>
            <w:shd w:val="clear" w:color="auto" w:fill="auto"/>
            <w:noWrap/>
            <w:vAlign w:val="center"/>
          </w:tcPr>
          <w:p w14:paraId="192C4AB0">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一、一般公共服务支出</w:t>
            </w:r>
          </w:p>
        </w:tc>
        <w:tc>
          <w:tcPr>
            <w:tcW w:w="779" w:type="dxa"/>
            <w:shd w:val="clear" w:color="auto" w:fill="auto"/>
            <w:noWrap/>
            <w:vAlign w:val="center"/>
          </w:tcPr>
          <w:p w14:paraId="17FFB8B2">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w:t>
            </w:r>
          </w:p>
        </w:tc>
        <w:tc>
          <w:tcPr>
            <w:tcW w:w="1502" w:type="dxa"/>
            <w:shd w:val="clear" w:color="auto" w:fill="auto"/>
            <w:noWrap/>
            <w:vAlign w:val="center"/>
          </w:tcPr>
          <w:p w14:paraId="5AB3F58F">
            <w:pPr>
              <w:jc w:val="right"/>
              <w:rPr>
                <w:rFonts w:hint="eastAsia" w:ascii="宋体" w:hAnsi="宋体" w:eastAsia="宋体" w:cs="宋体"/>
                <w:i w:val="0"/>
                <w:iCs w:val="0"/>
                <w:color w:val="000000"/>
                <w:sz w:val="18"/>
                <w:szCs w:val="18"/>
                <w:u w:val="none" w:color="auto"/>
              </w:rPr>
            </w:pPr>
          </w:p>
        </w:tc>
      </w:tr>
      <w:tr w14:paraId="731E6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401FD906">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二、政府性基金预算财政拨款收入</w:t>
            </w:r>
          </w:p>
        </w:tc>
        <w:tc>
          <w:tcPr>
            <w:tcW w:w="674" w:type="dxa"/>
            <w:shd w:val="clear" w:color="auto" w:fill="auto"/>
            <w:noWrap/>
            <w:vAlign w:val="center"/>
          </w:tcPr>
          <w:p w14:paraId="64E51479">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w:t>
            </w:r>
          </w:p>
        </w:tc>
        <w:tc>
          <w:tcPr>
            <w:tcW w:w="1276" w:type="dxa"/>
            <w:shd w:val="clear" w:color="auto" w:fill="auto"/>
            <w:noWrap/>
            <w:vAlign w:val="center"/>
          </w:tcPr>
          <w:p w14:paraId="7FFF12E4">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3E70E92E">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二、外交支出</w:t>
            </w:r>
          </w:p>
        </w:tc>
        <w:tc>
          <w:tcPr>
            <w:tcW w:w="779" w:type="dxa"/>
            <w:shd w:val="clear" w:color="auto" w:fill="auto"/>
            <w:noWrap/>
            <w:vAlign w:val="center"/>
          </w:tcPr>
          <w:p w14:paraId="4D6DC6A9">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32</w:t>
            </w:r>
          </w:p>
        </w:tc>
        <w:tc>
          <w:tcPr>
            <w:tcW w:w="1502" w:type="dxa"/>
            <w:shd w:val="clear" w:color="auto" w:fill="auto"/>
            <w:noWrap/>
            <w:vAlign w:val="center"/>
          </w:tcPr>
          <w:p w14:paraId="5AE0CAE1">
            <w:pPr>
              <w:jc w:val="right"/>
              <w:rPr>
                <w:rFonts w:hint="eastAsia" w:ascii="宋体" w:hAnsi="宋体" w:eastAsia="宋体" w:cs="宋体"/>
                <w:i w:val="0"/>
                <w:iCs w:val="0"/>
                <w:color w:val="000000"/>
                <w:sz w:val="18"/>
                <w:szCs w:val="18"/>
                <w:u w:val="none" w:color="auto"/>
              </w:rPr>
            </w:pPr>
          </w:p>
        </w:tc>
      </w:tr>
      <w:tr w14:paraId="55165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31215993">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三、国有资本经营预算财政拨款收入</w:t>
            </w:r>
          </w:p>
        </w:tc>
        <w:tc>
          <w:tcPr>
            <w:tcW w:w="674" w:type="dxa"/>
            <w:shd w:val="clear" w:color="auto" w:fill="auto"/>
            <w:noWrap/>
            <w:vAlign w:val="center"/>
          </w:tcPr>
          <w:p w14:paraId="00390CAF">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w:t>
            </w:r>
          </w:p>
        </w:tc>
        <w:tc>
          <w:tcPr>
            <w:tcW w:w="1276" w:type="dxa"/>
            <w:shd w:val="clear" w:color="auto" w:fill="auto"/>
            <w:noWrap/>
            <w:vAlign w:val="center"/>
          </w:tcPr>
          <w:p w14:paraId="534D2D7B">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45D55834">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三、国防支出</w:t>
            </w:r>
          </w:p>
        </w:tc>
        <w:tc>
          <w:tcPr>
            <w:tcW w:w="779" w:type="dxa"/>
            <w:shd w:val="clear" w:color="auto" w:fill="auto"/>
            <w:noWrap/>
            <w:vAlign w:val="center"/>
          </w:tcPr>
          <w:p w14:paraId="1BA7AF82">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33</w:t>
            </w:r>
          </w:p>
        </w:tc>
        <w:tc>
          <w:tcPr>
            <w:tcW w:w="1502" w:type="dxa"/>
            <w:shd w:val="clear" w:color="auto" w:fill="auto"/>
            <w:noWrap/>
            <w:vAlign w:val="center"/>
          </w:tcPr>
          <w:p w14:paraId="4A30D6D4">
            <w:pPr>
              <w:jc w:val="right"/>
              <w:rPr>
                <w:rFonts w:hint="eastAsia" w:ascii="宋体" w:hAnsi="宋体" w:eastAsia="宋体" w:cs="宋体"/>
                <w:i w:val="0"/>
                <w:iCs w:val="0"/>
                <w:color w:val="000000"/>
                <w:sz w:val="18"/>
                <w:szCs w:val="18"/>
                <w:u w:val="none" w:color="auto"/>
              </w:rPr>
            </w:pPr>
          </w:p>
        </w:tc>
      </w:tr>
      <w:tr w14:paraId="31F8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4862BBFB">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四、上级补助收入</w:t>
            </w:r>
          </w:p>
        </w:tc>
        <w:tc>
          <w:tcPr>
            <w:tcW w:w="674" w:type="dxa"/>
            <w:shd w:val="clear" w:color="auto" w:fill="auto"/>
            <w:noWrap/>
            <w:vAlign w:val="center"/>
          </w:tcPr>
          <w:p w14:paraId="6C76737A">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w:t>
            </w:r>
          </w:p>
        </w:tc>
        <w:tc>
          <w:tcPr>
            <w:tcW w:w="1276" w:type="dxa"/>
            <w:shd w:val="clear" w:color="auto" w:fill="auto"/>
            <w:noWrap/>
            <w:vAlign w:val="center"/>
          </w:tcPr>
          <w:p w14:paraId="692463D8">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3C062169">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四、公共安全支出</w:t>
            </w:r>
          </w:p>
        </w:tc>
        <w:tc>
          <w:tcPr>
            <w:tcW w:w="779" w:type="dxa"/>
            <w:shd w:val="clear" w:color="auto" w:fill="auto"/>
            <w:noWrap/>
            <w:vAlign w:val="center"/>
          </w:tcPr>
          <w:p w14:paraId="65AE7476">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34</w:t>
            </w:r>
          </w:p>
        </w:tc>
        <w:tc>
          <w:tcPr>
            <w:tcW w:w="1502" w:type="dxa"/>
            <w:shd w:val="clear" w:color="auto" w:fill="auto"/>
            <w:noWrap/>
            <w:vAlign w:val="center"/>
          </w:tcPr>
          <w:p w14:paraId="0643EEB7">
            <w:pPr>
              <w:jc w:val="right"/>
              <w:rPr>
                <w:rFonts w:hint="eastAsia" w:ascii="宋体" w:hAnsi="宋体" w:eastAsia="宋体" w:cs="宋体"/>
                <w:i w:val="0"/>
                <w:iCs w:val="0"/>
                <w:color w:val="000000"/>
                <w:sz w:val="18"/>
                <w:szCs w:val="18"/>
                <w:u w:val="none" w:color="auto"/>
              </w:rPr>
            </w:pPr>
          </w:p>
        </w:tc>
      </w:tr>
      <w:tr w14:paraId="3F087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39645C6F">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五、事业收入</w:t>
            </w:r>
          </w:p>
        </w:tc>
        <w:tc>
          <w:tcPr>
            <w:tcW w:w="674" w:type="dxa"/>
            <w:shd w:val="clear" w:color="auto" w:fill="auto"/>
            <w:noWrap/>
            <w:vAlign w:val="center"/>
          </w:tcPr>
          <w:p w14:paraId="0A23E238">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w:t>
            </w:r>
          </w:p>
        </w:tc>
        <w:tc>
          <w:tcPr>
            <w:tcW w:w="1276" w:type="dxa"/>
            <w:shd w:val="clear" w:color="auto" w:fill="auto"/>
            <w:noWrap/>
            <w:vAlign w:val="center"/>
          </w:tcPr>
          <w:p w14:paraId="00F9218C">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20F0F113">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五、教育支出</w:t>
            </w:r>
          </w:p>
        </w:tc>
        <w:tc>
          <w:tcPr>
            <w:tcW w:w="779" w:type="dxa"/>
            <w:shd w:val="clear" w:color="auto" w:fill="auto"/>
            <w:noWrap/>
            <w:vAlign w:val="center"/>
          </w:tcPr>
          <w:p w14:paraId="07ABA132">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35</w:t>
            </w:r>
          </w:p>
        </w:tc>
        <w:tc>
          <w:tcPr>
            <w:tcW w:w="1502" w:type="dxa"/>
            <w:shd w:val="clear" w:color="auto" w:fill="auto"/>
            <w:noWrap/>
            <w:vAlign w:val="center"/>
          </w:tcPr>
          <w:p w14:paraId="4BC50147">
            <w:pPr>
              <w:keepNext w:val="0"/>
              <w:keepLines w:val="0"/>
              <w:widowControl/>
              <w:suppressLineNumbers w:val="0"/>
              <w:jc w:val="righ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2,550.51</w:t>
            </w:r>
          </w:p>
        </w:tc>
      </w:tr>
      <w:tr w14:paraId="4F97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26D23CFB">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六、经营收入</w:t>
            </w:r>
          </w:p>
        </w:tc>
        <w:tc>
          <w:tcPr>
            <w:tcW w:w="674" w:type="dxa"/>
            <w:shd w:val="clear" w:color="auto" w:fill="auto"/>
            <w:noWrap/>
            <w:vAlign w:val="center"/>
          </w:tcPr>
          <w:p w14:paraId="01F03D25">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6</w:t>
            </w:r>
          </w:p>
        </w:tc>
        <w:tc>
          <w:tcPr>
            <w:tcW w:w="1276" w:type="dxa"/>
            <w:shd w:val="clear" w:color="auto" w:fill="auto"/>
            <w:noWrap/>
            <w:vAlign w:val="center"/>
          </w:tcPr>
          <w:p w14:paraId="553F9D3C">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095EBE29">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六、科学技术支出</w:t>
            </w:r>
          </w:p>
        </w:tc>
        <w:tc>
          <w:tcPr>
            <w:tcW w:w="779" w:type="dxa"/>
            <w:shd w:val="clear" w:color="auto" w:fill="auto"/>
            <w:noWrap/>
            <w:vAlign w:val="center"/>
          </w:tcPr>
          <w:p w14:paraId="5CE89208">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36</w:t>
            </w:r>
          </w:p>
        </w:tc>
        <w:tc>
          <w:tcPr>
            <w:tcW w:w="1502" w:type="dxa"/>
            <w:shd w:val="clear" w:color="auto" w:fill="auto"/>
            <w:noWrap/>
            <w:vAlign w:val="center"/>
          </w:tcPr>
          <w:p w14:paraId="1E8A4483">
            <w:pPr>
              <w:jc w:val="right"/>
              <w:rPr>
                <w:rFonts w:hint="eastAsia" w:ascii="宋体" w:hAnsi="宋体" w:eastAsia="宋体" w:cs="宋体"/>
                <w:i w:val="0"/>
                <w:iCs w:val="0"/>
                <w:color w:val="000000"/>
                <w:sz w:val="18"/>
                <w:szCs w:val="18"/>
                <w:u w:val="none" w:color="auto"/>
              </w:rPr>
            </w:pPr>
          </w:p>
        </w:tc>
      </w:tr>
      <w:tr w14:paraId="49C1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2ACBC1FF">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七、附属单位上缴收入</w:t>
            </w:r>
          </w:p>
        </w:tc>
        <w:tc>
          <w:tcPr>
            <w:tcW w:w="674" w:type="dxa"/>
            <w:shd w:val="clear" w:color="auto" w:fill="auto"/>
            <w:noWrap/>
            <w:vAlign w:val="center"/>
          </w:tcPr>
          <w:p w14:paraId="38AE2C88">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7</w:t>
            </w:r>
          </w:p>
        </w:tc>
        <w:tc>
          <w:tcPr>
            <w:tcW w:w="1276" w:type="dxa"/>
            <w:shd w:val="clear" w:color="auto" w:fill="auto"/>
            <w:noWrap/>
            <w:vAlign w:val="center"/>
          </w:tcPr>
          <w:p w14:paraId="1CAC35B3">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50E4270C">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七、文化旅游体育与传媒支出</w:t>
            </w:r>
          </w:p>
        </w:tc>
        <w:tc>
          <w:tcPr>
            <w:tcW w:w="779" w:type="dxa"/>
            <w:shd w:val="clear" w:color="auto" w:fill="auto"/>
            <w:noWrap/>
            <w:vAlign w:val="center"/>
          </w:tcPr>
          <w:p w14:paraId="32CBFFE7">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37</w:t>
            </w:r>
          </w:p>
        </w:tc>
        <w:tc>
          <w:tcPr>
            <w:tcW w:w="1502" w:type="dxa"/>
            <w:shd w:val="clear" w:color="auto" w:fill="auto"/>
            <w:noWrap/>
            <w:vAlign w:val="center"/>
          </w:tcPr>
          <w:p w14:paraId="204F2DFC">
            <w:pPr>
              <w:jc w:val="right"/>
              <w:rPr>
                <w:rFonts w:hint="eastAsia" w:ascii="宋体" w:hAnsi="宋体" w:eastAsia="宋体" w:cs="宋体"/>
                <w:i w:val="0"/>
                <w:iCs w:val="0"/>
                <w:color w:val="000000"/>
                <w:sz w:val="18"/>
                <w:szCs w:val="18"/>
                <w:u w:val="none" w:color="auto"/>
              </w:rPr>
            </w:pPr>
          </w:p>
        </w:tc>
      </w:tr>
      <w:tr w14:paraId="474D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05BB3C53">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八、其他收入</w:t>
            </w:r>
          </w:p>
        </w:tc>
        <w:tc>
          <w:tcPr>
            <w:tcW w:w="674" w:type="dxa"/>
            <w:shd w:val="clear" w:color="auto" w:fill="auto"/>
            <w:noWrap/>
            <w:vAlign w:val="center"/>
          </w:tcPr>
          <w:p w14:paraId="25ABE1A1">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8</w:t>
            </w:r>
          </w:p>
        </w:tc>
        <w:tc>
          <w:tcPr>
            <w:tcW w:w="1276" w:type="dxa"/>
            <w:shd w:val="clear" w:color="auto" w:fill="auto"/>
            <w:noWrap/>
            <w:vAlign w:val="center"/>
          </w:tcPr>
          <w:p w14:paraId="68997149">
            <w:pPr>
              <w:keepNext w:val="0"/>
              <w:keepLines w:val="0"/>
              <w:widowControl/>
              <w:suppressLineNumbers w:val="0"/>
              <w:jc w:val="righ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71.98</w:t>
            </w:r>
          </w:p>
        </w:tc>
        <w:tc>
          <w:tcPr>
            <w:tcW w:w="3269" w:type="dxa"/>
            <w:shd w:val="clear" w:color="auto" w:fill="auto"/>
            <w:noWrap/>
            <w:vAlign w:val="center"/>
          </w:tcPr>
          <w:p w14:paraId="3D9386EA">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八、社会保障和就业支出</w:t>
            </w:r>
          </w:p>
        </w:tc>
        <w:tc>
          <w:tcPr>
            <w:tcW w:w="779" w:type="dxa"/>
            <w:shd w:val="clear" w:color="auto" w:fill="auto"/>
            <w:noWrap/>
            <w:vAlign w:val="center"/>
          </w:tcPr>
          <w:p w14:paraId="0A4EAA20">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38</w:t>
            </w:r>
          </w:p>
        </w:tc>
        <w:tc>
          <w:tcPr>
            <w:tcW w:w="1502" w:type="dxa"/>
            <w:shd w:val="clear" w:color="auto" w:fill="auto"/>
            <w:noWrap/>
            <w:vAlign w:val="center"/>
          </w:tcPr>
          <w:p w14:paraId="7B8117A1">
            <w:pPr>
              <w:keepNext w:val="0"/>
              <w:keepLines w:val="0"/>
              <w:widowControl/>
              <w:suppressLineNumbers w:val="0"/>
              <w:jc w:val="righ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192.43</w:t>
            </w:r>
          </w:p>
        </w:tc>
      </w:tr>
      <w:tr w14:paraId="5F4A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0E1F6AB2">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0B6FF07E">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9</w:t>
            </w:r>
          </w:p>
        </w:tc>
        <w:tc>
          <w:tcPr>
            <w:tcW w:w="1276" w:type="dxa"/>
            <w:shd w:val="clear" w:color="auto" w:fill="auto"/>
            <w:noWrap/>
            <w:vAlign w:val="center"/>
          </w:tcPr>
          <w:p w14:paraId="0829BDCD">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75C7701E">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九、卫生健康支出</w:t>
            </w:r>
          </w:p>
        </w:tc>
        <w:tc>
          <w:tcPr>
            <w:tcW w:w="779" w:type="dxa"/>
            <w:shd w:val="clear" w:color="auto" w:fill="auto"/>
            <w:noWrap/>
            <w:vAlign w:val="center"/>
          </w:tcPr>
          <w:p w14:paraId="3E41E162">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39</w:t>
            </w:r>
          </w:p>
        </w:tc>
        <w:tc>
          <w:tcPr>
            <w:tcW w:w="1502" w:type="dxa"/>
            <w:shd w:val="clear" w:color="auto" w:fill="auto"/>
            <w:noWrap/>
            <w:vAlign w:val="center"/>
          </w:tcPr>
          <w:p w14:paraId="20AE2B4E">
            <w:pPr>
              <w:jc w:val="right"/>
              <w:rPr>
                <w:rFonts w:hint="eastAsia" w:ascii="宋体" w:hAnsi="宋体" w:eastAsia="宋体" w:cs="宋体"/>
                <w:i w:val="0"/>
                <w:iCs w:val="0"/>
                <w:color w:val="000000"/>
                <w:sz w:val="18"/>
                <w:szCs w:val="18"/>
                <w:u w:val="none" w:color="auto"/>
              </w:rPr>
            </w:pPr>
          </w:p>
        </w:tc>
      </w:tr>
      <w:tr w14:paraId="20646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24BC218A">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73D8F553">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10</w:t>
            </w:r>
          </w:p>
        </w:tc>
        <w:tc>
          <w:tcPr>
            <w:tcW w:w="1276" w:type="dxa"/>
            <w:shd w:val="clear" w:color="auto" w:fill="auto"/>
            <w:noWrap/>
            <w:vAlign w:val="center"/>
          </w:tcPr>
          <w:p w14:paraId="077004EC">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6D918CC8">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十、节能环保支出</w:t>
            </w:r>
          </w:p>
        </w:tc>
        <w:tc>
          <w:tcPr>
            <w:tcW w:w="779" w:type="dxa"/>
            <w:shd w:val="clear" w:color="auto" w:fill="auto"/>
            <w:noWrap/>
            <w:vAlign w:val="center"/>
          </w:tcPr>
          <w:p w14:paraId="596B0497">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40</w:t>
            </w:r>
          </w:p>
        </w:tc>
        <w:tc>
          <w:tcPr>
            <w:tcW w:w="1502" w:type="dxa"/>
            <w:shd w:val="clear" w:color="auto" w:fill="auto"/>
            <w:noWrap/>
            <w:vAlign w:val="center"/>
          </w:tcPr>
          <w:p w14:paraId="3B1E6E44">
            <w:pPr>
              <w:jc w:val="right"/>
              <w:rPr>
                <w:rFonts w:hint="eastAsia" w:ascii="宋体" w:hAnsi="宋体" w:eastAsia="宋体" w:cs="宋体"/>
                <w:i w:val="0"/>
                <w:iCs w:val="0"/>
                <w:color w:val="000000"/>
                <w:sz w:val="18"/>
                <w:szCs w:val="18"/>
                <w:u w:val="none" w:color="auto"/>
              </w:rPr>
            </w:pPr>
          </w:p>
        </w:tc>
      </w:tr>
      <w:tr w14:paraId="6B9AF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3B6D6EE1">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278961BE">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11</w:t>
            </w:r>
          </w:p>
        </w:tc>
        <w:tc>
          <w:tcPr>
            <w:tcW w:w="1276" w:type="dxa"/>
            <w:shd w:val="clear" w:color="auto" w:fill="auto"/>
            <w:noWrap/>
            <w:vAlign w:val="center"/>
          </w:tcPr>
          <w:p w14:paraId="325A2787">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470D8FCA">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十一、城乡社区支出</w:t>
            </w:r>
          </w:p>
        </w:tc>
        <w:tc>
          <w:tcPr>
            <w:tcW w:w="779" w:type="dxa"/>
            <w:shd w:val="clear" w:color="auto" w:fill="auto"/>
            <w:noWrap/>
            <w:vAlign w:val="center"/>
          </w:tcPr>
          <w:p w14:paraId="2FA7FB93">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41</w:t>
            </w:r>
          </w:p>
        </w:tc>
        <w:tc>
          <w:tcPr>
            <w:tcW w:w="1502" w:type="dxa"/>
            <w:shd w:val="clear" w:color="auto" w:fill="auto"/>
            <w:noWrap/>
            <w:vAlign w:val="center"/>
          </w:tcPr>
          <w:p w14:paraId="7F706E5A">
            <w:pPr>
              <w:jc w:val="right"/>
              <w:rPr>
                <w:rFonts w:hint="eastAsia" w:ascii="宋体" w:hAnsi="宋体" w:eastAsia="宋体" w:cs="宋体"/>
                <w:i w:val="0"/>
                <w:iCs w:val="0"/>
                <w:color w:val="000000"/>
                <w:sz w:val="18"/>
                <w:szCs w:val="18"/>
                <w:u w:val="none" w:color="auto"/>
              </w:rPr>
            </w:pPr>
          </w:p>
        </w:tc>
      </w:tr>
      <w:tr w14:paraId="46759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64A082BA">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1BAFBC65">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12</w:t>
            </w:r>
          </w:p>
        </w:tc>
        <w:tc>
          <w:tcPr>
            <w:tcW w:w="1276" w:type="dxa"/>
            <w:shd w:val="clear" w:color="auto" w:fill="auto"/>
            <w:noWrap/>
            <w:vAlign w:val="center"/>
          </w:tcPr>
          <w:p w14:paraId="64C0F91B">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43525F63">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十二、农林水支出</w:t>
            </w:r>
          </w:p>
        </w:tc>
        <w:tc>
          <w:tcPr>
            <w:tcW w:w="779" w:type="dxa"/>
            <w:shd w:val="clear" w:color="auto" w:fill="auto"/>
            <w:noWrap/>
            <w:vAlign w:val="center"/>
          </w:tcPr>
          <w:p w14:paraId="4F5D71C2">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42</w:t>
            </w:r>
          </w:p>
        </w:tc>
        <w:tc>
          <w:tcPr>
            <w:tcW w:w="1502" w:type="dxa"/>
            <w:shd w:val="clear" w:color="auto" w:fill="auto"/>
            <w:noWrap/>
            <w:vAlign w:val="center"/>
          </w:tcPr>
          <w:p w14:paraId="7B920830">
            <w:pPr>
              <w:jc w:val="right"/>
              <w:rPr>
                <w:rFonts w:hint="eastAsia" w:ascii="宋体" w:hAnsi="宋体" w:eastAsia="宋体" w:cs="宋体"/>
                <w:i w:val="0"/>
                <w:iCs w:val="0"/>
                <w:color w:val="000000"/>
                <w:sz w:val="18"/>
                <w:szCs w:val="18"/>
                <w:u w:val="none" w:color="auto"/>
              </w:rPr>
            </w:pPr>
          </w:p>
        </w:tc>
      </w:tr>
      <w:tr w14:paraId="0F72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57658C58">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02051C04">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13</w:t>
            </w:r>
          </w:p>
        </w:tc>
        <w:tc>
          <w:tcPr>
            <w:tcW w:w="1276" w:type="dxa"/>
            <w:shd w:val="clear" w:color="auto" w:fill="auto"/>
            <w:noWrap/>
            <w:vAlign w:val="center"/>
          </w:tcPr>
          <w:p w14:paraId="38C05775">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75A7B258">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十三、交通运输支出</w:t>
            </w:r>
          </w:p>
        </w:tc>
        <w:tc>
          <w:tcPr>
            <w:tcW w:w="779" w:type="dxa"/>
            <w:shd w:val="clear" w:color="auto" w:fill="auto"/>
            <w:noWrap/>
            <w:vAlign w:val="center"/>
          </w:tcPr>
          <w:p w14:paraId="724F6B49">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43</w:t>
            </w:r>
          </w:p>
        </w:tc>
        <w:tc>
          <w:tcPr>
            <w:tcW w:w="1502" w:type="dxa"/>
            <w:shd w:val="clear" w:color="auto" w:fill="auto"/>
            <w:noWrap/>
            <w:vAlign w:val="center"/>
          </w:tcPr>
          <w:p w14:paraId="08B26CC1">
            <w:pPr>
              <w:jc w:val="right"/>
              <w:rPr>
                <w:rFonts w:hint="eastAsia" w:ascii="宋体" w:hAnsi="宋体" w:eastAsia="宋体" w:cs="宋体"/>
                <w:i w:val="0"/>
                <w:iCs w:val="0"/>
                <w:color w:val="000000"/>
                <w:sz w:val="18"/>
                <w:szCs w:val="18"/>
                <w:u w:val="none" w:color="auto"/>
              </w:rPr>
            </w:pPr>
          </w:p>
        </w:tc>
      </w:tr>
      <w:tr w14:paraId="5542B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59402D80">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3C61FD53">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14</w:t>
            </w:r>
          </w:p>
        </w:tc>
        <w:tc>
          <w:tcPr>
            <w:tcW w:w="1276" w:type="dxa"/>
            <w:shd w:val="clear" w:color="auto" w:fill="auto"/>
            <w:noWrap/>
            <w:vAlign w:val="center"/>
          </w:tcPr>
          <w:p w14:paraId="0073905E">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714245A8">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十四、资源勘探工业信息等支出</w:t>
            </w:r>
          </w:p>
        </w:tc>
        <w:tc>
          <w:tcPr>
            <w:tcW w:w="779" w:type="dxa"/>
            <w:shd w:val="clear" w:color="auto" w:fill="auto"/>
            <w:noWrap/>
            <w:vAlign w:val="center"/>
          </w:tcPr>
          <w:p w14:paraId="09CB86B4">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44</w:t>
            </w:r>
          </w:p>
        </w:tc>
        <w:tc>
          <w:tcPr>
            <w:tcW w:w="1502" w:type="dxa"/>
            <w:shd w:val="clear" w:color="auto" w:fill="auto"/>
            <w:noWrap/>
            <w:vAlign w:val="center"/>
          </w:tcPr>
          <w:p w14:paraId="4528C58A">
            <w:pPr>
              <w:jc w:val="right"/>
              <w:rPr>
                <w:rFonts w:hint="eastAsia" w:ascii="宋体" w:hAnsi="宋体" w:eastAsia="宋体" w:cs="宋体"/>
                <w:i w:val="0"/>
                <w:iCs w:val="0"/>
                <w:color w:val="000000"/>
                <w:sz w:val="18"/>
                <w:szCs w:val="18"/>
                <w:u w:val="none" w:color="auto"/>
              </w:rPr>
            </w:pPr>
          </w:p>
        </w:tc>
      </w:tr>
      <w:tr w14:paraId="52E9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623DF140">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18FE239B">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15</w:t>
            </w:r>
          </w:p>
        </w:tc>
        <w:tc>
          <w:tcPr>
            <w:tcW w:w="1276" w:type="dxa"/>
            <w:shd w:val="clear" w:color="auto" w:fill="auto"/>
            <w:noWrap/>
            <w:vAlign w:val="center"/>
          </w:tcPr>
          <w:p w14:paraId="6D0414D7">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01D4C51A">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十五、商业服务业等支出</w:t>
            </w:r>
          </w:p>
        </w:tc>
        <w:tc>
          <w:tcPr>
            <w:tcW w:w="779" w:type="dxa"/>
            <w:shd w:val="clear" w:color="auto" w:fill="auto"/>
            <w:noWrap/>
            <w:vAlign w:val="center"/>
          </w:tcPr>
          <w:p w14:paraId="28467D19">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45</w:t>
            </w:r>
          </w:p>
        </w:tc>
        <w:tc>
          <w:tcPr>
            <w:tcW w:w="1502" w:type="dxa"/>
            <w:shd w:val="clear" w:color="auto" w:fill="auto"/>
            <w:noWrap/>
            <w:vAlign w:val="center"/>
          </w:tcPr>
          <w:p w14:paraId="3785BEBF">
            <w:pPr>
              <w:jc w:val="right"/>
              <w:rPr>
                <w:rFonts w:hint="eastAsia" w:ascii="宋体" w:hAnsi="宋体" w:eastAsia="宋体" w:cs="宋体"/>
                <w:i w:val="0"/>
                <w:iCs w:val="0"/>
                <w:color w:val="000000"/>
                <w:sz w:val="18"/>
                <w:szCs w:val="18"/>
                <w:u w:val="none" w:color="auto"/>
              </w:rPr>
            </w:pPr>
          </w:p>
        </w:tc>
      </w:tr>
      <w:tr w14:paraId="3141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7B895C52">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353BFE49">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16</w:t>
            </w:r>
          </w:p>
        </w:tc>
        <w:tc>
          <w:tcPr>
            <w:tcW w:w="1276" w:type="dxa"/>
            <w:shd w:val="clear" w:color="auto" w:fill="auto"/>
            <w:noWrap/>
            <w:vAlign w:val="center"/>
          </w:tcPr>
          <w:p w14:paraId="263D7A62">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7FF5DB13">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十六、金融支出</w:t>
            </w:r>
          </w:p>
        </w:tc>
        <w:tc>
          <w:tcPr>
            <w:tcW w:w="779" w:type="dxa"/>
            <w:shd w:val="clear" w:color="auto" w:fill="auto"/>
            <w:noWrap/>
            <w:vAlign w:val="center"/>
          </w:tcPr>
          <w:p w14:paraId="64A3C715">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46</w:t>
            </w:r>
          </w:p>
        </w:tc>
        <w:tc>
          <w:tcPr>
            <w:tcW w:w="1502" w:type="dxa"/>
            <w:shd w:val="clear" w:color="auto" w:fill="auto"/>
            <w:noWrap/>
            <w:vAlign w:val="center"/>
          </w:tcPr>
          <w:p w14:paraId="56E5796C">
            <w:pPr>
              <w:jc w:val="right"/>
              <w:rPr>
                <w:rFonts w:hint="eastAsia" w:ascii="宋体" w:hAnsi="宋体" w:eastAsia="宋体" w:cs="宋体"/>
                <w:i w:val="0"/>
                <w:iCs w:val="0"/>
                <w:color w:val="000000"/>
                <w:sz w:val="18"/>
                <w:szCs w:val="18"/>
                <w:u w:val="none" w:color="auto"/>
              </w:rPr>
            </w:pPr>
          </w:p>
        </w:tc>
      </w:tr>
      <w:tr w14:paraId="1F6D8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0B1C9E56">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6DF0E474">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17</w:t>
            </w:r>
          </w:p>
        </w:tc>
        <w:tc>
          <w:tcPr>
            <w:tcW w:w="1276" w:type="dxa"/>
            <w:shd w:val="clear" w:color="auto" w:fill="auto"/>
            <w:noWrap/>
            <w:vAlign w:val="center"/>
          </w:tcPr>
          <w:p w14:paraId="5BBAD13D">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543E1417">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十七、援助其他地区支出</w:t>
            </w:r>
          </w:p>
        </w:tc>
        <w:tc>
          <w:tcPr>
            <w:tcW w:w="779" w:type="dxa"/>
            <w:shd w:val="clear" w:color="auto" w:fill="auto"/>
            <w:noWrap/>
            <w:vAlign w:val="center"/>
          </w:tcPr>
          <w:p w14:paraId="2AFA69A7">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47</w:t>
            </w:r>
          </w:p>
        </w:tc>
        <w:tc>
          <w:tcPr>
            <w:tcW w:w="1502" w:type="dxa"/>
            <w:shd w:val="clear" w:color="auto" w:fill="auto"/>
            <w:noWrap/>
            <w:vAlign w:val="center"/>
          </w:tcPr>
          <w:p w14:paraId="4F13A342">
            <w:pPr>
              <w:jc w:val="right"/>
              <w:rPr>
                <w:rFonts w:hint="eastAsia" w:ascii="宋体" w:hAnsi="宋体" w:eastAsia="宋体" w:cs="宋体"/>
                <w:i w:val="0"/>
                <w:iCs w:val="0"/>
                <w:color w:val="000000"/>
                <w:sz w:val="18"/>
                <w:szCs w:val="18"/>
                <w:u w:val="none" w:color="auto"/>
              </w:rPr>
            </w:pPr>
          </w:p>
        </w:tc>
      </w:tr>
      <w:tr w14:paraId="2BC06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7FA67523">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0904FB7D">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18</w:t>
            </w:r>
          </w:p>
        </w:tc>
        <w:tc>
          <w:tcPr>
            <w:tcW w:w="1276" w:type="dxa"/>
            <w:shd w:val="clear" w:color="auto" w:fill="auto"/>
            <w:noWrap/>
            <w:vAlign w:val="center"/>
          </w:tcPr>
          <w:p w14:paraId="04197E1B">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2A8BBE84">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十八、自然资源海洋气象等支出</w:t>
            </w:r>
          </w:p>
        </w:tc>
        <w:tc>
          <w:tcPr>
            <w:tcW w:w="779" w:type="dxa"/>
            <w:shd w:val="clear" w:color="auto" w:fill="auto"/>
            <w:noWrap/>
            <w:vAlign w:val="center"/>
          </w:tcPr>
          <w:p w14:paraId="74D8E6BB">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48</w:t>
            </w:r>
          </w:p>
        </w:tc>
        <w:tc>
          <w:tcPr>
            <w:tcW w:w="1502" w:type="dxa"/>
            <w:shd w:val="clear" w:color="auto" w:fill="auto"/>
            <w:noWrap/>
            <w:vAlign w:val="center"/>
          </w:tcPr>
          <w:p w14:paraId="4B7F3377">
            <w:pPr>
              <w:jc w:val="right"/>
              <w:rPr>
                <w:rFonts w:hint="eastAsia" w:ascii="宋体" w:hAnsi="宋体" w:eastAsia="宋体" w:cs="宋体"/>
                <w:i w:val="0"/>
                <w:iCs w:val="0"/>
                <w:color w:val="000000"/>
                <w:sz w:val="18"/>
                <w:szCs w:val="18"/>
                <w:u w:val="none" w:color="auto"/>
              </w:rPr>
            </w:pPr>
          </w:p>
        </w:tc>
      </w:tr>
      <w:tr w14:paraId="363BE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24AE7EF6">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2AD4802C">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19</w:t>
            </w:r>
          </w:p>
        </w:tc>
        <w:tc>
          <w:tcPr>
            <w:tcW w:w="1276" w:type="dxa"/>
            <w:shd w:val="clear" w:color="auto" w:fill="auto"/>
            <w:noWrap/>
            <w:vAlign w:val="center"/>
          </w:tcPr>
          <w:p w14:paraId="6BBACB68">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3B8FD58A">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十九、住房保障支出</w:t>
            </w:r>
          </w:p>
        </w:tc>
        <w:tc>
          <w:tcPr>
            <w:tcW w:w="779" w:type="dxa"/>
            <w:shd w:val="clear" w:color="auto" w:fill="auto"/>
            <w:noWrap/>
            <w:vAlign w:val="center"/>
          </w:tcPr>
          <w:p w14:paraId="4006C0F4">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49</w:t>
            </w:r>
          </w:p>
        </w:tc>
        <w:tc>
          <w:tcPr>
            <w:tcW w:w="1502" w:type="dxa"/>
            <w:shd w:val="clear" w:color="auto" w:fill="auto"/>
            <w:noWrap/>
            <w:vAlign w:val="center"/>
          </w:tcPr>
          <w:p w14:paraId="7D5FCF93">
            <w:pPr>
              <w:jc w:val="right"/>
              <w:rPr>
                <w:rFonts w:hint="eastAsia" w:ascii="宋体" w:hAnsi="宋体" w:eastAsia="宋体" w:cs="宋体"/>
                <w:i w:val="0"/>
                <w:iCs w:val="0"/>
                <w:color w:val="000000"/>
                <w:sz w:val="18"/>
                <w:szCs w:val="18"/>
                <w:u w:val="none" w:color="auto"/>
              </w:rPr>
            </w:pPr>
          </w:p>
        </w:tc>
      </w:tr>
      <w:tr w14:paraId="6023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2DC7787B">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6E53401C">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20</w:t>
            </w:r>
          </w:p>
        </w:tc>
        <w:tc>
          <w:tcPr>
            <w:tcW w:w="1276" w:type="dxa"/>
            <w:shd w:val="clear" w:color="auto" w:fill="auto"/>
            <w:noWrap/>
            <w:vAlign w:val="center"/>
          </w:tcPr>
          <w:p w14:paraId="469E82FD">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3C5DB501">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二十、粮油物资储备支出</w:t>
            </w:r>
          </w:p>
        </w:tc>
        <w:tc>
          <w:tcPr>
            <w:tcW w:w="779" w:type="dxa"/>
            <w:shd w:val="clear" w:color="auto" w:fill="auto"/>
            <w:noWrap/>
            <w:vAlign w:val="center"/>
          </w:tcPr>
          <w:p w14:paraId="0BD79E82">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50</w:t>
            </w:r>
          </w:p>
        </w:tc>
        <w:tc>
          <w:tcPr>
            <w:tcW w:w="1502" w:type="dxa"/>
            <w:shd w:val="clear" w:color="auto" w:fill="auto"/>
            <w:noWrap/>
            <w:vAlign w:val="center"/>
          </w:tcPr>
          <w:p w14:paraId="24B82801">
            <w:pPr>
              <w:jc w:val="right"/>
              <w:rPr>
                <w:rFonts w:hint="eastAsia" w:ascii="宋体" w:hAnsi="宋体" w:eastAsia="宋体" w:cs="宋体"/>
                <w:i w:val="0"/>
                <w:iCs w:val="0"/>
                <w:color w:val="000000"/>
                <w:sz w:val="18"/>
                <w:szCs w:val="18"/>
                <w:u w:val="none" w:color="auto"/>
              </w:rPr>
            </w:pPr>
          </w:p>
        </w:tc>
      </w:tr>
      <w:tr w14:paraId="272D9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2063C4D3">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18D2A58F">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21</w:t>
            </w:r>
          </w:p>
        </w:tc>
        <w:tc>
          <w:tcPr>
            <w:tcW w:w="1276" w:type="dxa"/>
            <w:shd w:val="clear" w:color="auto" w:fill="auto"/>
            <w:noWrap/>
            <w:vAlign w:val="center"/>
          </w:tcPr>
          <w:p w14:paraId="35B1C343">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3CFFE242">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二十一、国有资本经营预算支出</w:t>
            </w:r>
          </w:p>
        </w:tc>
        <w:tc>
          <w:tcPr>
            <w:tcW w:w="779" w:type="dxa"/>
            <w:shd w:val="clear" w:color="auto" w:fill="auto"/>
            <w:noWrap/>
            <w:vAlign w:val="center"/>
          </w:tcPr>
          <w:p w14:paraId="6C4563CB">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51</w:t>
            </w:r>
          </w:p>
        </w:tc>
        <w:tc>
          <w:tcPr>
            <w:tcW w:w="1502" w:type="dxa"/>
            <w:shd w:val="clear" w:color="auto" w:fill="auto"/>
            <w:noWrap/>
            <w:vAlign w:val="center"/>
          </w:tcPr>
          <w:p w14:paraId="2A437309">
            <w:pPr>
              <w:jc w:val="right"/>
              <w:rPr>
                <w:rFonts w:hint="eastAsia" w:ascii="宋体" w:hAnsi="宋体" w:eastAsia="宋体" w:cs="宋体"/>
                <w:i w:val="0"/>
                <w:iCs w:val="0"/>
                <w:color w:val="000000"/>
                <w:sz w:val="18"/>
                <w:szCs w:val="18"/>
                <w:u w:val="none" w:color="auto"/>
              </w:rPr>
            </w:pPr>
          </w:p>
        </w:tc>
      </w:tr>
      <w:tr w14:paraId="770EB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43E5C2E2">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1D9347D8">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22</w:t>
            </w:r>
          </w:p>
        </w:tc>
        <w:tc>
          <w:tcPr>
            <w:tcW w:w="1276" w:type="dxa"/>
            <w:shd w:val="clear" w:color="auto" w:fill="auto"/>
            <w:noWrap/>
            <w:vAlign w:val="center"/>
          </w:tcPr>
          <w:p w14:paraId="71E0B02D">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2E891B30">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二十二、灾害防治及应急管理支出</w:t>
            </w:r>
          </w:p>
        </w:tc>
        <w:tc>
          <w:tcPr>
            <w:tcW w:w="779" w:type="dxa"/>
            <w:shd w:val="clear" w:color="auto" w:fill="auto"/>
            <w:noWrap/>
            <w:vAlign w:val="center"/>
          </w:tcPr>
          <w:p w14:paraId="46B9F8A5">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52</w:t>
            </w:r>
          </w:p>
        </w:tc>
        <w:tc>
          <w:tcPr>
            <w:tcW w:w="1502" w:type="dxa"/>
            <w:shd w:val="clear" w:color="auto" w:fill="auto"/>
            <w:noWrap/>
            <w:vAlign w:val="center"/>
          </w:tcPr>
          <w:p w14:paraId="747E7B2B">
            <w:pPr>
              <w:jc w:val="right"/>
              <w:rPr>
                <w:rFonts w:hint="eastAsia" w:ascii="宋体" w:hAnsi="宋体" w:eastAsia="宋体" w:cs="宋体"/>
                <w:i w:val="0"/>
                <w:iCs w:val="0"/>
                <w:color w:val="000000"/>
                <w:sz w:val="18"/>
                <w:szCs w:val="18"/>
                <w:u w:val="none" w:color="auto"/>
              </w:rPr>
            </w:pPr>
          </w:p>
        </w:tc>
      </w:tr>
      <w:tr w14:paraId="53C10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6AC0A534">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76231F51">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23</w:t>
            </w:r>
          </w:p>
        </w:tc>
        <w:tc>
          <w:tcPr>
            <w:tcW w:w="1276" w:type="dxa"/>
            <w:shd w:val="clear" w:color="auto" w:fill="auto"/>
            <w:noWrap/>
            <w:vAlign w:val="center"/>
          </w:tcPr>
          <w:p w14:paraId="43E04E42">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1ADD86FB">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二十三、其他支出</w:t>
            </w:r>
          </w:p>
        </w:tc>
        <w:tc>
          <w:tcPr>
            <w:tcW w:w="779" w:type="dxa"/>
            <w:shd w:val="clear" w:color="auto" w:fill="auto"/>
            <w:noWrap/>
            <w:vAlign w:val="center"/>
          </w:tcPr>
          <w:p w14:paraId="3D3D0001">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53</w:t>
            </w:r>
          </w:p>
        </w:tc>
        <w:tc>
          <w:tcPr>
            <w:tcW w:w="1502" w:type="dxa"/>
            <w:shd w:val="clear" w:color="auto" w:fill="auto"/>
            <w:noWrap/>
            <w:vAlign w:val="center"/>
          </w:tcPr>
          <w:p w14:paraId="137A86E7">
            <w:pPr>
              <w:jc w:val="right"/>
              <w:rPr>
                <w:rFonts w:hint="eastAsia" w:ascii="宋体" w:hAnsi="宋体" w:eastAsia="宋体" w:cs="宋体"/>
                <w:i w:val="0"/>
                <w:iCs w:val="0"/>
                <w:color w:val="000000"/>
                <w:sz w:val="18"/>
                <w:szCs w:val="18"/>
                <w:u w:val="none" w:color="auto"/>
              </w:rPr>
            </w:pPr>
          </w:p>
        </w:tc>
      </w:tr>
      <w:tr w14:paraId="39B84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2FF675F2">
            <w:pPr>
              <w:jc w:val="center"/>
              <w:rPr>
                <w:rFonts w:hint="eastAsia" w:ascii="宋体" w:hAnsi="宋体" w:eastAsia="宋体" w:cs="宋体"/>
                <w:b/>
                <w:bCs/>
                <w:i w:val="0"/>
                <w:iCs w:val="0"/>
                <w:color w:val="000000"/>
                <w:sz w:val="18"/>
                <w:szCs w:val="18"/>
                <w:u w:val="none" w:color="auto"/>
              </w:rPr>
            </w:pPr>
          </w:p>
        </w:tc>
        <w:tc>
          <w:tcPr>
            <w:tcW w:w="674" w:type="dxa"/>
            <w:shd w:val="clear" w:color="auto" w:fill="auto"/>
            <w:noWrap/>
            <w:vAlign w:val="center"/>
          </w:tcPr>
          <w:p w14:paraId="218C74DF">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24</w:t>
            </w:r>
          </w:p>
        </w:tc>
        <w:tc>
          <w:tcPr>
            <w:tcW w:w="1276" w:type="dxa"/>
            <w:shd w:val="clear" w:color="auto" w:fill="auto"/>
            <w:noWrap/>
            <w:vAlign w:val="center"/>
          </w:tcPr>
          <w:p w14:paraId="7A3E7CCC">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4D013257">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二十四、债务还本支出</w:t>
            </w:r>
          </w:p>
        </w:tc>
        <w:tc>
          <w:tcPr>
            <w:tcW w:w="779" w:type="dxa"/>
            <w:shd w:val="clear" w:color="auto" w:fill="auto"/>
            <w:noWrap/>
            <w:vAlign w:val="center"/>
          </w:tcPr>
          <w:p w14:paraId="3B1318C7">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54</w:t>
            </w:r>
          </w:p>
        </w:tc>
        <w:tc>
          <w:tcPr>
            <w:tcW w:w="1502" w:type="dxa"/>
            <w:shd w:val="clear" w:color="auto" w:fill="auto"/>
            <w:noWrap/>
            <w:vAlign w:val="center"/>
          </w:tcPr>
          <w:p w14:paraId="1D2C9836">
            <w:pPr>
              <w:jc w:val="right"/>
              <w:rPr>
                <w:rFonts w:hint="eastAsia" w:ascii="宋体" w:hAnsi="宋体" w:eastAsia="宋体" w:cs="宋体"/>
                <w:i w:val="0"/>
                <w:iCs w:val="0"/>
                <w:color w:val="000000"/>
                <w:sz w:val="18"/>
                <w:szCs w:val="18"/>
                <w:u w:val="none" w:color="auto"/>
              </w:rPr>
            </w:pPr>
          </w:p>
        </w:tc>
      </w:tr>
      <w:tr w14:paraId="1CA99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22B42AA0">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2666A93A">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25</w:t>
            </w:r>
          </w:p>
        </w:tc>
        <w:tc>
          <w:tcPr>
            <w:tcW w:w="1276" w:type="dxa"/>
            <w:shd w:val="clear" w:color="auto" w:fill="auto"/>
            <w:noWrap/>
            <w:vAlign w:val="center"/>
          </w:tcPr>
          <w:p w14:paraId="02BD2BA1">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3F1FC54F">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二十五、债务付息支出</w:t>
            </w:r>
          </w:p>
        </w:tc>
        <w:tc>
          <w:tcPr>
            <w:tcW w:w="779" w:type="dxa"/>
            <w:shd w:val="clear" w:color="auto" w:fill="auto"/>
            <w:noWrap/>
            <w:vAlign w:val="center"/>
          </w:tcPr>
          <w:p w14:paraId="5F613CFB">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55</w:t>
            </w:r>
          </w:p>
        </w:tc>
        <w:tc>
          <w:tcPr>
            <w:tcW w:w="1502" w:type="dxa"/>
            <w:shd w:val="clear" w:color="auto" w:fill="auto"/>
            <w:noWrap/>
            <w:vAlign w:val="center"/>
          </w:tcPr>
          <w:p w14:paraId="418461E4">
            <w:pPr>
              <w:jc w:val="right"/>
              <w:rPr>
                <w:rFonts w:hint="eastAsia" w:ascii="宋体" w:hAnsi="宋体" w:eastAsia="宋体" w:cs="宋体"/>
                <w:i w:val="0"/>
                <w:iCs w:val="0"/>
                <w:color w:val="000000"/>
                <w:sz w:val="18"/>
                <w:szCs w:val="18"/>
                <w:u w:val="none" w:color="auto"/>
              </w:rPr>
            </w:pPr>
          </w:p>
        </w:tc>
      </w:tr>
      <w:tr w14:paraId="4202E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60186C41">
            <w:pPr>
              <w:jc w:val="left"/>
              <w:rPr>
                <w:rFonts w:hint="eastAsia" w:ascii="宋体" w:hAnsi="宋体" w:eastAsia="宋体" w:cs="宋体"/>
                <w:i w:val="0"/>
                <w:iCs w:val="0"/>
                <w:color w:val="000000"/>
                <w:sz w:val="18"/>
                <w:szCs w:val="18"/>
                <w:u w:val="none" w:color="auto"/>
              </w:rPr>
            </w:pPr>
          </w:p>
        </w:tc>
        <w:tc>
          <w:tcPr>
            <w:tcW w:w="674" w:type="dxa"/>
            <w:shd w:val="clear" w:color="auto" w:fill="auto"/>
            <w:noWrap/>
            <w:vAlign w:val="center"/>
          </w:tcPr>
          <w:p w14:paraId="35F1C722">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w:t>
            </w:r>
          </w:p>
        </w:tc>
        <w:tc>
          <w:tcPr>
            <w:tcW w:w="1276" w:type="dxa"/>
            <w:shd w:val="clear" w:color="auto" w:fill="auto"/>
            <w:noWrap/>
            <w:vAlign w:val="center"/>
          </w:tcPr>
          <w:p w14:paraId="0F68F1BE">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1BD86E7E">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二十六、抗疫特别国债安排的支出</w:t>
            </w:r>
          </w:p>
        </w:tc>
        <w:tc>
          <w:tcPr>
            <w:tcW w:w="779" w:type="dxa"/>
            <w:shd w:val="clear" w:color="auto" w:fill="auto"/>
            <w:noWrap/>
            <w:vAlign w:val="center"/>
          </w:tcPr>
          <w:p w14:paraId="18379BC5">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56</w:t>
            </w:r>
          </w:p>
        </w:tc>
        <w:tc>
          <w:tcPr>
            <w:tcW w:w="1502" w:type="dxa"/>
            <w:shd w:val="clear" w:color="auto" w:fill="auto"/>
            <w:noWrap/>
            <w:vAlign w:val="center"/>
          </w:tcPr>
          <w:p w14:paraId="4284662A">
            <w:pPr>
              <w:jc w:val="right"/>
              <w:rPr>
                <w:rFonts w:hint="eastAsia" w:ascii="宋体" w:hAnsi="宋体" w:eastAsia="宋体" w:cs="宋体"/>
                <w:i w:val="0"/>
                <w:iCs w:val="0"/>
                <w:color w:val="000000"/>
                <w:sz w:val="18"/>
                <w:szCs w:val="18"/>
                <w:u w:val="none" w:color="auto"/>
              </w:rPr>
            </w:pPr>
          </w:p>
        </w:tc>
      </w:tr>
      <w:tr w14:paraId="6169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39B8A4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color="auto"/>
              </w:rPr>
            </w:pPr>
            <w:r>
              <w:rPr>
                <w:rFonts w:hint="eastAsia" w:ascii="宋体" w:hAnsi="宋体" w:eastAsia="宋体" w:cs="宋体"/>
                <w:b/>
                <w:bCs/>
                <w:i w:val="0"/>
                <w:iCs w:val="0"/>
                <w:snapToGrid w:val="0"/>
                <w:color w:val="000000"/>
                <w:kern w:val="0"/>
                <w:sz w:val="18"/>
                <w:szCs w:val="18"/>
                <w:u w:val="none" w:color="auto"/>
                <w:lang w:val="en-US" w:eastAsia="zh-CN" w:bidi="ar"/>
              </w:rPr>
              <w:t>本年收入合计</w:t>
            </w:r>
          </w:p>
        </w:tc>
        <w:tc>
          <w:tcPr>
            <w:tcW w:w="674" w:type="dxa"/>
            <w:shd w:val="clear" w:color="auto" w:fill="auto"/>
            <w:noWrap/>
            <w:vAlign w:val="center"/>
          </w:tcPr>
          <w:p w14:paraId="04F400F6">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27</w:t>
            </w:r>
          </w:p>
        </w:tc>
        <w:tc>
          <w:tcPr>
            <w:tcW w:w="1276" w:type="dxa"/>
            <w:shd w:val="clear" w:color="auto" w:fill="auto"/>
            <w:noWrap/>
            <w:vAlign w:val="center"/>
          </w:tcPr>
          <w:p w14:paraId="141D726F">
            <w:pPr>
              <w:keepNext w:val="0"/>
              <w:keepLines w:val="0"/>
              <w:widowControl/>
              <w:suppressLineNumbers w:val="0"/>
              <w:jc w:val="righ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2,719.58</w:t>
            </w:r>
          </w:p>
        </w:tc>
        <w:tc>
          <w:tcPr>
            <w:tcW w:w="3269" w:type="dxa"/>
            <w:shd w:val="clear" w:color="auto" w:fill="auto"/>
            <w:noWrap/>
            <w:vAlign w:val="center"/>
          </w:tcPr>
          <w:p w14:paraId="7C57B24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color="auto"/>
              </w:rPr>
            </w:pPr>
            <w:r>
              <w:rPr>
                <w:rFonts w:hint="eastAsia" w:ascii="宋体" w:hAnsi="宋体" w:eastAsia="宋体" w:cs="宋体"/>
                <w:b/>
                <w:bCs/>
                <w:i w:val="0"/>
                <w:iCs w:val="0"/>
                <w:snapToGrid w:val="0"/>
                <w:color w:val="000000"/>
                <w:kern w:val="0"/>
                <w:sz w:val="18"/>
                <w:szCs w:val="18"/>
                <w:u w:val="none" w:color="auto"/>
                <w:lang w:val="en-US" w:eastAsia="zh-CN" w:bidi="ar"/>
              </w:rPr>
              <w:t>本年支出合计</w:t>
            </w:r>
          </w:p>
        </w:tc>
        <w:tc>
          <w:tcPr>
            <w:tcW w:w="779" w:type="dxa"/>
            <w:shd w:val="clear" w:color="auto" w:fill="auto"/>
            <w:noWrap/>
            <w:vAlign w:val="center"/>
          </w:tcPr>
          <w:p w14:paraId="1547B258">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57</w:t>
            </w:r>
          </w:p>
        </w:tc>
        <w:tc>
          <w:tcPr>
            <w:tcW w:w="1502" w:type="dxa"/>
            <w:shd w:val="clear" w:color="auto" w:fill="auto"/>
            <w:noWrap/>
            <w:vAlign w:val="center"/>
          </w:tcPr>
          <w:p w14:paraId="0A6694D2">
            <w:pPr>
              <w:keepNext w:val="0"/>
              <w:keepLines w:val="0"/>
              <w:widowControl/>
              <w:suppressLineNumbers w:val="0"/>
              <w:jc w:val="righ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2,742.94</w:t>
            </w:r>
          </w:p>
        </w:tc>
      </w:tr>
      <w:tr w14:paraId="3C02C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3AA8CC74">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使用非财政拨款结余（含专用结余）</w:t>
            </w:r>
          </w:p>
        </w:tc>
        <w:tc>
          <w:tcPr>
            <w:tcW w:w="674" w:type="dxa"/>
            <w:shd w:val="clear" w:color="auto" w:fill="auto"/>
            <w:noWrap/>
            <w:vAlign w:val="center"/>
          </w:tcPr>
          <w:p w14:paraId="31E4D4B0">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28</w:t>
            </w:r>
          </w:p>
        </w:tc>
        <w:tc>
          <w:tcPr>
            <w:tcW w:w="1276" w:type="dxa"/>
            <w:shd w:val="clear" w:color="auto" w:fill="auto"/>
            <w:noWrap/>
            <w:vAlign w:val="center"/>
          </w:tcPr>
          <w:p w14:paraId="28324280">
            <w:pPr>
              <w:jc w:val="right"/>
              <w:rPr>
                <w:rFonts w:hint="eastAsia" w:ascii="宋体" w:hAnsi="宋体" w:eastAsia="宋体" w:cs="宋体"/>
                <w:i w:val="0"/>
                <w:iCs w:val="0"/>
                <w:color w:val="000000"/>
                <w:sz w:val="18"/>
                <w:szCs w:val="18"/>
                <w:u w:val="none" w:color="auto"/>
              </w:rPr>
            </w:pPr>
          </w:p>
        </w:tc>
        <w:tc>
          <w:tcPr>
            <w:tcW w:w="3269" w:type="dxa"/>
            <w:shd w:val="clear" w:color="auto" w:fill="auto"/>
            <w:noWrap/>
            <w:vAlign w:val="center"/>
          </w:tcPr>
          <w:p w14:paraId="4D7EA2CD">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结余分配</w:t>
            </w:r>
          </w:p>
        </w:tc>
        <w:tc>
          <w:tcPr>
            <w:tcW w:w="779" w:type="dxa"/>
            <w:shd w:val="clear" w:color="auto" w:fill="auto"/>
            <w:noWrap/>
            <w:vAlign w:val="center"/>
          </w:tcPr>
          <w:p w14:paraId="6F3F258E">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58</w:t>
            </w:r>
          </w:p>
        </w:tc>
        <w:tc>
          <w:tcPr>
            <w:tcW w:w="1502" w:type="dxa"/>
            <w:shd w:val="clear" w:color="auto" w:fill="auto"/>
            <w:noWrap/>
            <w:vAlign w:val="center"/>
          </w:tcPr>
          <w:p w14:paraId="72771E29">
            <w:pPr>
              <w:jc w:val="right"/>
              <w:rPr>
                <w:rFonts w:hint="eastAsia" w:ascii="宋体" w:hAnsi="宋体" w:eastAsia="宋体" w:cs="宋体"/>
                <w:i w:val="0"/>
                <w:iCs w:val="0"/>
                <w:color w:val="000000"/>
                <w:sz w:val="18"/>
                <w:szCs w:val="18"/>
                <w:u w:val="none" w:color="auto"/>
              </w:rPr>
            </w:pPr>
          </w:p>
        </w:tc>
      </w:tr>
      <w:tr w14:paraId="7347E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3419" w:type="dxa"/>
            <w:shd w:val="clear" w:color="auto" w:fill="auto"/>
            <w:noWrap/>
            <w:vAlign w:val="center"/>
          </w:tcPr>
          <w:p w14:paraId="16B3364C">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年初结转和结余</w:t>
            </w:r>
          </w:p>
        </w:tc>
        <w:tc>
          <w:tcPr>
            <w:tcW w:w="674" w:type="dxa"/>
            <w:shd w:val="clear" w:color="auto" w:fill="auto"/>
            <w:noWrap/>
            <w:vAlign w:val="center"/>
          </w:tcPr>
          <w:p w14:paraId="7AF70995">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29</w:t>
            </w:r>
          </w:p>
        </w:tc>
        <w:tc>
          <w:tcPr>
            <w:tcW w:w="1276" w:type="dxa"/>
            <w:shd w:val="clear" w:color="auto" w:fill="auto"/>
            <w:noWrap/>
            <w:vAlign w:val="center"/>
          </w:tcPr>
          <w:p w14:paraId="35DABA97">
            <w:pPr>
              <w:keepNext w:val="0"/>
              <w:keepLines w:val="0"/>
              <w:widowControl/>
              <w:suppressLineNumbers w:val="0"/>
              <w:jc w:val="righ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23.36</w:t>
            </w:r>
          </w:p>
        </w:tc>
        <w:tc>
          <w:tcPr>
            <w:tcW w:w="3269" w:type="dxa"/>
            <w:shd w:val="clear" w:color="auto" w:fill="auto"/>
            <w:noWrap/>
            <w:vAlign w:val="center"/>
          </w:tcPr>
          <w:p w14:paraId="1D63CC15">
            <w:pPr>
              <w:keepNext w:val="0"/>
              <w:keepLines w:val="0"/>
              <w:widowControl/>
              <w:suppressLineNumbers w:val="0"/>
              <w:jc w:val="lef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年末结转和结余</w:t>
            </w:r>
          </w:p>
        </w:tc>
        <w:tc>
          <w:tcPr>
            <w:tcW w:w="779" w:type="dxa"/>
            <w:shd w:val="clear" w:color="auto" w:fill="auto"/>
            <w:noWrap/>
            <w:vAlign w:val="center"/>
          </w:tcPr>
          <w:p w14:paraId="2020ADF6">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59</w:t>
            </w:r>
          </w:p>
        </w:tc>
        <w:tc>
          <w:tcPr>
            <w:tcW w:w="1502" w:type="dxa"/>
            <w:shd w:val="clear" w:color="auto" w:fill="auto"/>
            <w:noWrap/>
            <w:vAlign w:val="center"/>
          </w:tcPr>
          <w:p w14:paraId="30388F5E">
            <w:pPr>
              <w:jc w:val="right"/>
              <w:rPr>
                <w:rFonts w:hint="eastAsia" w:ascii="宋体" w:hAnsi="宋体" w:eastAsia="宋体" w:cs="宋体"/>
                <w:i w:val="0"/>
                <w:iCs w:val="0"/>
                <w:color w:val="000000"/>
                <w:sz w:val="18"/>
                <w:szCs w:val="18"/>
                <w:u w:val="none" w:color="auto"/>
              </w:rPr>
            </w:pPr>
          </w:p>
        </w:tc>
      </w:tr>
      <w:tr w14:paraId="49E4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3419" w:type="dxa"/>
            <w:shd w:val="clear" w:color="auto" w:fill="auto"/>
            <w:noWrap/>
            <w:vAlign w:val="center"/>
          </w:tcPr>
          <w:p w14:paraId="5AE614D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color="auto"/>
              </w:rPr>
            </w:pPr>
            <w:r>
              <w:rPr>
                <w:rFonts w:hint="eastAsia" w:ascii="宋体" w:hAnsi="宋体" w:eastAsia="宋体" w:cs="宋体"/>
                <w:b/>
                <w:bCs/>
                <w:i w:val="0"/>
                <w:iCs w:val="0"/>
                <w:snapToGrid w:val="0"/>
                <w:color w:val="000000"/>
                <w:kern w:val="0"/>
                <w:sz w:val="18"/>
                <w:szCs w:val="18"/>
                <w:u w:val="none" w:color="auto"/>
                <w:lang w:val="en-US" w:eastAsia="zh-CN" w:bidi="ar"/>
              </w:rPr>
              <w:t>总计</w:t>
            </w:r>
          </w:p>
        </w:tc>
        <w:tc>
          <w:tcPr>
            <w:tcW w:w="674" w:type="dxa"/>
            <w:shd w:val="clear" w:color="auto" w:fill="auto"/>
            <w:noWrap/>
            <w:vAlign w:val="center"/>
          </w:tcPr>
          <w:p w14:paraId="330A003C">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30</w:t>
            </w:r>
          </w:p>
        </w:tc>
        <w:tc>
          <w:tcPr>
            <w:tcW w:w="1276" w:type="dxa"/>
            <w:shd w:val="clear" w:color="auto" w:fill="auto"/>
            <w:noWrap/>
            <w:vAlign w:val="center"/>
          </w:tcPr>
          <w:p w14:paraId="42F6E481">
            <w:pPr>
              <w:keepNext w:val="0"/>
              <w:keepLines w:val="0"/>
              <w:widowControl/>
              <w:suppressLineNumbers w:val="0"/>
              <w:jc w:val="righ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2,742.94</w:t>
            </w:r>
          </w:p>
        </w:tc>
        <w:tc>
          <w:tcPr>
            <w:tcW w:w="3269" w:type="dxa"/>
            <w:shd w:val="clear" w:color="auto" w:fill="auto"/>
            <w:noWrap/>
            <w:vAlign w:val="center"/>
          </w:tcPr>
          <w:p w14:paraId="637EB59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color="auto"/>
              </w:rPr>
            </w:pPr>
            <w:r>
              <w:rPr>
                <w:rFonts w:hint="eastAsia" w:ascii="宋体" w:hAnsi="宋体" w:eastAsia="宋体" w:cs="宋体"/>
                <w:b/>
                <w:bCs/>
                <w:i w:val="0"/>
                <w:iCs w:val="0"/>
                <w:snapToGrid w:val="0"/>
                <w:color w:val="000000"/>
                <w:kern w:val="0"/>
                <w:sz w:val="18"/>
                <w:szCs w:val="18"/>
                <w:u w:val="none" w:color="auto"/>
                <w:lang w:val="en-US" w:eastAsia="zh-CN" w:bidi="ar"/>
              </w:rPr>
              <w:t>总计</w:t>
            </w:r>
          </w:p>
        </w:tc>
        <w:tc>
          <w:tcPr>
            <w:tcW w:w="779" w:type="dxa"/>
            <w:shd w:val="clear" w:color="auto" w:fill="auto"/>
            <w:noWrap/>
            <w:vAlign w:val="center"/>
          </w:tcPr>
          <w:p w14:paraId="1BBB7C2E">
            <w:pPr>
              <w:keepNext w:val="0"/>
              <w:keepLines w:val="0"/>
              <w:widowControl/>
              <w:suppressLineNumbers w:val="0"/>
              <w:jc w:val="center"/>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60</w:t>
            </w:r>
          </w:p>
        </w:tc>
        <w:tc>
          <w:tcPr>
            <w:tcW w:w="1502" w:type="dxa"/>
            <w:shd w:val="clear" w:color="auto" w:fill="auto"/>
            <w:noWrap/>
            <w:vAlign w:val="center"/>
          </w:tcPr>
          <w:p w14:paraId="16CC9A7F">
            <w:pPr>
              <w:keepNext w:val="0"/>
              <w:keepLines w:val="0"/>
              <w:widowControl/>
              <w:suppressLineNumbers w:val="0"/>
              <w:jc w:val="right"/>
              <w:textAlignment w:val="center"/>
              <w:rPr>
                <w:rFonts w:hint="eastAsia" w:ascii="宋体" w:hAnsi="宋体" w:eastAsia="宋体" w:cs="宋体"/>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2,742.94</w:t>
            </w:r>
          </w:p>
        </w:tc>
      </w:tr>
    </w:tbl>
    <w:p w14:paraId="4084533E">
      <w:pPr>
        <w:pStyle w:val="7"/>
        <w:keepNext w:val="0"/>
        <w:keepLines w:val="0"/>
        <w:pageBreakBefore w:val="0"/>
        <w:widowControl/>
        <w:kinsoku w:val="0"/>
        <w:wordWrap/>
        <w:overflowPunct/>
        <w:topLinePunct w:val="0"/>
        <w:autoSpaceDE w:val="0"/>
        <w:autoSpaceDN w:val="0"/>
        <w:bidi w:val="0"/>
        <w:adjustRightInd w:val="0"/>
        <w:snapToGrid w:val="0"/>
        <w:spacing w:line="300" w:lineRule="exact"/>
        <w:ind w:left="0" w:leftChars="0" w:firstLine="0" w:firstLineChars="0"/>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注：1.本表反映部门本年度的总收支和年末结转结余情况。</w:t>
      </w:r>
    </w:p>
    <w:p w14:paraId="42ABCAD7">
      <w:pPr>
        <w:pStyle w:val="7"/>
        <w:keepNext w:val="0"/>
        <w:keepLines w:val="0"/>
        <w:pageBreakBefore w:val="0"/>
        <w:widowControl/>
        <w:kinsoku w:val="0"/>
        <w:wordWrap/>
        <w:overflowPunct/>
        <w:topLinePunct w:val="0"/>
        <w:autoSpaceDE w:val="0"/>
        <w:autoSpaceDN w:val="0"/>
        <w:bidi w:val="0"/>
        <w:adjustRightInd w:val="0"/>
        <w:snapToGrid w:val="0"/>
        <w:spacing w:line="300" w:lineRule="exact"/>
        <w:ind w:left="0" w:leftChars="0" w:firstLine="0" w:firstLineChars="0"/>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2.本套报表金额单位转换时可能存在尾数误差。</w:t>
      </w:r>
    </w:p>
    <w:p w14:paraId="7343C69C">
      <w:pP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br w:type="page"/>
      </w:r>
    </w:p>
    <w:p w14:paraId="298047C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r>
        <w:rPr>
          <w:rFonts w:hint="default" w:ascii="Times New Roman" w:hAnsi="Times New Roman" w:eastAsia="黑体" w:cs="Times New Roman"/>
          <w:spacing w:val="0"/>
          <w:w w:val="100"/>
          <w:position w:val="0"/>
          <w:sz w:val="32"/>
          <w:szCs w:val="32"/>
          <w:u w:val="none" w:color="auto"/>
          <w:lang w:val="en-US" w:eastAsia="zh-CN"/>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lang w:val="en-US" w:eastAsia="zh-CN"/>
        </w:rPr>
        <w:t>年度收入决算表</w:t>
      </w:r>
    </w:p>
    <w:p w14:paraId="729DCB68">
      <w:pPr>
        <w:pStyle w:val="7"/>
        <w:jc w:val="right"/>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公开02表</w:t>
      </w:r>
    </w:p>
    <w:p w14:paraId="35A89668">
      <w:pPr>
        <w:pStyle w:val="7"/>
        <w:ind w:left="0" w:leftChars="0" w:firstLine="0" w:firstLineChars="0"/>
        <w:jc w:val="both"/>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部门：</w:t>
      </w:r>
      <w:r>
        <w:rPr>
          <w:rFonts w:hint="eastAsia" w:ascii="Times New Roman" w:hAnsi="Times New Roman" w:eastAsia="仿宋_GB2312" w:cs="Times New Roman"/>
          <w:bCs/>
          <w:snapToGrid w:val="0"/>
          <w:color w:val="000000"/>
          <w:spacing w:val="0"/>
          <w:w w:val="100"/>
          <w:kern w:val="0"/>
          <w:position w:val="0"/>
          <w:sz w:val="28"/>
          <w:szCs w:val="28"/>
          <w:u w:val="none" w:color="auto"/>
          <w:lang w:val="en-US" w:eastAsia="zh-CN" w:bidi="ar-SA"/>
        </w:rPr>
        <w:t>武汉市光谷第八初级中学</w:t>
      </w: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单位：万元</w:t>
      </w:r>
    </w:p>
    <w:tbl>
      <w:tblPr>
        <w:tblStyle w:val="8"/>
        <w:tblW w:w="10432" w:type="dxa"/>
        <w:tblInd w:w="-6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36"/>
        <w:gridCol w:w="2240"/>
        <w:gridCol w:w="1248"/>
        <w:gridCol w:w="1168"/>
        <w:gridCol w:w="976"/>
        <w:gridCol w:w="864"/>
        <w:gridCol w:w="800"/>
        <w:gridCol w:w="880"/>
        <w:gridCol w:w="1120"/>
      </w:tblGrid>
      <w:tr w14:paraId="76AB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2" w:hRule="atLeast"/>
        </w:trPr>
        <w:tc>
          <w:tcPr>
            <w:tcW w:w="3376" w:type="dxa"/>
            <w:gridSpan w:val="2"/>
            <w:shd w:val="clear" w:color="auto" w:fill="auto"/>
            <w:vAlign w:val="center"/>
          </w:tcPr>
          <w:p w14:paraId="039D57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项目</w:t>
            </w:r>
          </w:p>
        </w:tc>
        <w:tc>
          <w:tcPr>
            <w:tcW w:w="1248" w:type="dxa"/>
            <w:vMerge w:val="restart"/>
            <w:shd w:val="clear" w:color="auto" w:fill="auto"/>
            <w:vAlign w:val="center"/>
          </w:tcPr>
          <w:p w14:paraId="06AF1B5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本年收入合计</w:t>
            </w:r>
          </w:p>
        </w:tc>
        <w:tc>
          <w:tcPr>
            <w:tcW w:w="1168" w:type="dxa"/>
            <w:vMerge w:val="restart"/>
            <w:shd w:val="clear" w:color="auto" w:fill="auto"/>
            <w:vAlign w:val="center"/>
          </w:tcPr>
          <w:p w14:paraId="213C49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财政拨款收入</w:t>
            </w:r>
          </w:p>
        </w:tc>
        <w:tc>
          <w:tcPr>
            <w:tcW w:w="976" w:type="dxa"/>
            <w:vMerge w:val="restart"/>
            <w:shd w:val="clear" w:color="auto" w:fill="auto"/>
            <w:vAlign w:val="center"/>
          </w:tcPr>
          <w:p w14:paraId="17A7388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上级补助收入</w:t>
            </w:r>
          </w:p>
        </w:tc>
        <w:tc>
          <w:tcPr>
            <w:tcW w:w="864" w:type="dxa"/>
            <w:vMerge w:val="restart"/>
            <w:shd w:val="clear" w:color="auto" w:fill="auto"/>
            <w:vAlign w:val="center"/>
          </w:tcPr>
          <w:p w14:paraId="5CA23E4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事业收入</w:t>
            </w:r>
          </w:p>
        </w:tc>
        <w:tc>
          <w:tcPr>
            <w:tcW w:w="800" w:type="dxa"/>
            <w:vMerge w:val="restart"/>
            <w:shd w:val="clear" w:color="auto" w:fill="auto"/>
            <w:vAlign w:val="center"/>
          </w:tcPr>
          <w:p w14:paraId="15F9C2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经营收入</w:t>
            </w:r>
          </w:p>
        </w:tc>
        <w:tc>
          <w:tcPr>
            <w:tcW w:w="880" w:type="dxa"/>
            <w:vMerge w:val="restart"/>
            <w:shd w:val="clear" w:color="auto" w:fill="auto"/>
            <w:vAlign w:val="center"/>
          </w:tcPr>
          <w:p w14:paraId="6925A5C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附属单位上缴收入</w:t>
            </w:r>
          </w:p>
        </w:tc>
        <w:tc>
          <w:tcPr>
            <w:tcW w:w="1120" w:type="dxa"/>
            <w:vMerge w:val="restart"/>
            <w:shd w:val="clear" w:color="auto" w:fill="auto"/>
            <w:vAlign w:val="center"/>
          </w:tcPr>
          <w:p w14:paraId="0EAD5E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其他收入</w:t>
            </w:r>
          </w:p>
        </w:tc>
      </w:tr>
      <w:tr w14:paraId="54C9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36" w:type="dxa"/>
            <w:vMerge w:val="restart"/>
            <w:shd w:val="clear" w:color="auto" w:fill="auto"/>
            <w:vAlign w:val="center"/>
          </w:tcPr>
          <w:p w14:paraId="3194507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科目代码</w:t>
            </w:r>
          </w:p>
        </w:tc>
        <w:tc>
          <w:tcPr>
            <w:tcW w:w="2240" w:type="dxa"/>
            <w:vMerge w:val="restart"/>
            <w:shd w:val="clear" w:color="auto" w:fill="auto"/>
            <w:vAlign w:val="center"/>
          </w:tcPr>
          <w:p w14:paraId="169724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科目名称</w:t>
            </w:r>
          </w:p>
        </w:tc>
        <w:tc>
          <w:tcPr>
            <w:tcW w:w="1248" w:type="dxa"/>
            <w:vMerge w:val="continue"/>
            <w:shd w:val="clear" w:color="auto" w:fill="auto"/>
            <w:vAlign w:val="center"/>
          </w:tcPr>
          <w:p w14:paraId="2F982A53">
            <w:pPr>
              <w:jc w:val="center"/>
              <w:rPr>
                <w:rFonts w:hint="default" w:ascii="Times New Roman" w:hAnsi="Times New Roman" w:eastAsia="宋体" w:cs="Times New Roman"/>
                <w:i w:val="0"/>
                <w:iCs w:val="0"/>
                <w:color w:val="000000"/>
                <w:sz w:val="21"/>
                <w:szCs w:val="21"/>
                <w:u w:val="none" w:color="auto"/>
              </w:rPr>
            </w:pPr>
          </w:p>
        </w:tc>
        <w:tc>
          <w:tcPr>
            <w:tcW w:w="1168" w:type="dxa"/>
            <w:vMerge w:val="continue"/>
            <w:shd w:val="clear" w:color="auto" w:fill="auto"/>
            <w:vAlign w:val="center"/>
          </w:tcPr>
          <w:p w14:paraId="60F5C10E">
            <w:pPr>
              <w:jc w:val="center"/>
              <w:rPr>
                <w:rFonts w:hint="default" w:ascii="Times New Roman" w:hAnsi="Times New Roman" w:eastAsia="宋体" w:cs="Times New Roman"/>
                <w:i w:val="0"/>
                <w:iCs w:val="0"/>
                <w:color w:val="000000"/>
                <w:sz w:val="21"/>
                <w:szCs w:val="21"/>
                <w:u w:val="none" w:color="auto"/>
              </w:rPr>
            </w:pPr>
          </w:p>
        </w:tc>
        <w:tc>
          <w:tcPr>
            <w:tcW w:w="976" w:type="dxa"/>
            <w:vMerge w:val="continue"/>
            <w:shd w:val="clear" w:color="auto" w:fill="auto"/>
            <w:vAlign w:val="center"/>
          </w:tcPr>
          <w:p w14:paraId="6EC79987">
            <w:pPr>
              <w:jc w:val="center"/>
              <w:rPr>
                <w:rFonts w:hint="default" w:ascii="Times New Roman" w:hAnsi="Times New Roman" w:eastAsia="宋体" w:cs="Times New Roman"/>
                <w:i w:val="0"/>
                <w:iCs w:val="0"/>
                <w:color w:val="000000"/>
                <w:sz w:val="21"/>
                <w:szCs w:val="21"/>
                <w:u w:val="none" w:color="auto"/>
              </w:rPr>
            </w:pPr>
          </w:p>
        </w:tc>
        <w:tc>
          <w:tcPr>
            <w:tcW w:w="864" w:type="dxa"/>
            <w:vMerge w:val="continue"/>
            <w:shd w:val="clear" w:color="auto" w:fill="auto"/>
            <w:vAlign w:val="center"/>
          </w:tcPr>
          <w:p w14:paraId="4602BF56">
            <w:pPr>
              <w:jc w:val="center"/>
              <w:rPr>
                <w:rFonts w:hint="default" w:ascii="Times New Roman" w:hAnsi="Times New Roman" w:eastAsia="宋体" w:cs="Times New Roman"/>
                <w:i w:val="0"/>
                <w:iCs w:val="0"/>
                <w:color w:val="000000"/>
                <w:sz w:val="21"/>
                <w:szCs w:val="21"/>
                <w:u w:val="none" w:color="auto"/>
              </w:rPr>
            </w:pPr>
          </w:p>
        </w:tc>
        <w:tc>
          <w:tcPr>
            <w:tcW w:w="800" w:type="dxa"/>
            <w:vMerge w:val="continue"/>
            <w:shd w:val="clear" w:color="auto" w:fill="auto"/>
            <w:vAlign w:val="center"/>
          </w:tcPr>
          <w:p w14:paraId="469DE13A">
            <w:pPr>
              <w:jc w:val="center"/>
              <w:rPr>
                <w:rFonts w:hint="default" w:ascii="Times New Roman" w:hAnsi="Times New Roman" w:eastAsia="宋体" w:cs="Times New Roman"/>
                <w:i w:val="0"/>
                <w:iCs w:val="0"/>
                <w:color w:val="000000"/>
                <w:sz w:val="21"/>
                <w:szCs w:val="21"/>
                <w:u w:val="none" w:color="auto"/>
              </w:rPr>
            </w:pPr>
          </w:p>
        </w:tc>
        <w:tc>
          <w:tcPr>
            <w:tcW w:w="880" w:type="dxa"/>
            <w:vMerge w:val="continue"/>
            <w:shd w:val="clear" w:color="auto" w:fill="auto"/>
            <w:vAlign w:val="center"/>
          </w:tcPr>
          <w:p w14:paraId="70809B99">
            <w:pPr>
              <w:jc w:val="center"/>
              <w:rPr>
                <w:rFonts w:hint="default" w:ascii="Times New Roman" w:hAnsi="Times New Roman" w:eastAsia="宋体" w:cs="Times New Roman"/>
                <w:i w:val="0"/>
                <w:iCs w:val="0"/>
                <w:color w:val="000000"/>
                <w:sz w:val="21"/>
                <w:szCs w:val="21"/>
                <w:u w:val="none" w:color="auto"/>
              </w:rPr>
            </w:pPr>
          </w:p>
        </w:tc>
        <w:tc>
          <w:tcPr>
            <w:tcW w:w="1120" w:type="dxa"/>
            <w:vMerge w:val="continue"/>
            <w:shd w:val="clear" w:color="auto" w:fill="auto"/>
            <w:vAlign w:val="center"/>
          </w:tcPr>
          <w:p w14:paraId="073E2B7B">
            <w:pPr>
              <w:jc w:val="center"/>
              <w:rPr>
                <w:rFonts w:hint="default" w:ascii="Times New Roman" w:hAnsi="Times New Roman" w:eastAsia="宋体" w:cs="Times New Roman"/>
                <w:i w:val="0"/>
                <w:iCs w:val="0"/>
                <w:color w:val="000000"/>
                <w:sz w:val="21"/>
                <w:szCs w:val="21"/>
                <w:u w:val="none" w:color="auto"/>
              </w:rPr>
            </w:pPr>
          </w:p>
        </w:tc>
      </w:tr>
      <w:tr w14:paraId="6EA0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36" w:type="dxa"/>
            <w:vMerge w:val="continue"/>
            <w:shd w:val="clear" w:color="auto" w:fill="auto"/>
            <w:vAlign w:val="center"/>
          </w:tcPr>
          <w:p w14:paraId="53002825">
            <w:pPr>
              <w:jc w:val="center"/>
              <w:rPr>
                <w:rFonts w:hint="default" w:ascii="Times New Roman" w:hAnsi="Times New Roman" w:eastAsia="宋体" w:cs="Times New Roman"/>
                <w:i w:val="0"/>
                <w:iCs w:val="0"/>
                <w:color w:val="000000"/>
                <w:sz w:val="21"/>
                <w:szCs w:val="21"/>
                <w:u w:val="none" w:color="auto"/>
              </w:rPr>
            </w:pPr>
          </w:p>
        </w:tc>
        <w:tc>
          <w:tcPr>
            <w:tcW w:w="2240" w:type="dxa"/>
            <w:vMerge w:val="continue"/>
            <w:shd w:val="clear" w:color="auto" w:fill="auto"/>
            <w:vAlign w:val="center"/>
          </w:tcPr>
          <w:p w14:paraId="5A23AE2C">
            <w:pPr>
              <w:jc w:val="center"/>
              <w:rPr>
                <w:rFonts w:hint="default" w:ascii="Times New Roman" w:hAnsi="Times New Roman" w:eastAsia="宋体" w:cs="Times New Roman"/>
                <w:i w:val="0"/>
                <w:iCs w:val="0"/>
                <w:color w:val="000000"/>
                <w:sz w:val="21"/>
                <w:szCs w:val="21"/>
                <w:u w:val="none" w:color="auto"/>
              </w:rPr>
            </w:pPr>
          </w:p>
        </w:tc>
        <w:tc>
          <w:tcPr>
            <w:tcW w:w="1248" w:type="dxa"/>
            <w:vMerge w:val="continue"/>
            <w:shd w:val="clear" w:color="auto" w:fill="auto"/>
            <w:vAlign w:val="center"/>
          </w:tcPr>
          <w:p w14:paraId="3B14DE84">
            <w:pPr>
              <w:jc w:val="center"/>
              <w:rPr>
                <w:rFonts w:hint="default" w:ascii="Times New Roman" w:hAnsi="Times New Roman" w:eastAsia="宋体" w:cs="Times New Roman"/>
                <w:i w:val="0"/>
                <w:iCs w:val="0"/>
                <w:color w:val="000000"/>
                <w:sz w:val="21"/>
                <w:szCs w:val="21"/>
                <w:u w:val="none" w:color="auto"/>
              </w:rPr>
            </w:pPr>
          </w:p>
        </w:tc>
        <w:tc>
          <w:tcPr>
            <w:tcW w:w="1168" w:type="dxa"/>
            <w:vMerge w:val="continue"/>
            <w:shd w:val="clear" w:color="auto" w:fill="auto"/>
            <w:vAlign w:val="center"/>
          </w:tcPr>
          <w:p w14:paraId="1CA988AD">
            <w:pPr>
              <w:jc w:val="center"/>
              <w:rPr>
                <w:rFonts w:hint="default" w:ascii="Times New Roman" w:hAnsi="Times New Roman" w:eastAsia="宋体" w:cs="Times New Roman"/>
                <w:i w:val="0"/>
                <w:iCs w:val="0"/>
                <w:color w:val="000000"/>
                <w:sz w:val="21"/>
                <w:szCs w:val="21"/>
                <w:u w:val="none" w:color="auto"/>
              </w:rPr>
            </w:pPr>
          </w:p>
        </w:tc>
        <w:tc>
          <w:tcPr>
            <w:tcW w:w="976" w:type="dxa"/>
            <w:vMerge w:val="continue"/>
            <w:shd w:val="clear" w:color="auto" w:fill="auto"/>
            <w:vAlign w:val="center"/>
          </w:tcPr>
          <w:p w14:paraId="68D697CC">
            <w:pPr>
              <w:jc w:val="center"/>
              <w:rPr>
                <w:rFonts w:hint="default" w:ascii="Times New Roman" w:hAnsi="Times New Roman" w:eastAsia="宋体" w:cs="Times New Roman"/>
                <w:i w:val="0"/>
                <w:iCs w:val="0"/>
                <w:color w:val="000000"/>
                <w:sz w:val="21"/>
                <w:szCs w:val="21"/>
                <w:u w:val="none" w:color="auto"/>
              </w:rPr>
            </w:pPr>
          </w:p>
        </w:tc>
        <w:tc>
          <w:tcPr>
            <w:tcW w:w="864" w:type="dxa"/>
            <w:vMerge w:val="continue"/>
            <w:shd w:val="clear" w:color="auto" w:fill="auto"/>
            <w:vAlign w:val="center"/>
          </w:tcPr>
          <w:p w14:paraId="38642B54">
            <w:pPr>
              <w:jc w:val="center"/>
              <w:rPr>
                <w:rFonts w:hint="default" w:ascii="Times New Roman" w:hAnsi="Times New Roman" w:eastAsia="宋体" w:cs="Times New Roman"/>
                <w:i w:val="0"/>
                <w:iCs w:val="0"/>
                <w:color w:val="000000"/>
                <w:sz w:val="21"/>
                <w:szCs w:val="21"/>
                <w:u w:val="none" w:color="auto"/>
              </w:rPr>
            </w:pPr>
          </w:p>
        </w:tc>
        <w:tc>
          <w:tcPr>
            <w:tcW w:w="800" w:type="dxa"/>
            <w:vMerge w:val="continue"/>
            <w:shd w:val="clear" w:color="auto" w:fill="auto"/>
            <w:vAlign w:val="center"/>
          </w:tcPr>
          <w:p w14:paraId="553593D9">
            <w:pPr>
              <w:jc w:val="center"/>
              <w:rPr>
                <w:rFonts w:hint="default" w:ascii="Times New Roman" w:hAnsi="Times New Roman" w:eastAsia="宋体" w:cs="Times New Roman"/>
                <w:i w:val="0"/>
                <w:iCs w:val="0"/>
                <w:color w:val="000000"/>
                <w:sz w:val="21"/>
                <w:szCs w:val="21"/>
                <w:u w:val="none" w:color="auto"/>
              </w:rPr>
            </w:pPr>
          </w:p>
        </w:tc>
        <w:tc>
          <w:tcPr>
            <w:tcW w:w="880" w:type="dxa"/>
            <w:vMerge w:val="continue"/>
            <w:shd w:val="clear" w:color="auto" w:fill="auto"/>
            <w:vAlign w:val="center"/>
          </w:tcPr>
          <w:p w14:paraId="29BAD13D">
            <w:pPr>
              <w:jc w:val="center"/>
              <w:rPr>
                <w:rFonts w:hint="default" w:ascii="Times New Roman" w:hAnsi="Times New Roman" w:eastAsia="宋体" w:cs="Times New Roman"/>
                <w:i w:val="0"/>
                <w:iCs w:val="0"/>
                <w:color w:val="000000"/>
                <w:sz w:val="21"/>
                <w:szCs w:val="21"/>
                <w:u w:val="none" w:color="auto"/>
              </w:rPr>
            </w:pPr>
          </w:p>
        </w:tc>
        <w:tc>
          <w:tcPr>
            <w:tcW w:w="1120" w:type="dxa"/>
            <w:vMerge w:val="continue"/>
            <w:shd w:val="clear" w:color="auto" w:fill="auto"/>
            <w:vAlign w:val="center"/>
          </w:tcPr>
          <w:p w14:paraId="48A21E3C">
            <w:pPr>
              <w:jc w:val="center"/>
              <w:rPr>
                <w:rFonts w:hint="default" w:ascii="Times New Roman" w:hAnsi="Times New Roman" w:eastAsia="宋体" w:cs="Times New Roman"/>
                <w:i w:val="0"/>
                <w:iCs w:val="0"/>
                <w:color w:val="000000"/>
                <w:sz w:val="21"/>
                <w:szCs w:val="21"/>
                <w:u w:val="none" w:color="auto"/>
              </w:rPr>
            </w:pPr>
          </w:p>
        </w:tc>
      </w:tr>
      <w:tr w14:paraId="3D65A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136" w:type="dxa"/>
            <w:vMerge w:val="continue"/>
            <w:shd w:val="clear" w:color="auto" w:fill="auto"/>
            <w:vAlign w:val="center"/>
          </w:tcPr>
          <w:p w14:paraId="6DD5B37B">
            <w:pPr>
              <w:jc w:val="center"/>
              <w:rPr>
                <w:rFonts w:hint="default" w:ascii="Times New Roman" w:hAnsi="Times New Roman" w:eastAsia="宋体" w:cs="Times New Roman"/>
                <w:i w:val="0"/>
                <w:iCs w:val="0"/>
                <w:color w:val="000000"/>
                <w:sz w:val="21"/>
                <w:szCs w:val="21"/>
                <w:u w:val="none" w:color="auto"/>
              </w:rPr>
            </w:pPr>
          </w:p>
        </w:tc>
        <w:tc>
          <w:tcPr>
            <w:tcW w:w="2240" w:type="dxa"/>
            <w:vMerge w:val="continue"/>
            <w:shd w:val="clear" w:color="auto" w:fill="auto"/>
            <w:vAlign w:val="center"/>
          </w:tcPr>
          <w:p w14:paraId="23A5E1F3">
            <w:pPr>
              <w:jc w:val="center"/>
              <w:rPr>
                <w:rFonts w:hint="default" w:ascii="Times New Roman" w:hAnsi="Times New Roman" w:eastAsia="宋体" w:cs="Times New Roman"/>
                <w:i w:val="0"/>
                <w:iCs w:val="0"/>
                <w:color w:val="000000"/>
                <w:sz w:val="21"/>
                <w:szCs w:val="21"/>
                <w:u w:val="none" w:color="auto"/>
              </w:rPr>
            </w:pPr>
          </w:p>
        </w:tc>
        <w:tc>
          <w:tcPr>
            <w:tcW w:w="1248" w:type="dxa"/>
            <w:vMerge w:val="continue"/>
            <w:shd w:val="clear" w:color="auto" w:fill="auto"/>
            <w:vAlign w:val="center"/>
          </w:tcPr>
          <w:p w14:paraId="7A69AB8B">
            <w:pPr>
              <w:jc w:val="center"/>
              <w:rPr>
                <w:rFonts w:hint="default" w:ascii="Times New Roman" w:hAnsi="Times New Roman" w:eastAsia="宋体" w:cs="Times New Roman"/>
                <w:i w:val="0"/>
                <w:iCs w:val="0"/>
                <w:color w:val="000000"/>
                <w:sz w:val="21"/>
                <w:szCs w:val="21"/>
                <w:u w:val="none" w:color="auto"/>
              </w:rPr>
            </w:pPr>
          </w:p>
        </w:tc>
        <w:tc>
          <w:tcPr>
            <w:tcW w:w="1168" w:type="dxa"/>
            <w:vMerge w:val="continue"/>
            <w:shd w:val="clear" w:color="auto" w:fill="auto"/>
            <w:vAlign w:val="center"/>
          </w:tcPr>
          <w:p w14:paraId="75200CC9">
            <w:pPr>
              <w:jc w:val="center"/>
              <w:rPr>
                <w:rFonts w:hint="default" w:ascii="Times New Roman" w:hAnsi="Times New Roman" w:eastAsia="宋体" w:cs="Times New Roman"/>
                <w:i w:val="0"/>
                <w:iCs w:val="0"/>
                <w:color w:val="000000"/>
                <w:sz w:val="21"/>
                <w:szCs w:val="21"/>
                <w:u w:val="none" w:color="auto"/>
              </w:rPr>
            </w:pPr>
          </w:p>
        </w:tc>
        <w:tc>
          <w:tcPr>
            <w:tcW w:w="976" w:type="dxa"/>
            <w:vMerge w:val="continue"/>
            <w:shd w:val="clear" w:color="auto" w:fill="auto"/>
            <w:vAlign w:val="center"/>
          </w:tcPr>
          <w:p w14:paraId="22A685D0">
            <w:pPr>
              <w:jc w:val="center"/>
              <w:rPr>
                <w:rFonts w:hint="default" w:ascii="Times New Roman" w:hAnsi="Times New Roman" w:eastAsia="宋体" w:cs="Times New Roman"/>
                <w:i w:val="0"/>
                <w:iCs w:val="0"/>
                <w:color w:val="000000"/>
                <w:sz w:val="21"/>
                <w:szCs w:val="21"/>
                <w:u w:val="none" w:color="auto"/>
              </w:rPr>
            </w:pPr>
          </w:p>
        </w:tc>
        <w:tc>
          <w:tcPr>
            <w:tcW w:w="864" w:type="dxa"/>
            <w:vMerge w:val="continue"/>
            <w:shd w:val="clear" w:color="auto" w:fill="auto"/>
            <w:vAlign w:val="center"/>
          </w:tcPr>
          <w:p w14:paraId="1D001FD5">
            <w:pPr>
              <w:jc w:val="center"/>
              <w:rPr>
                <w:rFonts w:hint="default" w:ascii="Times New Roman" w:hAnsi="Times New Roman" w:eastAsia="宋体" w:cs="Times New Roman"/>
                <w:i w:val="0"/>
                <w:iCs w:val="0"/>
                <w:color w:val="000000"/>
                <w:sz w:val="21"/>
                <w:szCs w:val="21"/>
                <w:u w:val="none" w:color="auto"/>
              </w:rPr>
            </w:pPr>
          </w:p>
        </w:tc>
        <w:tc>
          <w:tcPr>
            <w:tcW w:w="800" w:type="dxa"/>
            <w:vMerge w:val="continue"/>
            <w:shd w:val="clear" w:color="auto" w:fill="auto"/>
            <w:vAlign w:val="center"/>
          </w:tcPr>
          <w:p w14:paraId="5D00ADD3">
            <w:pPr>
              <w:jc w:val="center"/>
              <w:rPr>
                <w:rFonts w:hint="default" w:ascii="Times New Roman" w:hAnsi="Times New Roman" w:eastAsia="宋体" w:cs="Times New Roman"/>
                <w:i w:val="0"/>
                <w:iCs w:val="0"/>
                <w:color w:val="000000"/>
                <w:sz w:val="21"/>
                <w:szCs w:val="21"/>
                <w:u w:val="none" w:color="auto"/>
              </w:rPr>
            </w:pPr>
          </w:p>
        </w:tc>
        <w:tc>
          <w:tcPr>
            <w:tcW w:w="880" w:type="dxa"/>
            <w:vMerge w:val="continue"/>
            <w:shd w:val="clear" w:color="auto" w:fill="auto"/>
            <w:vAlign w:val="center"/>
          </w:tcPr>
          <w:p w14:paraId="304FD57D">
            <w:pPr>
              <w:jc w:val="center"/>
              <w:rPr>
                <w:rFonts w:hint="default" w:ascii="Times New Roman" w:hAnsi="Times New Roman" w:eastAsia="宋体" w:cs="Times New Roman"/>
                <w:i w:val="0"/>
                <w:iCs w:val="0"/>
                <w:color w:val="000000"/>
                <w:sz w:val="21"/>
                <w:szCs w:val="21"/>
                <w:u w:val="none" w:color="auto"/>
              </w:rPr>
            </w:pPr>
          </w:p>
        </w:tc>
        <w:tc>
          <w:tcPr>
            <w:tcW w:w="1120" w:type="dxa"/>
            <w:vMerge w:val="continue"/>
            <w:shd w:val="clear" w:color="auto" w:fill="auto"/>
            <w:vAlign w:val="center"/>
          </w:tcPr>
          <w:p w14:paraId="1BCDE8E1">
            <w:pPr>
              <w:jc w:val="center"/>
              <w:rPr>
                <w:rFonts w:hint="default" w:ascii="Times New Roman" w:hAnsi="Times New Roman" w:eastAsia="宋体" w:cs="Times New Roman"/>
                <w:i w:val="0"/>
                <w:iCs w:val="0"/>
                <w:color w:val="000000"/>
                <w:sz w:val="21"/>
                <w:szCs w:val="21"/>
                <w:u w:val="none" w:color="auto"/>
              </w:rPr>
            </w:pPr>
          </w:p>
        </w:tc>
      </w:tr>
      <w:tr w14:paraId="6F0CC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3376" w:type="dxa"/>
            <w:gridSpan w:val="2"/>
            <w:shd w:val="clear" w:color="auto" w:fill="auto"/>
            <w:vAlign w:val="center"/>
          </w:tcPr>
          <w:p w14:paraId="25DA603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栏次</w:t>
            </w:r>
          </w:p>
        </w:tc>
        <w:tc>
          <w:tcPr>
            <w:tcW w:w="1248" w:type="dxa"/>
            <w:shd w:val="clear" w:color="auto" w:fill="auto"/>
            <w:vAlign w:val="center"/>
          </w:tcPr>
          <w:p w14:paraId="20FFC00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w:t>
            </w:r>
          </w:p>
        </w:tc>
        <w:tc>
          <w:tcPr>
            <w:tcW w:w="1168" w:type="dxa"/>
            <w:shd w:val="clear" w:color="auto" w:fill="auto"/>
            <w:vAlign w:val="center"/>
          </w:tcPr>
          <w:p w14:paraId="2C55993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w:t>
            </w:r>
          </w:p>
        </w:tc>
        <w:tc>
          <w:tcPr>
            <w:tcW w:w="976" w:type="dxa"/>
            <w:shd w:val="clear" w:color="auto" w:fill="auto"/>
            <w:vAlign w:val="center"/>
          </w:tcPr>
          <w:p w14:paraId="75D2106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3</w:t>
            </w:r>
          </w:p>
        </w:tc>
        <w:tc>
          <w:tcPr>
            <w:tcW w:w="864" w:type="dxa"/>
            <w:shd w:val="clear" w:color="auto" w:fill="auto"/>
            <w:vAlign w:val="center"/>
          </w:tcPr>
          <w:p w14:paraId="5EA9C1B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4</w:t>
            </w:r>
          </w:p>
        </w:tc>
        <w:tc>
          <w:tcPr>
            <w:tcW w:w="800" w:type="dxa"/>
            <w:shd w:val="clear" w:color="auto" w:fill="auto"/>
            <w:vAlign w:val="center"/>
          </w:tcPr>
          <w:p w14:paraId="5705525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5</w:t>
            </w:r>
          </w:p>
        </w:tc>
        <w:tc>
          <w:tcPr>
            <w:tcW w:w="880" w:type="dxa"/>
            <w:shd w:val="clear" w:color="auto" w:fill="auto"/>
            <w:vAlign w:val="center"/>
          </w:tcPr>
          <w:p w14:paraId="2337E6F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6</w:t>
            </w:r>
          </w:p>
        </w:tc>
        <w:tc>
          <w:tcPr>
            <w:tcW w:w="1120" w:type="dxa"/>
            <w:shd w:val="clear" w:color="auto" w:fill="auto"/>
            <w:vAlign w:val="center"/>
          </w:tcPr>
          <w:p w14:paraId="25930E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7</w:t>
            </w:r>
          </w:p>
        </w:tc>
      </w:tr>
      <w:tr w14:paraId="06CAC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3376" w:type="dxa"/>
            <w:gridSpan w:val="2"/>
            <w:shd w:val="clear" w:color="auto" w:fill="auto"/>
            <w:vAlign w:val="center"/>
          </w:tcPr>
          <w:p w14:paraId="22BAA65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合计</w:t>
            </w:r>
          </w:p>
        </w:tc>
        <w:tc>
          <w:tcPr>
            <w:tcW w:w="1248" w:type="dxa"/>
            <w:shd w:val="clear" w:color="auto" w:fill="auto"/>
            <w:vAlign w:val="center"/>
          </w:tcPr>
          <w:p w14:paraId="5BE35B39">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b/>
                <w:bCs/>
                <w:i w:val="0"/>
                <w:iCs w:val="0"/>
                <w:snapToGrid w:val="0"/>
                <w:color w:val="000000"/>
                <w:kern w:val="0"/>
                <w:sz w:val="22"/>
                <w:szCs w:val="22"/>
                <w:u w:val="none" w:color="auto"/>
                <w:lang w:val="en-US" w:eastAsia="zh-CN" w:bidi="ar"/>
              </w:rPr>
              <w:t>2,719.58</w:t>
            </w:r>
          </w:p>
        </w:tc>
        <w:tc>
          <w:tcPr>
            <w:tcW w:w="1168" w:type="dxa"/>
            <w:shd w:val="clear" w:color="auto" w:fill="auto"/>
            <w:vAlign w:val="center"/>
          </w:tcPr>
          <w:p w14:paraId="1D7DB45E">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b/>
                <w:bCs/>
                <w:i w:val="0"/>
                <w:iCs w:val="0"/>
                <w:snapToGrid w:val="0"/>
                <w:color w:val="000000"/>
                <w:kern w:val="0"/>
                <w:sz w:val="22"/>
                <w:szCs w:val="22"/>
                <w:u w:val="none" w:color="auto"/>
                <w:lang w:val="en-US" w:eastAsia="zh-CN" w:bidi="ar"/>
              </w:rPr>
              <w:t>2,647.60</w:t>
            </w:r>
          </w:p>
        </w:tc>
        <w:tc>
          <w:tcPr>
            <w:tcW w:w="976" w:type="dxa"/>
            <w:shd w:val="clear" w:color="auto" w:fill="auto"/>
            <w:vAlign w:val="center"/>
          </w:tcPr>
          <w:p w14:paraId="28B3A410">
            <w:pPr>
              <w:jc w:val="right"/>
              <w:rPr>
                <w:rFonts w:hint="default" w:ascii="Times New Roman" w:hAnsi="Times New Roman" w:eastAsia="宋体" w:cs="Times New Roman"/>
                <w:b/>
                <w:bCs/>
                <w:i w:val="0"/>
                <w:iCs w:val="0"/>
                <w:color w:val="000000"/>
                <w:sz w:val="21"/>
                <w:szCs w:val="21"/>
                <w:u w:val="none" w:color="auto"/>
              </w:rPr>
            </w:pPr>
          </w:p>
        </w:tc>
        <w:tc>
          <w:tcPr>
            <w:tcW w:w="864" w:type="dxa"/>
            <w:shd w:val="clear" w:color="auto" w:fill="auto"/>
            <w:vAlign w:val="center"/>
          </w:tcPr>
          <w:p w14:paraId="3386244F">
            <w:pPr>
              <w:jc w:val="right"/>
              <w:rPr>
                <w:rFonts w:hint="default" w:ascii="Times New Roman" w:hAnsi="Times New Roman" w:eastAsia="宋体" w:cs="Times New Roman"/>
                <w:b/>
                <w:bCs/>
                <w:i w:val="0"/>
                <w:iCs w:val="0"/>
                <w:color w:val="000000"/>
                <w:sz w:val="21"/>
                <w:szCs w:val="21"/>
                <w:u w:val="none" w:color="auto"/>
              </w:rPr>
            </w:pPr>
          </w:p>
        </w:tc>
        <w:tc>
          <w:tcPr>
            <w:tcW w:w="800" w:type="dxa"/>
            <w:shd w:val="clear" w:color="auto" w:fill="auto"/>
            <w:vAlign w:val="center"/>
          </w:tcPr>
          <w:p w14:paraId="181DCDA0">
            <w:pPr>
              <w:jc w:val="right"/>
              <w:rPr>
                <w:rFonts w:hint="default" w:ascii="Times New Roman" w:hAnsi="Times New Roman" w:eastAsia="宋体" w:cs="Times New Roman"/>
                <w:b/>
                <w:bCs/>
                <w:i w:val="0"/>
                <w:iCs w:val="0"/>
                <w:color w:val="000000"/>
                <w:sz w:val="21"/>
                <w:szCs w:val="21"/>
                <w:u w:val="none" w:color="auto"/>
              </w:rPr>
            </w:pPr>
          </w:p>
        </w:tc>
        <w:tc>
          <w:tcPr>
            <w:tcW w:w="880" w:type="dxa"/>
            <w:shd w:val="clear" w:color="auto" w:fill="auto"/>
            <w:vAlign w:val="center"/>
          </w:tcPr>
          <w:p w14:paraId="7B7CD9A2">
            <w:pPr>
              <w:jc w:val="right"/>
              <w:rPr>
                <w:rFonts w:hint="default" w:ascii="Times New Roman" w:hAnsi="Times New Roman" w:eastAsia="宋体" w:cs="Times New Roman"/>
                <w:b/>
                <w:bCs/>
                <w:i w:val="0"/>
                <w:iCs w:val="0"/>
                <w:color w:val="000000"/>
                <w:sz w:val="21"/>
                <w:szCs w:val="21"/>
                <w:u w:val="none" w:color="auto"/>
              </w:rPr>
            </w:pPr>
          </w:p>
        </w:tc>
        <w:tc>
          <w:tcPr>
            <w:tcW w:w="1120" w:type="dxa"/>
            <w:shd w:val="clear" w:color="auto" w:fill="auto"/>
            <w:vAlign w:val="center"/>
          </w:tcPr>
          <w:p w14:paraId="2E5277D4">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b/>
                <w:bCs/>
                <w:i w:val="0"/>
                <w:iCs w:val="0"/>
                <w:snapToGrid w:val="0"/>
                <w:color w:val="000000"/>
                <w:kern w:val="0"/>
                <w:sz w:val="22"/>
                <w:szCs w:val="22"/>
                <w:u w:val="none" w:color="auto"/>
                <w:lang w:val="en-US" w:eastAsia="zh-CN" w:bidi="ar"/>
              </w:rPr>
              <w:t>71.98</w:t>
            </w:r>
          </w:p>
        </w:tc>
      </w:tr>
      <w:tr w14:paraId="3EDF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36" w:type="dxa"/>
            <w:shd w:val="clear" w:color="auto" w:fill="auto"/>
            <w:vAlign w:val="center"/>
          </w:tcPr>
          <w:p w14:paraId="5841AEA3">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2050203</w:t>
            </w:r>
          </w:p>
        </w:tc>
        <w:tc>
          <w:tcPr>
            <w:tcW w:w="2240" w:type="dxa"/>
            <w:shd w:val="clear" w:color="auto" w:fill="auto"/>
            <w:vAlign w:val="center"/>
          </w:tcPr>
          <w:p w14:paraId="5F4F1ABA">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初中教育</w:t>
            </w:r>
          </w:p>
        </w:tc>
        <w:tc>
          <w:tcPr>
            <w:tcW w:w="1248" w:type="dxa"/>
            <w:shd w:val="clear" w:color="auto" w:fill="auto"/>
            <w:vAlign w:val="center"/>
          </w:tcPr>
          <w:p w14:paraId="0426A442">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2,527.15</w:t>
            </w:r>
          </w:p>
        </w:tc>
        <w:tc>
          <w:tcPr>
            <w:tcW w:w="1168" w:type="dxa"/>
            <w:shd w:val="clear" w:color="auto" w:fill="auto"/>
            <w:vAlign w:val="center"/>
          </w:tcPr>
          <w:p w14:paraId="4A1E6EAA">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2,455.17</w:t>
            </w:r>
          </w:p>
        </w:tc>
        <w:tc>
          <w:tcPr>
            <w:tcW w:w="976" w:type="dxa"/>
            <w:shd w:val="clear" w:color="auto" w:fill="auto"/>
            <w:vAlign w:val="center"/>
          </w:tcPr>
          <w:p w14:paraId="7BD25190">
            <w:pPr>
              <w:jc w:val="right"/>
              <w:rPr>
                <w:rFonts w:hint="default" w:ascii="Times New Roman" w:hAnsi="Times New Roman" w:eastAsia="宋体" w:cs="Times New Roman"/>
                <w:b/>
                <w:bCs/>
                <w:i w:val="0"/>
                <w:iCs w:val="0"/>
                <w:color w:val="000000"/>
                <w:sz w:val="21"/>
                <w:szCs w:val="21"/>
                <w:u w:val="none" w:color="auto"/>
              </w:rPr>
            </w:pPr>
          </w:p>
        </w:tc>
        <w:tc>
          <w:tcPr>
            <w:tcW w:w="864" w:type="dxa"/>
            <w:shd w:val="clear" w:color="auto" w:fill="auto"/>
            <w:vAlign w:val="center"/>
          </w:tcPr>
          <w:p w14:paraId="739B0EE6">
            <w:pPr>
              <w:jc w:val="right"/>
              <w:rPr>
                <w:rFonts w:hint="default" w:ascii="Times New Roman" w:hAnsi="Times New Roman" w:eastAsia="宋体" w:cs="Times New Roman"/>
                <w:b/>
                <w:bCs/>
                <w:i w:val="0"/>
                <w:iCs w:val="0"/>
                <w:color w:val="000000"/>
                <w:sz w:val="21"/>
                <w:szCs w:val="21"/>
                <w:u w:val="none" w:color="auto"/>
              </w:rPr>
            </w:pPr>
          </w:p>
        </w:tc>
        <w:tc>
          <w:tcPr>
            <w:tcW w:w="800" w:type="dxa"/>
            <w:shd w:val="clear" w:color="auto" w:fill="auto"/>
            <w:vAlign w:val="center"/>
          </w:tcPr>
          <w:p w14:paraId="1BB232EC">
            <w:pPr>
              <w:jc w:val="right"/>
              <w:rPr>
                <w:rFonts w:hint="default" w:ascii="Times New Roman" w:hAnsi="Times New Roman" w:eastAsia="宋体" w:cs="Times New Roman"/>
                <w:b/>
                <w:bCs/>
                <w:i w:val="0"/>
                <w:iCs w:val="0"/>
                <w:color w:val="000000"/>
                <w:sz w:val="21"/>
                <w:szCs w:val="21"/>
                <w:u w:val="none" w:color="auto"/>
              </w:rPr>
            </w:pPr>
          </w:p>
        </w:tc>
        <w:tc>
          <w:tcPr>
            <w:tcW w:w="880" w:type="dxa"/>
            <w:shd w:val="clear" w:color="auto" w:fill="auto"/>
            <w:vAlign w:val="center"/>
          </w:tcPr>
          <w:p w14:paraId="01F0DB9D">
            <w:pPr>
              <w:jc w:val="right"/>
              <w:rPr>
                <w:rFonts w:hint="default" w:ascii="Times New Roman" w:hAnsi="Times New Roman" w:eastAsia="宋体" w:cs="Times New Roman"/>
                <w:b/>
                <w:bCs/>
                <w:i w:val="0"/>
                <w:iCs w:val="0"/>
                <w:color w:val="000000"/>
                <w:sz w:val="21"/>
                <w:szCs w:val="21"/>
                <w:u w:val="none" w:color="auto"/>
              </w:rPr>
            </w:pPr>
          </w:p>
        </w:tc>
        <w:tc>
          <w:tcPr>
            <w:tcW w:w="1120" w:type="dxa"/>
            <w:shd w:val="clear" w:color="auto" w:fill="auto"/>
            <w:vAlign w:val="center"/>
          </w:tcPr>
          <w:p w14:paraId="50EACD93">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71.98</w:t>
            </w:r>
          </w:p>
        </w:tc>
      </w:tr>
      <w:tr w14:paraId="24B5B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136" w:type="dxa"/>
            <w:shd w:val="clear" w:color="auto" w:fill="auto"/>
            <w:vAlign w:val="center"/>
          </w:tcPr>
          <w:p w14:paraId="12CA5499">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2080505</w:t>
            </w:r>
          </w:p>
        </w:tc>
        <w:tc>
          <w:tcPr>
            <w:tcW w:w="2240" w:type="dxa"/>
            <w:shd w:val="clear" w:color="auto" w:fill="auto"/>
            <w:vAlign w:val="center"/>
          </w:tcPr>
          <w:p w14:paraId="1238762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机关事业单位基本养老保险缴费支出</w:t>
            </w:r>
          </w:p>
        </w:tc>
        <w:tc>
          <w:tcPr>
            <w:tcW w:w="1248" w:type="dxa"/>
            <w:shd w:val="clear" w:color="auto" w:fill="auto"/>
            <w:vAlign w:val="center"/>
          </w:tcPr>
          <w:p w14:paraId="4CCD9F71">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180.43</w:t>
            </w:r>
          </w:p>
        </w:tc>
        <w:tc>
          <w:tcPr>
            <w:tcW w:w="1168" w:type="dxa"/>
            <w:shd w:val="clear" w:color="auto" w:fill="auto"/>
            <w:vAlign w:val="center"/>
          </w:tcPr>
          <w:p w14:paraId="25DEB7F2">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180.43</w:t>
            </w:r>
          </w:p>
        </w:tc>
        <w:tc>
          <w:tcPr>
            <w:tcW w:w="976" w:type="dxa"/>
            <w:shd w:val="clear" w:color="auto" w:fill="auto"/>
            <w:vAlign w:val="center"/>
          </w:tcPr>
          <w:p w14:paraId="109351B3">
            <w:pPr>
              <w:jc w:val="right"/>
              <w:rPr>
                <w:rFonts w:hint="default" w:ascii="Times New Roman" w:hAnsi="Times New Roman" w:eastAsia="宋体" w:cs="Times New Roman"/>
                <w:b/>
                <w:bCs/>
                <w:i w:val="0"/>
                <w:iCs w:val="0"/>
                <w:color w:val="000000"/>
                <w:sz w:val="21"/>
                <w:szCs w:val="21"/>
                <w:u w:val="none" w:color="auto"/>
              </w:rPr>
            </w:pPr>
          </w:p>
        </w:tc>
        <w:tc>
          <w:tcPr>
            <w:tcW w:w="864" w:type="dxa"/>
            <w:shd w:val="clear" w:color="auto" w:fill="auto"/>
            <w:vAlign w:val="center"/>
          </w:tcPr>
          <w:p w14:paraId="1A1CF52D">
            <w:pPr>
              <w:jc w:val="right"/>
              <w:rPr>
                <w:rFonts w:hint="default" w:ascii="Times New Roman" w:hAnsi="Times New Roman" w:eastAsia="宋体" w:cs="Times New Roman"/>
                <w:b/>
                <w:bCs/>
                <w:i w:val="0"/>
                <w:iCs w:val="0"/>
                <w:color w:val="000000"/>
                <w:sz w:val="21"/>
                <w:szCs w:val="21"/>
                <w:u w:val="none" w:color="auto"/>
              </w:rPr>
            </w:pPr>
          </w:p>
        </w:tc>
        <w:tc>
          <w:tcPr>
            <w:tcW w:w="800" w:type="dxa"/>
            <w:shd w:val="clear" w:color="auto" w:fill="auto"/>
            <w:vAlign w:val="center"/>
          </w:tcPr>
          <w:p w14:paraId="70682C9D">
            <w:pPr>
              <w:jc w:val="right"/>
              <w:rPr>
                <w:rFonts w:hint="default" w:ascii="Times New Roman" w:hAnsi="Times New Roman" w:eastAsia="宋体" w:cs="Times New Roman"/>
                <w:b/>
                <w:bCs/>
                <w:i w:val="0"/>
                <w:iCs w:val="0"/>
                <w:color w:val="000000"/>
                <w:sz w:val="21"/>
                <w:szCs w:val="21"/>
                <w:u w:val="none" w:color="auto"/>
              </w:rPr>
            </w:pPr>
          </w:p>
        </w:tc>
        <w:tc>
          <w:tcPr>
            <w:tcW w:w="880" w:type="dxa"/>
            <w:shd w:val="clear" w:color="auto" w:fill="auto"/>
            <w:vAlign w:val="center"/>
          </w:tcPr>
          <w:p w14:paraId="07B03240">
            <w:pPr>
              <w:jc w:val="right"/>
              <w:rPr>
                <w:rFonts w:hint="default" w:ascii="Times New Roman" w:hAnsi="Times New Roman" w:eastAsia="宋体" w:cs="Times New Roman"/>
                <w:b/>
                <w:bCs/>
                <w:i w:val="0"/>
                <w:iCs w:val="0"/>
                <w:color w:val="000000"/>
                <w:sz w:val="21"/>
                <w:szCs w:val="21"/>
                <w:u w:val="none" w:color="auto"/>
              </w:rPr>
            </w:pPr>
          </w:p>
        </w:tc>
        <w:tc>
          <w:tcPr>
            <w:tcW w:w="1120" w:type="dxa"/>
            <w:shd w:val="clear" w:color="auto" w:fill="auto"/>
            <w:vAlign w:val="center"/>
          </w:tcPr>
          <w:p w14:paraId="3BE6B65E">
            <w:pPr>
              <w:jc w:val="right"/>
              <w:rPr>
                <w:rFonts w:hint="default" w:ascii="Times New Roman" w:hAnsi="Times New Roman" w:eastAsia="宋体" w:cs="Times New Roman"/>
                <w:b/>
                <w:bCs/>
                <w:i w:val="0"/>
                <w:iCs w:val="0"/>
                <w:color w:val="000000"/>
                <w:sz w:val="21"/>
                <w:szCs w:val="21"/>
                <w:u w:val="none" w:color="auto"/>
              </w:rPr>
            </w:pPr>
          </w:p>
        </w:tc>
      </w:tr>
      <w:tr w14:paraId="686F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1136" w:type="dxa"/>
            <w:shd w:val="clear" w:color="auto" w:fill="auto"/>
            <w:vAlign w:val="center"/>
          </w:tcPr>
          <w:p w14:paraId="518DF10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2080506</w:t>
            </w:r>
          </w:p>
        </w:tc>
        <w:tc>
          <w:tcPr>
            <w:tcW w:w="2240" w:type="dxa"/>
            <w:shd w:val="clear" w:color="auto" w:fill="auto"/>
            <w:vAlign w:val="center"/>
          </w:tcPr>
          <w:p w14:paraId="44BA5835">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机关事业单位职业年金缴费支出</w:t>
            </w:r>
          </w:p>
        </w:tc>
        <w:tc>
          <w:tcPr>
            <w:tcW w:w="1248" w:type="dxa"/>
            <w:shd w:val="clear" w:color="auto" w:fill="auto"/>
            <w:vAlign w:val="center"/>
          </w:tcPr>
          <w:p w14:paraId="213731CC">
            <w:pPr>
              <w:keepNext w:val="0"/>
              <w:keepLines w:val="0"/>
              <w:widowControl/>
              <w:suppressLineNumbers w:val="0"/>
              <w:jc w:val="righ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12.00</w:t>
            </w:r>
          </w:p>
        </w:tc>
        <w:tc>
          <w:tcPr>
            <w:tcW w:w="1168" w:type="dxa"/>
            <w:shd w:val="clear" w:color="auto" w:fill="auto"/>
            <w:vAlign w:val="center"/>
          </w:tcPr>
          <w:p w14:paraId="3C4D2FC5">
            <w:pPr>
              <w:keepNext w:val="0"/>
              <w:keepLines w:val="0"/>
              <w:widowControl/>
              <w:suppressLineNumbers w:val="0"/>
              <w:jc w:val="righ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12.00</w:t>
            </w:r>
          </w:p>
        </w:tc>
        <w:tc>
          <w:tcPr>
            <w:tcW w:w="976" w:type="dxa"/>
            <w:shd w:val="clear" w:color="auto" w:fill="auto"/>
            <w:vAlign w:val="center"/>
          </w:tcPr>
          <w:p w14:paraId="75564C27">
            <w:pPr>
              <w:jc w:val="right"/>
              <w:rPr>
                <w:rFonts w:hint="default" w:ascii="Times New Roman" w:hAnsi="Times New Roman" w:eastAsia="宋体" w:cs="Times New Roman"/>
                <w:i w:val="0"/>
                <w:iCs w:val="0"/>
                <w:color w:val="000000"/>
                <w:sz w:val="21"/>
                <w:szCs w:val="21"/>
                <w:u w:val="none" w:color="auto"/>
              </w:rPr>
            </w:pPr>
          </w:p>
        </w:tc>
        <w:tc>
          <w:tcPr>
            <w:tcW w:w="864" w:type="dxa"/>
            <w:shd w:val="clear" w:color="auto" w:fill="auto"/>
            <w:vAlign w:val="center"/>
          </w:tcPr>
          <w:p w14:paraId="31C01069">
            <w:pPr>
              <w:jc w:val="right"/>
              <w:rPr>
                <w:rFonts w:hint="default" w:ascii="Times New Roman" w:hAnsi="Times New Roman" w:eastAsia="宋体" w:cs="Times New Roman"/>
                <w:i w:val="0"/>
                <w:iCs w:val="0"/>
                <w:color w:val="000000"/>
                <w:sz w:val="21"/>
                <w:szCs w:val="21"/>
                <w:u w:val="none" w:color="auto"/>
              </w:rPr>
            </w:pPr>
          </w:p>
        </w:tc>
        <w:tc>
          <w:tcPr>
            <w:tcW w:w="800" w:type="dxa"/>
            <w:shd w:val="clear" w:color="auto" w:fill="auto"/>
            <w:vAlign w:val="center"/>
          </w:tcPr>
          <w:p w14:paraId="08304E09">
            <w:pPr>
              <w:jc w:val="right"/>
              <w:rPr>
                <w:rFonts w:hint="default" w:ascii="Times New Roman" w:hAnsi="Times New Roman" w:eastAsia="宋体" w:cs="Times New Roman"/>
                <w:i w:val="0"/>
                <w:iCs w:val="0"/>
                <w:color w:val="000000"/>
                <w:sz w:val="21"/>
                <w:szCs w:val="21"/>
                <w:u w:val="none" w:color="auto"/>
              </w:rPr>
            </w:pPr>
          </w:p>
        </w:tc>
        <w:tc>
          <w:tcPr>
            <w:tcW w:w="880" w:type="dxa"/>
            <w:shd w:val="clear" w:color="auto" w:fill="auto"/>
            <w:vAlign w:val="center"/>
          </w:tcPr>
          <w:p w14:paraId="2A0C4FCF">
            <w:pPr>
              <w:jc w:val="right"/>
              <w:rPr>
                <w:rFonts w:hint="default" w:ascii="Times New Roman" w:hAnsi="Times New Roman" w:eastAsia="宋体" w:cs="Times New Roman"/>
                <w:i w:val="0"/>
                <w:iCs w:val="0"/>
                <w:color w:val="000000"/>
                <w:sz w:val="21"/>
                <w:szCs w:val="21"/>
                <w:u w:val="none" w:color="auto"/>
              </w:rPr>
            </w:pPr>
          </w:p>
        </w:tc>
        <w:tc>
          <w:tcPr>
            <w:tcW w:w="1120" w:type="dxa"/>
            <w:shd w:val="clear" w:color="auto" w:fill="auto"/>
            <w:vAlign w:val="center"/>
          </w:tcPr>
          <w:p w14:paraId="15D4486C">
            <w:pPr>
              <w:jc w:val="right"/>
              <w:rPr>
                <w:rFonts w:hint="default" w:ascii="Times New Roman" w:hAnsi="Times New Roman" w:eastAsia="宋体" w:cs="Times New Roman"/>
                <w:i w:val="0"/>
                <w:iCs w:val="0"/>
                <w:color w:val="000000"/>
                <w:sz w:val="21"/>
                <w:szCs w:val="21"/>
                <w:u w:val="none" w:color="auto"/>
              </w:rPr>
            </w:pPr>
          </w:p>
        </w:tc>
      </w:tr>
    </w:tbl>
    <w:p w14:paraId="5BB98984">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注：本表反映部门本年度取得的各项收入情况。</w:t>
      </w:r>
    </w:p>
    <w:p w14:paraId="73E8A594">
      <w:pP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br w:type="page"/>
      </w:r>
    </w:p>
    <w:p w14:paraId="50E1A55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r>
        <w:rPr>
          <w:rFonts w:hint="default" w:ascii="Times New Roman" w:hAnsi="Times New Roman" w:eastAsia="黑体" w:cs="Times New Roman"/>
          <w:spacing w:val="0"/>
          <w:w w:val="100"/>
          <w:position w:val="0"/>
          <w:sz w:val="32"/>
          <w:szCs w:val="32"/>
          <w:u w:val="none" w:color="auto"/>
          <w:lang w:val="en-US" w:eastAsia="zh-CN"/>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lang w:val="en-US" w:eastAsia="zh-CN"/>
        </w:rPr>
        <w:t>年度支出决算表</w:t>
      </w:r>
    </w:p>
    <w:p w14:paraId="2E8CBFBB">
      <w:pPr>
        <w:pStyle w:val="7"/>
        <w:jc w:val="right"/>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公开03表</w:t>
      </w:r>
    </w:p>
    <w:p w14:paraId="5F33ECB0">
      <w:pPr>
        <w:pStyle w:val="7"/>
        <w:ind w:left="0" w:leftChars="0" w:firstLine="0" w:firstLineChars="0"/>
        <w:jc w:val="both"/>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部门：</w:t>
      </w:r>
      <w:r>
        <w:rPr>
          <w:rFonts w:hint="eastAsia" w:ascii="Times New Roman" w:hAnsi="Times New Roman" w:cs="Times New Roman"/>
          <w:bCs/>
          <w:snapToGrid w:val="0"/>
          <w:color w:val="000000"/>
          <w:spacing w:val="0"/>
          <w:w w:val="100"/>
          <w:kern w:val="0"/>
          <w:position w:val="0"/>
          <w:sz w:val="28"/>
          <w:szCs w:val="28"/>
          <w:u w:val="none" w:color="auto"/>
          <w:lang w:val="en-US" w:eastAsia="zh-CN" w:bidi="ar-SA"/>
        </w:rPr>
        <w:t>武汉市光谷第八初级中学</w:t>
      </w: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单位：万元</w:t>
      </w:r>
    </w:p>
    <w:tbl>
      <w:tblPr>
        <w:tblStyle w:val="8"/>
        <w:tblW w:w="10715" w:type="dxa"/>
        <w:tblInd w:w="-9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83"/>
        <w:gridCol w:w="2334"/>
        <w:gridCol w:w="1283"/>
        <w:gridCol w:w="1245"/>
        <w:gridCol w:w="1103"/>
        <w:gridCol w:w="1103"/>
        <w:gridCol w:w="677"/>
        <w:gridCol w:w="1787"/>
      </w:tblGrid>
      <w:tr w14:paraId="4B4C3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9" w:hRule="atLeast"/>
        </w:trPr>
        <w:tc>
          <w:tcPr>
            <w:tcW w:w="3517" w:type="dxa"/>
            <w:gridSpan w:val="2"/>
            <w:shd w:val="clear" w:color="auto" w:fill="auto"/>
            <w:vAlign w:val="center"/>
          </w:tcPr>
          <w:p w14:paraId="14D046B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项目</w:t>
            </w:r>
          </w:p>
        </w:tc>
        <w:tc>
          <w:tcPr>
            <w:tcW w:w="1283" w:type="dxa"/>
            <w:vMerge w:val="restart"/>
            <w:shd w:val="clear" w:color="auto" w:fill="auto"/>
            <w:vAlign w:val="center"/>
          </w:tcPr>
          <w:p w14:paraId="63866A6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本年支出合计</w:t>
            </w:r>
          </w:p>
        </w:tc>
        <w:tc>
          <w:tcPr>
            <w:tcW w:w="1245" w:type="dxa"/>
            <w:vMerge w:val="restart"/>
            <w:shd w:val="clear" w:color="auto" w:fill="auto"/>
            <w:vAlign w:val="center"/>
          </w:tcPr>
          <w:p w14:paraId="58B2447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基本支出</w:t>
            </w:r>
          </w:p>
        </w:tc>
        <w:tc>
          <w:tcPr>
            <w:tcW w:w="1103" w:type="dxa"/>
            <w:vMerge w:val="restart"/>
            <w:shd w:val="clear" w:color="auto" w:fill="auto"/>
            <w:vAlign w:val="center"/>
          </w:tcPr>
          <w:p w14:paraId="0BBA67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项目支出</w:t>
            </w:r>
          </w:p>
        </w:tc>
        <w:tc>
          <w:tcPr>
            <w:tcW w:w="1103" w:type="dxa"/>
            <w:vMerge w:val="restart"/>
            <w:shd w:val="clear" w:color="auto" w:fill="auto"/>
            <w:vAlign w:val="center"/>
          </w:tcPr>
          <w:p w14:paraId="787D998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上缴上级支出</w:t>
            </w:r>
          </w:p>
        </w:tc>
        <w:tc>
          <w:tcPr>
            <w:tcW w:w="677" w:type="dxa"/>
            <w:vMerge w:val="restart"/>
            <w:shd w:val="clear" w:color="auto" w:fill="auto"/>
            <w:vAlign w:val="center"/>
          </w:tcPr>
          <w:p w14:paraId="57E0C7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经营支出</w:t>
            </w:r>
          </w:p>
        </w:tc>
        <w:tc>
          <w:tcPr>
            <w:tcW w:w="1787" w:type="dxa"/>
            <w:vMerge w:val="restart"/>
            <w:shd w:val="clear" w:color="auto" w:fill="auto"/>
            <w:vAlign w:val="center"/>
          </w:tcPr>
          <w:p w14:paraId="2FFA8A0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对附属单位补助支出</w:t>
            </w:r>
          </w:p>
        </w:tc>
      </w:tr>
      <w:tr w14:paraId="50394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83" w:type="dxa"/>
            <w:vMerge w:val="restart"/>
            <w:shd w:val="clear" w:color="auto" w:fill="auto"/>
            <w:vAlign w:val="center"/>
          </w:tcPr>
          <w:p w14:paraId="4BF3BB3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科目代码</w:t>
            </w:r>
          </w:p>
        </w:tc>
        <w:tc>
          <w:tcPr>
            <w:tcW w:w="2334" w:type="dxa"/>
            <w:vMerge w:val="restart"/>
            <w:shd w:val="clear" w:color="auto" w:fill="auto"/>
            <w:vAlign w:val="center"/>
          </w:tcPr>
          <w:p w14:paraId="5B45A22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科目名称</w:t>
            </w:r>
          </w:p>
        </w:tc>
        <w:tc>
          <w:tcPr>
            <w:tcW w:w="1283" w:type="dxa"/>
            <w:vMerge w:val="continue"/>
            <w:shd w:val="clear" w:color="auto" w:fill="auto"/>
            <w:vAlign w:val="center"/>
          </w:tcPr>
          <w:p w14:paraId="74728989">
            <w:pPr>
              <w:jc w:val="center"/>
              <w:rPr>
                <w:rFonts w:hint="default" w:ascii="Times New Roman" w:hAnsi="Times New Roman" w:eastAsia="宋体" w:cs="Times New Roman"/>
                <w:i w:val="0"/>
                <w:iCs w:val="0"/>
                <w:color w:val="000000"/>
                <w:sz w:val="21"/>
                <w:szCs w:val="21"/>
                <w:u w:val="none" w:color="auto"/>
              </w:rPr>
            </w:pPr>
          </w:p>
        </w:tc>
        <w:tc>
          <w:tcPr>
            <w:tcW w:w="1245" w:type="dxa"/>
            <w:vMerge w:val="continue"/>
            <w:shd w:val="clear" w:color="auto" w:fill="auto"/>
            <w:vAlign w:val="center"/>
          </w:tcPr>
          <w:p w14:paraId="6582D6BB">
            <w:pPr>
              <w:jc w:val="center"/>
              <w:rPr>
                <w:rFonts w:hint="default" w:ascii="Times New Roman" w:hAnsi="Times New Roman" w:eastAsia="宋体" w:cs="Times New Roman"/>
                <w:i w:val="0"/>
                <w:iCs w:val="0"/>
                <w:color w:val="000000"/>
                <w:sz w:val="21"/>
                <w:szCs w:val="21"/>
                <w:u w:val="none" w:color="auto"/>
              </w:rPr>
            </w:pPr>
          </w:p>
        </w:tc>
        <w:tc>
          <w:tcPr>
            <w:tcW w:w="1103" w:type="dxa"/>
            <w:vMerge w:val="continue"/>
            <w:shd w:val="clear" w:color="auto" w:fill="auto"/>
            <w:vAlign w:val="center"/>
          </w:tcPr>
          <w:p w14:paraId="01BE4FAF">
            <w:pPr>
              <w:jc w:val="center"/>
              <w:rPr>
                <w:rFonts w:hint="default" w:ascii="Times New Roman" w:hAnsi="Times New Roman" w:eastAsia="宋体" w:cs="Times New Roman"/>
                <w:i w:val="0"/>
                <w:iCs w:val="0"/>
                <w:color w:val="000000"/>
                <w:sz w:val="21"/>
                <w:szCs w:val="21"/>
                <w:u w:val="none" w:color="auto"/>
              </w:rPr>
            </w:pPr>
          </w:p>
        </w:tc>
        <w:tc>
          <w:tcPr>
            <w:tcW w:w="1103" w:type="dxa"/>
            <w:vMerge w:val="continue"/>
            <w:shd w:val="clear" w:color="auto" w:fill="auto"/>
            <w:vAlign w:val="center"/>
          </w:tcPr>
          <w:p w14:paraId="384E668F">
            <w:pPr>
              <w:jc w:val="center"/>
              <w:rPr>
                <w:rFonts w:hint="default" w:ascii="Times New Roman" w:hAnsi="Times New Roman" w:eastAsia="宋体" w:cs="Times New Roman"/>
                <w:i w:val="0"/>
                <w:iCs w:val="0"/>
                <w:color w:val="000000"/>
                <w:sz w:val="21"/>
                <w:szCs w:val="21"/>
                <w:u w:val="none" w:color="auto"/>
              </w:rPr>
            </w:pPr>
          </w:p>
        </w:tc>
        <w:tc>
          <w:tcPr>
            <w:tcW w:w="677" w:type="dxa"/>
            <w:vMerge w:val="continue"/>
            <w:shd w:val="clear" w:color="auto" w:fill="auto"/>
            <w:vAlign w:val="center"/>
          </w:tcPr>
          <w:p w14:paraId="7261183A">
            <w:pPr>
              <w:jc w:val="center"/>
              <w:rPr>
                <w:rFonts w:hint="default" w:ascii="Times New Roman" w:hAnsi="Times New Roman" w:eastAsia="宋体" w:cs="Times New Roman"/>
                <w:i w:val="0"/>
                <w:iCs w:val="0"/>
                <w:color w:val="000000"/>
                <w:sz w:val="21"/>
                <w:szCs w:val="21"/>
                <w:u w:val="none" w:color="auto"/>
              </w:rPr>
            </w:pPr>
          </w:p>
        </w:tc>
        <w:tc>
          <w:tcPr>
            <w:tcW w:w="1787" w:type="dxa"/>
            <w:vMerge w:val="continue"/>
            <w:shd w:val="clear" w:color="auto" w:fill="auto"/>
            <w:vAlign w:val="center"/>
          </w:tcPr>
          <w:p w14:paraId="3432860B">
            <w:pPr>
              <w:jc w:val="center"/>
              <w:rPr>
                <w:rFonts w:hint="default" w:ascii="Times New Roman" w:hAnsi="Times New Roman" w:eastAsia="宋体" w:cs="Times New Roman"/>
                <w:i w:val="0"/>
                <w:iCs w:val="0"/>
                <w:color w:val="000000"/>
                <w:sz w:val="21"/>
                <w:szCs w:val="21"/>
                <w:u w:val="none" w:color="auto"/>
              </w:rPr>
            </w:pPr>
          </w:p>
        </w:tc>
      </w:tr>
      <w:tr w14:paraId="69EC2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183" w:type="dxa"/>
            <w:vMerge w:val="continue"/>
            <w:shd w:val="clear" w:color="auto" w:fill="auto"/>
            <w:vAlign w:val="center"/>
          </w:tcPr>
          <w:p w14:paraId="0B773F63">
            <w:pPr>
              <w:jc w:val="center"/>
              <w:rPr>
                <w:rFonts w:hint="default" w:ascii="Times New Roman" w:hAnsi="Times New Roman" w:eastAsia="宋体" w:cs="Times New Roman"/>
                <w:i w:val="0"/>
                <w:iCs w:val="0"/>
                <w:color w:val="000000"/>
                <w:sz w:val="21"/>
                <w:szCs w:val="21"/>
                <w:u w:val="none" w:color="auto"/>
              </w:rPr>
            </w:pPr>
          </w:p>
        </w:tc>
        <w:tc>
          <w:tcPr>
            <w:tcW w:w="2334" w:type="dxa"/>
            <w:vMerge w:val="continue"/>
            <w:shd w:val="clear" w:color="auto" w:fill="auto"/>
            <w:vAlign w:val="center"/>
          </w:tcPr>
          <w:p w14:paraId="5BB329E1">
            <w:pPr>
              <w:jc w:val="center"/>
              <w:rPr>
                <w:rFonts w:hint="default" w:ascii="Times New Roman" w:hAnsi="Times New Roman" w:eastAsia="宋体" w:cs="Times New Roman"/>
                <w:i w:val="0"/>
                <w:iCs w:val="0"/>
                <w:color w:val="000000"/>
                <w:sz w:val="21"/>
                <w:szCs w:val="21"/>
                <w:u w:val="none" w:color="auto"/>
              </w:rPr>
            </w:pPr>
          </w:p>
        </w:tc>
        <w:tc>
          <w:tcPr>
            <w:tcW w:w="1283" w:type="dxa"/>
            <w:vMerge w:val="continue"/>
            <w:shd w:val="clear" w:color="auto" w:fill="auto"/>
            <w:vAlign w:val="center"/>
          </w:tcPr>
          <w:p w14:paraId="56B979CA">
            <w:pPr>
              <w:jc w:val="center"/>
              <w:rPr>
                <w:rFonts w:hint="default" w:ascii="Times New Roman" w:hAnsi="Times New Roman" w:eastAsia="宋体" w:cs="Times New Roman"/>
                <w:i w:val="0"/>
                <w:iCs w:val="0"/>
                <w:color w:val="000000"/>
                <w:sz w:val="21"/>
                <w:szCs w:val="21"/>
                <w:u w:val="none" w:color="auto"/>
              </w:rPr>
            </w:pPr>
          </w:p>
        </w:tc>
        <w:tc>
          <w:tcPr>
            <w:tcW w:w="1245" w:type="dxa"/>
            <w:vMerge w:val="continue"/>
            <w:shd w:val="clear" w:color="auto" w:fill="auto"/>
            <w:vAlign w:val="center"/>
          </w:tcPr>
          <w:p w14:paraId="68486639">
            <w:pPr>
              <w:jc w:val="center"/>
              <w:rPr>
                <w:rFonts w:hint="default" w:ascii="Times New Roman" w:hAnsi="Times New Roman" w:eastAsia="宋体" w:cs="Times New Roman"/>
                <w:i w:val="0"/>
                <w:iCs w:val="0"/>
                <w:color w:val="000000"/>
                <w:sz w:val="21"/>
                <w:szCs w:val="21"/>
                <w:u w:val="none" w:color="auto"/>
              </w:rPr>
            </w:pPr>
          </w:p>
        </w:tc>
        <w:tc>
          <w:tcPr>
            <w:tcW w:w="1103" w:type="dxa"/>
            <w:vMerge w:val="continue"/>
            <w:shd w:val="clear" w:color="auto" w:fill="auto"/>
            <w:vAlign w:val="center"/>
          </w:tcPr>
          <w:p w14:paraId="382259C3">
            <w:pPr>
              <w:jc w:val="center"/>
              <w:rPr>
                <w:rFonts w:hint="default" w:ascii="Times New Roman" w:hAnsi="Times New Roman" w:eastAsia="宋体" w:cs="Times New Roman"/>
                <w:i w:val="0"/>
                <w:iCs w:val="0"/>
                <w:color w:val="000000"/>
                <w:sz w:val="21"/>
                <w:szCs w:val="21"/>
                <w:u w:val="none" w:color="auto"/>
              </w:rPr>
            </w:pPr>
          </w:p>
        </w:tc>
        <w:tc>
          <w:tcPr>
            <w:tcW w:w="1103" w:type="dxa"/>
            <w:vMerge w:val="continue"/>
            <w:shd w:val="clear" w:color="auto" w:fill="auto"/>
            <w:vAlign w:val="center"/>
          </w:tcPr>
          <w:p w14:paraId="6CB2CE9B">
            <w:pPr>
              <w:jc w:val="center"/>
              <w:rPr>
                <w:rFonts w:hint="default" w:ascii="Times New Roman" w:hAnsi="Times New Roman" w:eastAsia="宋体" w:cs="Times New Roman"/>
                <w:i w:val="0"/>
                <w:iCs w:val="0"/>
                <w:color w:val="000000"/>
                <w:sz w:val="21"/>
                <w:szCs w:val="21"/>
                <w:u w:val="none" w:color="auto"/>
              </w:rPr>
            </w:pPr>
          </w:p>
        </w:tc>
        <w:tc>
          <w:tcPr>
            <w:tcW w:w="677" w:type="dxa"/>
            <w:vMerge w:val="continue"/>
            <w:shd w:val="clear" w:color="auto" w:fill="auto"/>
            <w:vAlign w:val="center"/>
          </w:tcPr>
          <w:p w14:paraId="18780797">
            <w:pPr>
              <w:jc w:val="center"/>
              <w:rPr>
                <w:rFonts w:hint="default" w:ascii="Times New Roman" w:hAnsi="Times New Roman" w:eastAsia="宋体" w:cs="Times New Roman"/>
                <w:i w:val="0"/>
                <w:iCs w:val="0"/>
                <w:color w:val="000000"/>
                <w:sz w:val="21"/>
                <w:szCs w:val="21"/>
                <w:u w:val="none" w:color="auto"/>
              </w:rPr>
            </w:pPr>
          </w:p>
        </w:tc>
        <w:tc>
          <w:tcPr>
            <w:tcW w:w="1787" w:type="dxa"/>
            <w:vMerge w:val="continue"/>
            <w:shd w:val="clear" w:color="auto" w:fill="auto"/>
            <w:vAlign w:val="center"/>
          </w:tcPr>
          <w:p w14:paraId="42CA660E">
            <w:pPr>
              <w:jc w:val="center"/>
              <w:rPr>
                <w:rFonts w:hint="default" w:ascii="Times New Roman" w:hAnsi="Times New Roman" w:eastAsia="宋体" w:cs="Times New Roman"/>
                <w:i w:val="0"/>
                <w:iCs w:val="0"/>
                <w:color w:val="000000"/>
                <w:sz w:val="21"/>
                <w:szCs w:val="21"/>
                <w:u w:val="none" w:color="auto"/>
              </w:rPr>
            </w:pPr>
          </w:p>
        </w:tc>
      </w:tr>
      <w:tr w14:paraId="7A9CC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183" w:type="dxa"/>
            <w:vMerge w:val="continue"/>
            <w:shd w:val="clear" w:color="auto" w:fill="auto"/>
            <w:vAlign w:val="center"/>
          </w:tcPr>
          <w:p w14:paraId="24F4E79F">
            <w:pPr>
              <w:jc w:val="center"/>
              <w:rPr>
                <w:rFonts w:hint="default" w:ascii="Times New Roman" w:hAnsi="Times New Roman" w:eastAsia="宋体" w:cs="Times New Roman"/>
                <w:i w:val="0"/>
                <w:iCs w:val="0"/>
                <w:color w:val="000000"/>
                <w:sz w:val="21"/>
                <w:szCs w:val="21"/>
                <w:u w:val="none" w:color="auto"/>
              </w:rPr>
            </w:pPr>
          </w:p>
        </w:tc>
        <w:tc>
          <w:tcPr>
            <w:tcW w:w="2334" w:type="dxa"/>
            <w:vMerge w:val="continue"/>
            <w:shd w:val="clear" w:color="auto" w:fill="auto"/>
            <w:vAlign w:val="center"/>
          </w:tcPr>
          <w:p w14:paraId="4FE71F8D">
            <w:pPr>
              <w:jc w:val="center"/>
              <w:rPr>
                <w:rFonts w:hint="default" w:ascii="Times New Roman" w:hAnsi="Times New Roman" w:eastAsia="宋体" w:cs="Times New Roman"/>
                <w:i w:val="0"/>
                <w:iCs w:val="0"/>
                <w:color w:val="000000"/>
                <w:sz w:val="21"/>
                <w:szCs w:val="21"/>
                <w:u w:val="none" w:color="auto"/>
              </w:rPr>
            </w:pPr>
          </w:p>
        </w:tc>
        <w:tc>
          <w:tcPr>
            <w:tcW w:w="1283" w:type="dxa"/>
            <w:vMerge w:val="continue"/>
            <w:shd w:val="clear" w:color="auto" w:fill="auto"/>
            <w:vAlign w:val="center"/>
          </w:tcPr>
          <w:p w14:paraId="78412331">
            <w:pPr>
              <w:jc w:val="center"/>
              <w:rPr>
                <w:rFonts w:hint="default" w:ascii="Times New Roman" w:hAnsi="Times New Roman" w:eastAsia="宋体" w:cs="Times New Roman"/>
                <w:i w:val="0"/>
                <w:iCs w:val="0"/>
                <w:color w:val="000000"/>
                <w:sz w:val="21"/>
                <w:szCs w:val="21"/>
                <w:u w:val="none" w:color="auto"/>
              </w:rPr>
            </w:pPr>
          </w:p>
        </w:tc>
        <w:tc>
          <w:tcPr>
            <w:tcW w:w="1245" w:type="dxa"/>
            <w:vMerge w:val="continue"/>
            <w:shd w:val="clear" w:color="auto" w:fill="auto"/>
            <w:vAlign w:val="center"/>
          </w:tcPr>
          <w:p w14:paraId="22F12C1E">
            <w:pPr>
              <w:jc w:val="center"/>
              <w:rPr>
                <w:rFonts w:hint="default" w:ascii="Times New Roman" w:hAnsi="Times New Roman" w:eastAsia="宋体" w:cs="Times New Roman"/>
                <w:i w:val="0"/>
                <w:iCs w:val="0"/>
                <w:color w:val="000000"/>
                <w:sz w:val="21"/>
                <w:szCs w:val="21"/>
                <w:u w:val="none" w:color="auto"/>
              </w:rPr>
            </w:pPr>
          </w:p>
        </w:tc>
        <w:tc>
          <w:tcPr>
            <w:tcW w:w="1103" w:type="dxa"/>
            <w:vMerge w:val="continue"/>
            <w:shd w:val="clear" w:color="auto" w:fill="auto"/>
            <w:vAlign w:val="center"/>
          </w:tcPr>
          <w:p w14:paraId="49DC9356">
            <w:pPr>
              <w:jc w:val="center"/>
              <w:rPr>
                <w:rFonts w:hint="default" w:ascii="Times New Roman" w:hAnsi="Times New Roman" w:eastAsia="宋体" w:cs="Times New Roman"/>
                <w:i w:val="0"/>
                <w:iCs w:val="0"/>
                <w:color w:val="000000"/>
                <w:sz w:val="21"/>
                <w:szCs w:val="21"/>
                <w:u w:val="none" w:color="auto"/>
              </w:rPr>
            </w:pPr>
          </w:p>
        </w:tc>
        <w:tc>
          <w:tcPr>
            <w:tcW w:w="1103" w:type="dxa"/>
            <w:vMerge w:val="continue"/>
            <w:shd w:val="clear" w:color="auto" w:fill="auto"/>
            <w:vAlign w:val="center"/>
          </w:tcPr>
          <w:p w14:paraId="48C0B5EC">
            <w:pPr>
              <w:jc w:val="center"/>
              <w:rPr>
                <w:rFonts w:hint="default" w:ascii="Times New Roman" w:hAnsi="Times New Roman" w:eastAsia="宋体" w:cs="Times New Roman"/>
                <w:i w:val="0"/>
                <w:iCs w:val="0"/>
                <w:color w:val="000000"/>
                <w:sz w:val="21"/>
                <w:szCs w:val="21"/>
                <w:u w:val="none" w:color="auto"/>
              </w:rPr>
            </w:pPr>
          </w:p>
        </w:tc>
        <w:tc>
          <w:tcPr>
            <w:tcW w:w="677" w:type="dxa"/>
            <w:vMerge w:val="continue"/>
            <w:shd w:val="clear" w:color="auto" w:fill="auto"/>
            <w:vAlign w:val="center"/>
          </w:tcPr>
          <w:p w14:paraId="519CD57B">
            <w:pPr>
              <w:jc w:val="center"/>
              <w:rPr>
                <w:rFonts w:hint="default" w:ascii="Times New Roman" w:hAnsi="Times New Roman" w:eastAsia="宋体" w:cs="Times New Roman"/>
                <w:i w:val="0"/>
                <w:iCs w:val="0"/>
                <w:color w:val="000000"/>
                <w:sz w:val="21"/>
                <w:szCs w:val="21"/>
                <w:u w:val="none" w:color="auto"/>
              </w:rPr>
            </w:pPr>
          </w:p>
        </w:tc>
        <w:tc>
          <w:tcPr>
            <w:tcW w:w="1787" w:type="dxa"/>
            <w:vMerge w:val="continue"/>
            <w:shd w:val="clear" w:color="auto" w:fill="auto"/>
            <w:vAlign w:val="center"/>
          </w:tcPr>
          <w:p w14:paraId="28A181D4">
            <w:pPr>
              <w:jc w:val="center"/>
              <w:rPr>
                <w:rFonts w:hint="default" w:ascii="Times New Roman" w:hAnsi="Times New Roman" w:eastAsia="宋体" w:cs="Times New Roman"/>
                <w:i w:val="0"/>
                <w:iCs w:val="0"/>
                <w:color w:val="000000"/>
                <w:sz w:val="21"/>
                <w:szCs w:val="21"/>
                <w:u w:val="none" w:color="auto"/>
              </w:rPr>
            </w:pPr>
          </w:p>
        </w:tc>
      </w:tr>
      <w:tr w14:paraId="7A3A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3517" w:type="dxa"/>
            <w:gridSpan w:val="2"/>
            <w:shd w:val="clear" w:color="auto" w:fill="auto"/>
            <w:vAlign w:val="center"/>
          </w:tcPr>
          <w:p w14:paraId="2AA7D24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栏次</w:t>
            </w:r>
          </w:p>
        </w:tc>
        <w:tc>
          <w:tcPr>
            <w:tcW w:w="1283" w:type="dxa"/>
            <w:shd w:val="clear" w:color="auto" w:fill="auto"/>
            <w:vAlign w:val="center"/>
          </w:tcPr>
          <w:p w14:paraId="67420A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w:t>
            </w:r>
          </w:p>
        </w:tc>
        <w:tc>
          <w:tcPr>
            <w:tcW w:w="1245" w:type="dxa"/>
            <w:shd w:val="clear" w:color="auto" w:fill="auto"/>
            <w:vAlign w:val="center"/>
          </w:tcPr>
          <w:p w14:paraId="67D5FE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w:t>
            </w:r>
          </w:p>
        </w:tc>
        <w:tc>
          <w:tcPr>
            <w:tcW w:w="1103" w:type="dxa"/>
            <w:shd w:val="clear" w:color="auto" w:fill="auto"/>
            <w:vAlign w:val="center"/>
          </w:tcPr>
          <w:p w14:paraId="1097B44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3</w:t>
            </w:r>
          </w:p>
        </w:tc>
        <w:tc>
          <w:tcPr>
            <w:tcW w:w="1103" w:type="dxa"/>
            <w:shd w:val="clear" w:color="auto" w:fill="auto"/>
            <w:vAlign w:val="center"/>
          </w:tcPr>
          <w:p w14:paraId="4A221C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4</w:t>
            </w:r>
          </w:p>
        </w:tc>
        <w:tc>
          <w:tcPr>
            <w:tcW w:w="677" w:type="dxa"/>
            <w:shd w:val="clear" w:color="auto" w:fill="auto"/>
            <w:vAlign w:val="center"/>
          </w:tcPr>
          <w:p w14:paraId="41B712E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5</w:t>
            </w:r>
          </w:p>
        </w:tc>
        <w:tc>
          <w:tcPr>
            <w:tcW w:w="1787" w:type="dxa"/>
            <w:shd w:val="clear" w:color="auto" w:fill="auto"/>
            <w:vAlign w:val="center"/>
          </w:tcPr>
          <w:p w14:paraId="25C6E7A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6</w:t>
            </w:r>
          </w:p>
        </w:tc>
      </w:tr>
      <w:tr w14:paraId="0C05A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3517" w:type="dxa"/>
            <w:gridSpan w:val="2"/>
            <w:shd w:val="clear" w:color="auto" w:fill="auto"/>
            <w:vAlign w:val="center"/>
          </w:tcPr>
          <w:p w14:paraId="050ABC6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合计</w:t>
            </w:r>
          </w:p>
        </w:tc>
        <w:tc>
          <w:tcPr>
            <w:tcW w:w="1283" w:type="dxa"/>
            <w:shd w:val="clear" w:color="auto" w:fill="auto"/>
            <w:vAlign w:val="center"/>
          </w:tcPr>
          <w:p w14:paraId="560BF5BB">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b/>
                <w:bCs/>
                <w:i w:val="0"/>
                <w:iCs w:val="0"/>
                <w:snapToGrid w:val="0"/>
                <w:color w:val="000000"/>
                <w:kern w:val="0"/>
                <w:sz w:val="22"/>
                <w:szCs w:val="22"/>
                <w:u w:val="none" w:color="auto"/>
                <w:lang w:val="en-US" w:eastAsia="zh-CN" w:bidi="ar"/>
              </w:rPr>
              <w:t>2,742.94</w:t>
            </w:r>
          </w:p>
        </w:tc>
        <w:tc>
          <w:tcPr>
            <w:tcW w:w="1245" w:type="dxa"/>
            <w:shd w:val="clear" w:color="auto" w:fill="auto"/>
            <w:vAlign w:val="center"/>
          </w:tcPr>
          <w:p w14:paraId="55ED9774">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b/>
                <w:bCs/>
                <w:i w:val="0"/>
                <w:iCs w:val="0"/>
                <w:snapToGrid w:val="0"/>
                <w:color w:val="000000"/>
                <w:kern w:val="0"/>
                <w:sz w:val="22"/>
                <w:szCs w:val="22"/>
                <w:u w:val="none" w:color="auto"/>
                <w:lang w:val="en-US" w:eastAsia="zh-CN" w:bidi="ar"/>
              </w:rPr>
              <w:t>2,665.88</w:t>
            </w:r>
          </w:p>
        </w:tc>
        <w:tc>
          <w:tcPr>
            <w:tcW w:w="1103" w:type="dxa"/>
            <w:shd w:val="clear" w:color="auto" w:fill="auto"/>
            <w:vAlign w:val="center"/>
          </w:tcPr>
          <w:p w14:paraId="7D9F568F">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b/>
                <w:bCs/>
                <w:i w:val="0"/>
                <w:iCs w:val="0"/>
                <w:snapToGrid w:val="0"/>
                <w:color w:val="000000"/>
                <w:kern w:val="0"/>
                <w:sz w:val="22"/>
                <w:szCs w:val="22"/>
                <w:u w:val="none" w:color="auto"/>
                <w:lang w:val="en-US" w:eastAsia="zh-CN" w:bidi="ar"/>
              </w:rPr>
              <w:t>77.06</w:t>
            </w:r>
          </w:p>
        </w:tc>
        <w:tc>
          <w:tcPr>
            <w:tcW w:w="1103" w:type="dxa"/>
            <w:shd w:val="clear" w:color="auto" w:fill="auto"/>
            <w:vAlign w:val="center"/>
          </w:tcPr>
          <w:p w14:paraId="42641025">
            <w:pPr>
              <w:jc w:val="right"/>
              <w:rPr>
                <w:rFonts w:hint="default" w:ascii="Times New Roman" w:hAnsi="Times New Roman" w:eastAsia="宋体" w:cs="Times New Roman"/>
                <w:b/>
                <w:bCs/>
                <w:i w:val="0"/>
                <w:iCs w:val="0"/>
                <w:color w:val="000000"/>
                <w:sz w:val="21"/>
                <w:szCs w:val="21"/>
                <w:u w:val="none" w:color="auto"/>
              </w:rPr>
            </w:pPr>
          </w:p>
        </w:tc>
        <w:tc>
          <w:tcPr>
            <w:tcW w:w="677" w:type="dxa"/>
            <w:shd w:val="clear" w:color="auto" w:fill="auto"/>
            <w:vAlign w:val="center"/>
          </w:tcPr>
          <w:p w14:paraId="3E78BE77">
            <w:pPr>
              <w:jc w:val="right"/>
              <w:rPr>
                <w:rFonts w:hint="default" w:ascii="Times New Roman" w:hAnsi="Times New Roman" w:eastAsia="宋体" w:cs="Times New Roman"/>
                <w:b/>
                <w:bCs/>
                <w:i w:val="0"/>
                <w:iCs w:val="0"/>
                <w:color w:val="000000"/>
                <w:sz w:val="21"/>
                <w:szCs w:val="21"/>
                <w:u w:val="none" w:color="auto"/>
              </w:rPr>
            </w:pPr>
          </w:p>
        </w:tc>
        <w:tc>
          <w:tcPr>
            <w:tcW w:w="1787" w:type="dxa"/>
            <w:shd w:val="clear" w:color="auto" w:fill="auto"/>
            <w:vAlign w:val="center"/>
          </w:tcPr>
          <w:p w14:paraId="40ACA916">
            <w:pPr>
              <w:jc w:val="right"/>
              <w:rPr>
                <w:rFonts w:hint="default" w:ascii="Times New Roman" w:hAnsi="Times New Roman" w:eastAsia="宋体" w:cs="Times New Roman"/>
                <w:b/>
                <w:bCs/>
                <w:i w:val="0"/>
                <w:iCs w:val="0"/>
                <w:color w:val="000000"/>
                <w:sz w:val="21"/>
                <w:szCs w:val="21"/>
                <w:u w:val="none" w:color="auto"/>
              </w:rPr>
            </w:pPr>
          </w:p>
        </w:tc>
      </w:tr>
      <w:tr w14:paraId="73AB3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3" w:type="dxa"/>
            <w:shd w:val="clear" w:color="auto" w:fill="auto"/>
            <w:vAlign w:val="center"/>
          </w:tcPr>
          <w:p w14:paraId="684C5BEB">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2050203</w:t>
            </w:r>
          </w:p>
        </w:tc>
        <w:tc>
          <w:tcPr>
            <w:tcW w:w="2334" w:type="dxa"/>
            <w:shd w:val="clear" w:color="auto" w:fill="auto"/>
            <w:vAlign w:val="center"/>
          </w:tcPr>
          <w:p w14:paraId="3640FE99">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初中教育</w:t>
            </w:r>
          </w:p>
        </w:tc>
        <w:tc>
          <w:tcPr>
            <w:tcW w:w="1283" w:type="dxa"/>
            <w:shd w:val="clear" w:color="auto" w:fill="auto"/>
            <w:vAlign w:val="center"/>
          </w:tcPr>
          <w:p w14:paraId="0034D47D">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2,550.51</w:t>
            </w:r>
          </w:p>
        </w:tc>
        <w:tc>
          <w:tcPr>
            <w:tcW w:w="1245" w:type="dxa"/>
            <w:shd w:val="clear" w:color="auto" w:fill="auto"/>
            <w:vAlign w:val="center"/>
          </w:tcPr>
          <w:p w14:paraId="688C8804">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2,473.45</w:t>
            </w:r>
          </w:p>
        </w:tc>
        <w:tc>
          <w:tcPr>
            <w:tcW w:w="1103" w:type="dxa"/>
            <w:shd w:val="clear" w:color="auto" w:fill="auto"/>
            <w:vAlign w:val="center"/>
          </w:tcPr>
          <w:p w14:paraId="5E8EB130">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77.06</w:t>
            </w:r>
          </w:p>
        </w:tc>
        <w:tc>
          <w:tcPr>
            <w:tcW w:w="1103" w:type="dxa"/>
            <w:shd w:val="clear" w:color="auto" w:fill="auto"/>
            <w:vAlign w:val="center"/>
          </w:tcPr>
          <w:p w14:paraId="48C4A12E">
            <w:pPr>
              <w:jc w:val="right"/>
              <w:rPr>
                <w:rFonts w:hint="default" w:ascii="Times New Roman" w:hAnsi="Times New Roman" w:eastAsia="宋体" w:cs="Times New Roman"/>
                <w:b/>
                <w:bCs/>
                <w:i w:val="0"/>
                <w:iCs w:val="0"/>
                <w:color w:val="000000"/>
                <w:sz w:val="21"/>
                <w:szCs w:val="21"/>
                <w:u w:val="none" w:color="auto"/>
              </w:rPr>
            </w:pPr>
          </w:p>
        </w:tc>
        <w:tc>
          <w:tcPr>
            <w:tcW w:w="677" w:type="dxa"/>
            <w:shd w:val="clear" w:color="auto" w:fill="auto"/>
            <w:vAlign w:val="center"/>
          </w:tcPr>
          <w:p w14:paraId="4DE30007">
            <w:pPr>
              <w:jc w:val="right"/>
              <w:rPr>
                <w:rFonts w:hint="default" w:ascii="Times New Roman" w:hAnsi="Times New Roman" w:eastAsia="宋体" w:cs="Times New Roman"/>
                <w:b/>
                <w:bCs/>
                <w:i w:val="0"/>
                <w:iCs w:val="0"/>
                <w:color w:val="000000"/>
                <w:sz w:val="21"/>
                <w:szCs w:val="21"/>
                <w:u w:val="none" w:color="auto"/>
              </w:rPr>
            </w:pPr>
          </w:p>
        </w:tc>
        <w:tc>
          <w:tcPr>
            <w:tcW w:w="1787" w:type="dxa"/>
            <w:shd w:val="clear" w:color="auto" w:fill="auto"/>
            <w:vAlign w:val="center"/>
          </w:tcPr>
          <w:p w14:paraId="19791638">
            <w:pPr>
              <w:jc w:val="right"/>
              <w:rPr>
                <w:rFonts w:hint="default" w:ascii="Times New Roman" w:hAnsi="Times New Roman" w:eastAsia="宋体" w:cs="Times New Roman"/>
                <w:b/>
                <w:bCs/>
                <w:i w:val="0"/>
                <w:iCs w:val="0"/>
                <w:color w:val="000000"/>
                <w:sz w:val="21"/>
                <w:szCs w:val="21"/>
                <w:u w:val="none" w:color="auto"/>
              </w:rPr>
            </w:pPr>
          </w:p>
        </w:tc>
      </w:tr>
      <w:tr w14:paraId="0B28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3" w:type="dxa"/>
            <w:shd w:val="clear" w:color="auto" w:fill="auto"/>
            <w:vAlign w:val="center"/>
          </w:tcPr>
          <w:p w14:paraId="4A4B5A0B">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2080505</w:t>
            </w:r>
          </w:p>
        </w:tc>
        <w:tc>
          <w:tcPr>
            <w:tcW w:w="2334" w:type="dxa"/>
            <w:shd w:val="clear" w:color="auto" w:fill="auto"/>
            <w:vAlign w:val="center"/>
          </w:tcPr>
          <w:p w14:paraId="0EF853B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机关事业单位基本养老保险缴费支出</w:t>
            </w:r>
          </w:p>
        </w:tc>
        <w:tc>
          <w:tcPr>
            <w:tcW w:w="1283" w:type="dxa"/>
            <w:shd w:val="clear" w:color="auto" w:fill="auto"/>
            <w:vAlign w:val="center"/>
          </w:tcPr>
          <w:p w14:paraId="0B2AA42B">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180.43</w:t>
            </w:r>
          </w:p>
        </w:tc>
        <w:tc>
          <w:tcPr>
            <w:tcW w:w="1245" w:type="dxa"/>
            <w:shd w:val="clear" w:color="auto" w:fill="auto"/>
            <w:vAlign w:val="center"/>
          </w:tcPr>
          <w:p w14:paraId="5FB635FB">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180.43</w:t>
            </w:r>
          </w:p>
        </w:tc>
        <w:tc>
          <w:tcPr>
            <w:tcW w:w="1103" w:type="dxa"/>
            <w:shd w:val="clear" w:color="auto" w:fill="auto"/>
            <w:vAlign w:val="center"/>
          </w:tcPr>
          <w:p w14:paraId="7CDE31F7">
            <w:pPr>
              <w:jc w:val="right"/>
              <w:rPr>
                <w:rFonts w:hint="default" w:ascii="Times New Roman" w:hAnsi="Times New Roman" w:eastAsia="宋体" w:cs="Times New Roman"/>
                <w:b/>
                <w:bCs/>
                <w:i w:val="0"/>
                <w:iCs w:val="0"/>
                <w:color w:val="000000"/>
                <w:sz w:val="21"/>
                <w:szCs w:val="21"/>
                <w:u w:val="none" w:color="auto"/>
              </w:rPr>
            </w:pPr>
          </w:p>
        </w:tc>
        <w:tc>
          <w:tcPr>
            <w:tcW w:w="1103" w:type="dxa"/>
            <w:shd w:val="clear" w:color="auto" w:fill="auto"/>
            <w:vAlign w:val="center"/>
          </w:tcPr>
          <w:p w14:paraId="24E5D6B0">
            <w:pPr>
              <w:jc w:val="right"/>
              <w:rPr>
                <w:rFonts w:hint="default" w:ascii="Times New Roman" w:hAnsi="Times New Roman" w:eastAsia="宋体" w:cs="Times New Roman"/>
                <w:b/>
                <w:bCs/>
                <w:i w:val="0"/>
                <w:iCs w:val="0"/>
                <w:color w:val="000000"/>
                <w:sz w:val="21"/>
                <w:szCs w:val="21"/>
                <w:u w:val="none" w:color="auto"/>
              </w:rPr>
            </w:pPr>
          </w:p>
        </w:tc>
        <w:tc>
          <w:tcPr>
            <w:tcW w:w="677" w:type="dxa"/>
            <w:shd w:val="clear" w:color="auto" w:fill="auto"/>
            <w:vAlign w:val="center"/>
          </w:tcPr>
          <w:p w14:paraId="649A38BB">
            <w:pPr>
              <w:jc w:val="right"/>
              <w:rPr>
                <w:rFonts w:hint="default" w:ascii="Times New Roman" w:hAnsi="Times New Roman" w:eastAsia="宋体" w:cs="Times New Roman"/>
                <w:b/>
                <w:bCs/>
                <w:i w:val="0"/>
                <w:iCs w:val="0"/>
                <w:color w:val="000000"/>
                <w:sz w:val="21"/>
                <w:szCs w:val="21"/>
                <w:u w:val="none" w:color="auto"/>
              </w:rPr>
            </w:pPr>
          </w:p>
        </w:tc>
        <w:tc>
          <w:tcPr>
            <w:tcW w:w="1787" w:type="dxa"/>
            <w:shd w:val="clear" w:color="auto" w:fill="auto"/>
            <w:vAlign w:val="center"/>
          </w:tcPr>
          <w:p w14:paraId="77232533">
            <w:pPr>
              <w:jc w:val="right"/>
              <w:rPr>
                <w:rFonts w:hint="default" w:ascii="Times New Roman" w:hAnsi="Times New Roman" w:eastAsia="宋体" w:cs="Times New Roman"/>
                <w:b/>
                <w:bCs/>
                <w:i w:val="0"/>
                <w:iCs w:val="0"/>
                <w:color w:val="000000"/>
                <w:sz w:val="21"/>
                <w:szCs w:val="21"/>
                <w:u w:val="none" w:color="auto"/>
              </w:rPr>
            </w:pPr>
          </w:p>
        </w:tc>
      </w:tr>
      <w:tr w14:paraId="7836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83" w:type="dxa"/>
            <w:shd w:val="clear" w:color="auto" w:fill="auto"/>
            <w:vAlign w:val="center"/>
          </w:tcPr>
          <w:p w14:paraId="3DDF9AC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2080506</w:t>
            </w:r>
          </w:p>
        </w:tc>
        <w:tc>
          <w:tcPr>
            <w:tcW w:w="2334" w:type="dxa"/>
            <w:shd w:val="clear" w:color="auto" w:fill="auto"/>
            <w:vAlign w:val="center"/>
          </w:tcPr>
          <w:p w14:paraId="3EDA4C46">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机关事业单位职业年金缴费支出</w:t>
            </w:r>
          </w:p>
        </w:tc>
        <w:tc>
          <w:tcPr>
            <w:tcW w:w="1283" w:type="dxa"/>
            <w:shd w:val="clear" w:color="auto" w:fill="auto"/>
            <w:vAlign w:val="center"/>
          </w:tcPr>
          <w:p w14:paraId="1CD71B73">
            <w:pPr>
              <w:keepNext w:val="0"/>
              <w:keepLines w:val="0"/>
              <w:widowControl/>
              <w:suppressLineNumbers w:val="0"/>
              <w:jc w:val="righ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12.00</w:t>
            </w:r>
          </w:p>
        </w:tc>
        <w:tc>
          <w:tcPr>
            <w:tcW w:w="1245" w:type="dxa"/>
            <w:shd w:val="clear" w:color="auto" w:fill="auto"/>
            <w:vAlign w:val="center"/>
          </w:tcPr>
          <w:p w14:paraId="33CB2EA1">
            <w:pPr>
              <w:keepNext w:val="0"/>
              <w:keepLines w:val="0"/>
              <w:widowControl/>
              <w:suppressLineNumbers w:val="0"/>
              <w:jc w:val="righ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12.00</w:t>
            </w:r>
          </w:p>
        </w:tc>
        <w:tc>
          <w:tcPr>
            <w:tcW w:w="1103" w:type="dxa"/>
            <w:shd w:val="clear" w:color="auto" w:fill="auto"/>
            <w:vAlign w:val="center"/>
          </w:tcPr>
          <w:p w14:paraId="3B212179">
            <w:pPr>
              <w:jc w:val="right"/>
              <w:rPr>
                <w:rFonts w:hint="default" w:ascii="Times New Roman" w:hAnsi="Times New Roman" w:eastAsia="宋体" w:cs="Times New Roman"/>
                <w:i w:val="0"/>
                <w:iCs w:val="0"/>
                <w:color w:val="000000"/>
                <w:sz w:val="21"/>
                <w:szCs w:val="21"/>
                <w:u w:val="none" w:color="auto"/>
              </w:rPr>
            </w:pPr>
          </w:p>
        </w:tc>
        <w:tc>
          <w:tcPr>
            <w:tcW w:w="1103" w:type="dxa"/>
            <w:shd w:val="clear" w:color="auto" w:fill="auto"/>
            <w:vAlign w:val="center"/>
          </w:tcPr>
          <w:p w14:paraId="23426748">
            <w:pPr>
              <w:jc w:val="right"/>
              <w:rPr>
                <w:rFonts w:hint="default" w:ascii="Times New Roman" w:hAnsi="Times New Roman" w:eastAsia="宋体" w:cs="Times New Roman"/>
                <w:i w:val="0"/>
                <w:iCs w:val="0"/>
                <w:color w:val="000000"/>
                <w:sz w:val="21"/>
                <w:szCs w:val="21"/>
                <w:u w:val="none" w:color="auto"/>
              </w:rPr>
            </w:pPr>
          </w:p>
        </w:tc>
        <w:tc>
          <w:tcPr>
            <w:tcW w:w="677" w:type="dxa"/>
            <w:shd w:val="clear" w:color="auto" w:fill="auto"/>
            <w:vAlign w:val="center"/>
          </w:tcPr>
          <w:p w14:paraId="28C80D43">
            <w:pPr>
              <w:jc w:val="right"/>
              <w:rPr>
                <w:rFonts w:hint="default" w:ascii="Times New Roman" w:hAnsi="Times New Roman" w:eastAsia="宋体" w:cs="Times New Roman"/>
                <w:i w:val="0"/>
                <w:iCs w:val="0"/>
                <w:color w:val="000000"/>
                <w:sz w:val="21"/>
                <w:szCs w:val="21"/>
                <w:u w:val="none" w:color="auto"/>
              </w:rPr>
            </w:pPr>
          </w:p>
        </w:tc>
        <w:tc>
          <w:tcPr>
            <w:tcW w:w="1787" w:type="dxa"/>
            <w:shd w:val="clear" w:color="auto" w:fill="auto"/>
            <w:vAlign w:val="center"/>
          </w:tcPr>
          <w:p w14:paraId="41EAAA4C">
            <w:pPr>
              <w:jc w:val="right"/>
              <w:rPr>
                <w:rFonts w:hint="default" w:ascii="Times New Roman" w:hAnsi="Times New Roman" w:eastAsia="宋体" w:cs="Times New Roman"/>
                <w:i w:val="0"/>
                <w:iCs w:val="0"/>
                <w:color w:val="000000"/>
                <w:sz w:val="21"/>
                <w:szCs w:val="21"/>
                <w:u w:val="none" w:color="auto"/>
              </w:rPr>
            </w:pPr>
          </w:p>
        </w:tc>
      </w:tr>
    </w:tbl>
    <w:p w14:paraId="0CA3D73F">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注：本表反映部门本年度各项支出情况。</w:t>
      </w:r>
    </w:p>
    <w:p w14:paraId="2F63DD30">
      <w:pP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br w:type="page"/>
      </w:r>
    </w:p>
    <w:p w14:paraId="1741617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r>
        <w:rPr>
          <w:rFonts w:hint="default" w:ascii="Times New Roman" w:hAnsi="Times New Roman" w:eastAsia="黑体" w:cs="Times New Roman"/>
          <w:spacing w:val="0"/>
          <w:w w:val="100"/>
          <w:position w:val="0"/>
          <w:sz w:val="32"/>
          <w:szCs w:val="32"/>
          <w:u w:val="none" w:color="auto"/>
          <w:lang w:val="en-US" w:eastAsia="zh-CN"/>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lang w:val="en-US" w:eastAsia="zh-CN"/>
        </w:rPr>
        <w:t>年度财政拨款收入支出决算总表</w:t>
      </w:r>
    </w:p>
    <w:p w14:paraId="62738991">
      <w:pPr>
        <w:pStyle w:val="7"/>
        <w:keepNext w:val="0"/>
        <w:keepLines w:val="0"/>
        <w:pageBreakBefore w:val="0"/>
        <w:widowControl/>
        <w:kinsoku w:val="0"/>
        <w:wordWrap/>
        <w:overflowPunct/>
        <w:topLinePunct w:val="0"/>
        <w:autoSpaceDE w:val="0"/>
        <w:autoSpaceDN w:val="0"/>
        <w:bidi w:val="0"/>
        <w:adjustRightInd/>
        <w:snapToGrid/>
        <w:spacing w:line="400" w:lineRule="exact"/>
        <w:jc w:val="right"/>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公开04表</w:t>
      </w:r>
    </w:p>
    <w:p w14:paraId="37DEFFC8">
      <w:pPr>
        <w:pStyle w:val="7"/>
        <w:keepNext w:val="0"/>
        <w:keepLines w:val="0"/>
        <w:pageBreakBefore w:val="0"/>
        <w:widowControl/>
        <w:kinsoku w:val="0"/>
        <w:wordWrap/>
        <w:overflowPunct/>
        <w:topLinePunct w:val="0"/>
        <w:autoSpaceDE w:val="0"/>
        <w:autoSpaceDN w:val="0"/>
        <w:bidi w:val="0"/>
        <w:adjustRightInd/>
        <w:snapToGrid/>
        <w:spacing w:line="400" w:lineRule="exact"/>
        <w:ind w:left="0" w:leftChars="0" w:firstLine="0" w:firstLineChars="0"/>
        <w:jc w:val="right"/>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部门：</w:t>
      </w:r>
      <w:r>
        <w:rPr>
          <w:rFonts w:hint="eastAsia" w:ascii="Times New Roman" w:hAnsi="Times New Roman" w:cs="Times New Roman"/>
          <w:bCs/>
          <w:snapToGrid w:val="0"/>
          <w:color w:val="000000"/>
          <w:spacing w:val="0"/>
          <w:w w:val="100"/>
          <w:kern w:val="0"/>
          <w:position w:val="0"/>
          <w:sz w:val="28"/>
          <w:szCs w:val="28"/>
          <w:u w:val="none" w:color="auto"/>
          <w:lang w:val="en-US" w:eastAsia="zh-CN" w:bidi="ar-SA"/>
        </w:rPr>
        <w:t>武汉市光谷第八初级中学</w:t>
      </w: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单位：万元</w:t>
      </w:r>
    </w:p>
    <w:tbl>
      <w:tblPr>
        <w:tblStyle w:val="8"/>
        <w:tblW w:w="11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2438"/>
        <w:gridCol w:w="464"/>
        <w:gridCol w:w="1056"/>
        <w:gridCol w:w="2400"/>
        <w:gridCol w:w="560"/>
        <w:gridCol w:w="1136"/>
        <w:gridCol w:w="1024"/>
        <w:gridCol w:w="1037"/>
        <w:gridCol w:w="1156"/>
      </w:tblGrid>
      <w:tr w14:paraId="3B530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44" w:hRule="atLeast"/>
          <w:jc w:val="center"/>
        </w:trPr>
        <w:tc>
          <w:tcPr>
            <w:tcW w:w="3958" w:type="dxa"/>
            <w:gridSpan w:val="3"/>
            <w:shd w:val="clear" w:color="auto" w:fill="auto"/>
            <w:vAlign w:val="center"/>
          </w:tcPr>
          <w:p w14:paraId="7CB536B2">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收入</w:t>
            </w:r>
          </w:p>
        </w:tc>
        <w:tc>
          <w:tcPr>
            <w:tcW w:w="7313" w:type="dxa"/>
            <w:gridSpan w:val="6"/>
            <w:shd w:val="clear" w:color="auto" w:fill="auto"/>
            <w:vAlign w:val="center"/>
          </w:tcPr>
          <w:p w14:paraId="243F658A">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支出</w:t>
            </w:r>
          </w:p>
        </w:tc>
      </w:tr>
      <w:tr w14:paraId="37CB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vMerge w:val="restart"/>
            <w:shd w:val="clear" w:color="auto" w:fill="auto"/>
            <w:vAlign w:val="center"/>
          </w:tcPr>
          <w:p w14:paraId="702B9A4C">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项目</w:t>
            </w:r>
          </w:p>
        </w:tc>
        <w:tc>
          <w:tcPr>
            <w:tcW w:w="464" w:type="dxa"/>
            <w:vMerge w:val="restart"/>
            <w:shd w:val="clear" w:color="auto" w:fill="auto"/>
            <w:vAlign w:val="center"/>
          </w:tcPr>
          <w:p w14:paraId="199608E4">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行次</w:t>
            </w:r>
          </w:p>
        </w:tc>
        <w:tc>
          <w:tcPr>
            <w:tcW w:w="1056" w:type="dxa"/>
            <w:vMerge w:val="restart"/>
            <w:shd w:val="clear" w:color="auto" w:fill="auto"/>
            <w:vAlign w:val="center"/>
          </w:tcPr>
          <w:p w14:paraId="6C83942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决算数</w:t>
            </w:r>
          </w:p>
        </w:tc>
        <w:tc>
          <w:tcPr>
            <w:tcW w:w="2400" w:type="dxa"/>
            <w:vMerge w:val="restart"/>
            <w:shd w:val="clear" w:color="auto" w:fill="auto"/>
            <w:vAlign w:val="center"/>
          </w:tcPr>
          <w:p w14:paraId="79E7903A">
            <w:pPr>
              <w:keepNext w:val="0"/>
              <w:keepLines w:val="0"/>
              <w:pageBreakBefore w:val="0"/>
              <w:widowControl/>
              <w:suppressLineNumbers w:val="0"/>
              <w:wordWrap/>
              <w:overflowPunct/>
              <w:topLinePunct w:val="0"/>
              <w:bidi w:val="0"/>
              <w:adjustRightInd w:val="0"/>
              <w:snapToGrid w:val="0"/>
              <w:spacing w:line="240" w:lineRule="exact"/>
              <w:jc w:val="center"/>
              <w:textAlignment w:val="bottom"/>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项目</w:t>
            </w:r>
          </w:p>
        </w:tc>
        <w:tc>
          <w:tcPr>
            <w:tcW w:w="560" w:type="dxa"/>
            <w:vMerge w:val="restart"/>
            <w:shd w:val="clear" w:color="auto" w:fill="auto"/>
            <w:vAlign w:val="center"/>
          </w:tcPr>
          <w:p w14:paraId="2738A74A">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行次</w:t>
            </w:r>
          </w:p>
        </w:tc>
        <w:tc>
          <w:tcPr>
            <w:tcW w:w="4353" w:type="dxa"/>
            <w:gridSpan w:val="4"/>
            <w:shd w:val="clear" w:color="auto" w:fill="auto"/>
            <w:vAlign w:val="center"/>
          </w:tcPr>
          <w:p w14:paraId="6BA81C1D">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决算数</w:t>
            </w:r>
          </w:p>
        </w:tc>
      </w:tr>
      <w:tr w14:paraId="2D53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438" w:type="dxa"/>
            <w:vMerge w:val="continue"/>
            <w:shd w:val="clear" w:color="auto" w:fill="auto"/>
            <w:vAlign w:val="center"/>
          </w:tcPr>
          <w:p w14:paraId="06BF1EDD">
            <w:pPr>
              <w:keepNext w:val="0"/>
              <w:keepLines w:val="0"/>
              <w:pageBreakBefore w:val="0"/>
              <w:widowControl/>
              <w:wordWrap/>
              <w:overflowPunct/>
              <w:topLinePunct w:val="0"/>
              <w:bidi w:val="0"/>
              <w:adjustRightInd w:val="0"/>
              <w:snapToGrid w:val="0"/>
              <w:spacing w:line="240" w:lineRule="exact"/>
              <w:jc w:val="both"/>
              <w:rPr>
                <w:rFonts w:hint="default" w:ascii="Times New Roman" w:hAnsi="Times New Roman" w:eastAsia="宋体" w:cs="Times New Roman"/>
                <w:i w:val="0"/>
                <w:iCs w:val="0"/>
                <w:color w:val="000000"/>
                <w:sz w:val="18"/>
                <w:szCs w:val="18"/>
                <w:u w:val="none" w:color="auto"/>
              </w:rPr>
            </w:pPr>
          </w:p>
        </w:tc>
        <w:tc>
          <w:tcPr>
            <w:tcW w:w="464" w:type="dxa"/>
            <w:vMerge w:val="continue"/>
            <w:shd w:val="clear" w:color="auto" w:fill="auto"/>
            <w:vAlign w:val="center"/>
          </w:tcPr>
          <w:p w14:paraId="32B0B20F">
            <w:pPr>
              <w:keepNext w:val="0"/>
              <w:keepLines w:val="0"/>
              <w:pageBreakBefore w:val="0"/>
              <w:widowControl/>
              <w:wordWrap/>
              <w:overflowPunct/>
              <w:topLinePunct w:val="0"/>
              <w:bidi w:val="0"/>
              <w:adjustRightInd w:val="0"/>
              <w:snapToGrid w:val="0"/>
              <w:spacing w:line="240" w:lineRule="exact"/>
              <w:jc w:val="center"/>
              <w:rPr>
                <w:rFonts w:hint="default" w:ascii="Times New Roman" w:hAnsi="Times New Roman" w:eastAsia="宋体" w:cs="Times New Roman"/>
                <w:i w:val="0"/>
                <w:iCs w:val="0"/>
                <w:color w:val="000000"/>
                <w:sz w:val="18"/>
                <w:szCs w:val="18"/>
                <w:u w:val="none" w:color="auto"/>
              </w:rPr>
            </w:pPr>
          </w:p>
        </w:tc>
        <w:tc>
          <w:tcPr>
            <w:tcW w:w="1056" w:type="dxa"/>
            <w:vMerge w:val="continue"/>
            <w:shd w:val="clear" w:color="auto" w:fill="auto"/>
            <w:vAlign w:val="center"/>
          </w:tcPr>
          <w:p w14:paraId="166C0CFC">
            <w:pPr>
              <w:keepNext w:val="0"/>
              <w:keepLines w:val="0"/>
              <w:pageBreakBefore w:val="0"/>
              <w:widowControl/>
              <w:wordWrap/>
              <w:overflowPunct/>
              <w:topLinePunct w:val="0"/>
              <w:bidi w:val="0"/>
              <w:adjustRightInd w:val="0"/>
              <w:snapToGrid w:val="0"/>
              <w:spacing w:line="240" w:lineRule="exact"/>
              <w:jc w:val="center"/>
              <w:rPr>
                <w:rFonts w:hint="default" w:ascii="Times New Roman" w:hAnsi="Times New Roman" w:eastAsia="宋体" w:cs="Times New Roman"/>
                <w:i w:val="0"/>
                <w:iCs w:val="0"/>
                <w:color w:val="000000"/>
                <w:sz w:val="18"/>
                <w:szCs w:val="18"/>
                <w:u w:val="none" w:color="auto"/>
              </w:rPr>
            </w:pPr>
          </w:p>
        </w:tc>
        <w:tc>
          <w:tcPr>
            <w:tcW w:w="2400" w:type="dxa"/>
            <w:vMerge w:val="continue"/>
            <w:shd w:val="clear" w:color="auto" w:fill="auto"/>
            <w:vAlign w:val="bottom"/>
          </w:tcPr>
          <w:p w14:paraId="11E55A39">
            <w:pPr>
              <w:keepNext w:val="0"/>
              <w:keepLines w:val="0"/>
              <w:pageBreakBefore w:val="0"/>
              <w:widowControl/>
              <w:wordWrap/>
              <w:overflowPunct/>
              <w:topLinePunct w:val="0"/>
              <w:bidi w:val="0"/>
              <w:adjustRightInd w:val="0"/>
              <w:snapToGrid w:val="0"/>
              <w:spacing w:line="240" w:lineRule="exact"/>
              <w:jc w:val="both"/>
              <w:rPr>
                <w:rFonts w:hint="default" w:ascii="Times New Roman" w:hAnsi="Times New Roman" w:eastAsia="宋体" w:cs="Times New Roman"/>
                <w:i w:val="0"/>
                <w:iCs w:val="0"/>
                <w:color w:val="000000"/>
                <w:sz w:val="18"/>
                <w:szCs w:val="18"/>
                <w:u w:val="none" w:color="auto"/>
              </w:rPr>
            </w:pPr>
          </w:p>
        </w:tc>
        <w:tc>
          <w:tcPr>
            <w:tcW w:w="560" w:type="dxa"/>
            <w:vMerge w:val="continue"/>
            <w:shd w:val="clear" w:color="auto" w:fill="auto"/>
            <w:vAlign w:val="center"/>
          </w:tcPr>
          <w:p w14:paraId="3C9457EE">
            <w:pPr>
              <w:keepNext w:val="0"/>
              <w:keepLines w:val="0"/>
              <w:pageBreakBefore w:val="0"/>
              <w:widowControl/>
              <w:wordWrap/>
              <w:overflowPunct/>
              <w:topLinePunct w:val="0"/>
              <w:bidi w:val="0"/>
              <w:adjustRightInd w:val="0"/>
              <w:snapToGrid w:val="0"/>
              <w:spacing w:line="240" w:lineRule="exact"/>
              <w:jc w:val="center"/>
              <w:rPr>
                <w:rFonts w:hint="default" w:ascii="Times New Roman" w:hAnsi="Times New Roman" w:eastAsia="宋体" w:cs="Times New Roman"/>
                <w:i w:val="0"/>
                <w:iCs w:val="0"/>
                <w:color w:val="000000"/>
                <w:sz w:val="18"/>
                <w:szCs w:val="18"/>
                <w:u w:val="none" w:color="auto"/>
              </w:rPr>
            </w:pPr>
          </w:p>
        </w:tc>
        <w:tc>
          <w:tcPr>
            <w:tcW w:w="1136" w:type="dxa"/>
            <w:shd w:val="clear" w:color="auto" w:fill="auto"/>
            <w:vAlign w:val="center"/>
          </w:tcPr>
          <w:p w14:paraId="32697263">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合计</w:t>
            </w:r>
          </w:p>
        </w:tc>
        <w:tc>
          <w:tcPr>
            <w:tcW w:w="1024" w:type="dxa"/>
            <w:shd w:val="clear" w:color="auto" w:fill="auto"/>
            <w:vAlign w:val="center"/>
          </w:tcPr>
          <w:p w14:paraId="57E0802F">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一般公共预算财政拨款</w:t>
            </w:r>
          </w:p>
        </w:tc>
        <w:tc>
          <w:tcPr>
            <w:tcW w:w="1037" w:type="dxa"/>
            <w:shd w:val="clear" w:color="auto" w:fill="auto"/>
            <w:vAlign w:val="center"/>
          </w:tcPr>
          <w:p w14:paraId="364656A7">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政府性基金预算财政拨款</w:t>
            </w:r>
          </w:p>
        </w:tc>
        <w:tc>
          <w:tcPr>
            <w:tcW w:w="1156" w:type="dxa"/>
            <w:shd w:val="clear" w:color="auto" w:fill="auto"/>
            <w:vAlign w:val="center"/>
          </w:tcPr>
          <w:p w14:paraId="1681C041">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国有资本经营预算财政拨款</w:t>
            </w:r>
          </w:p>
        </w:tc>
      </w:tr>
      <w:tr w14:paraId="35FF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4490CAF4">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栏次</w:t>
            </w:r>
          </w:p>
        </w:tc>
        <w:tc>
          <w:tcPr>
            <w:tcW w:w="464" w:type="dxa"/>
            <w:shd w:val="clear" w:color="auto" w:fill="auto"/>
            <w:vAlign w:val="center"/>
          </w:tcPr>
          <w:p w14:paraId="4E207F4D">
            <w:pPr>
              <w:keepNext w:val="0"/>
              <w:keepLines w:val="0"/>
              <w:pageBreakBefore w:val="0"/>
              <w:widowControl/>
              <w:wordWrap/>
              <w:overflowPunct/>
              <w:topLinePunct w:val="0"/>
              <w:bidi w:val="0"/>
              <w:adjustRightInd w:val="0"/>
              <w:snapToGrid w:val="0"/>
              <w:spacing w:line="240" w:lineRule="exact"/>
              <w:jc w:val="center"/>
              <w:rPr>
                <w:rFonts w:hint="default" w:ascii="Times New Roman" w:hAnsi="Times New Roman" w:eastAsia="宋体" w:cs="Times New Roman"/>
                <w:i w:val="0"/>
                <w:iCs w:val="0"/>
                <w:color w:val="000000"/>
                <w:sz w:val="18"/>
                <w:szCs w:val="18"/>
                <w:u w:val="none" w:color="auto"/>
              </w:rPr>
            </w:pPr>
          </w:p>
        </w:tc>
        <w:tc>
          <w:tcPr>
            <w:tcW w:w="1056" w:type="dxa"/>
            <w:shd w:val="clear" w:color="auto" w:fill="auto"/>
            <w:vAlign w:val="center"/>
          </w:tcPr>
          <w:p w14:paraId="511CA38C">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w:t>
            </w:r>
          </w:p>
        </w:tc>
        <w:tc>
          <w:tcPr>
            <w:tcW w:w="2400" w:type="dxa"/>
            <w:shd w:val="clear" w:color="auto" w:fill="auto"/>
            <w:vAlign w:val="bottom"/>
          </w:tcPr>
          <w:p w14:paraId="09C0A94B">
            <w:pPr>
              <w:keepNext w:val="0"/>
              <w:keepLines w:val="0"/>
              <w:pageBreakBefore w:val="0"/>
              <w:widowControl/>
              <w:suppressLineNumbers w:val="0"/>
              <w:wordWrap/>
              <w:overflowPunct/>
              <w:topLinePunct w:val="0"/>
              <w:bidi w:val="0"/>
              <w:adjustRightInd w:val="0"/>
              <w:snapToGrid w:val="0"/>
              <w:spacing w:line="240" w:lineRule="exact"/>
              <w:jc w:val="center"/>
              <w:textAlignment w:val="bottom"/>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栏次</w:t>
            </w:r>
          </w:p>
        </w:tc>
        <w:tc>
          <w:tcPr>
            <w:tcW w:w="560" w:type="dxa"/>
            <w:shd w:val="clear" w:color="auto" w:fill="auto"/>
            <w:vAlign w:val="center"/>
          </w:tcPr>
          <w:p w14:paraId="69463677">
            <w:pPr>
              <w:keepNext w:val="0"/>
              <w:keepLines w:val="0"/>
              <w:pageBreakBefore w:val="0"/>
              <w:widowControl/>
              <w:wordWrap/>
              <w:overflowPunct/>
              <w:topLinePunct w:val="0"/>
              <w:bidi w:val="0"/>
              <w:adjustRightInd w:val="0"/>
              <w:snapToGrid w:val="0"/>
              <w:spacing w:line="240" w:lineRule="exact"/>
              <w:jc w:val="center"/>
              <w:rPr>
                <w:rFonts w:hint="default" w:ascii="Times New Roman" w:hAnsi="Times New Roman" w:eastAsia="宋体" w:cs="Times New Roman"/>
                <w:i w:val="0"/>
                <w:iCs w:val="0"/>
                <w:color w:val="000000"/>
                <w:sz w:val="18"/>
                <w:szCs w:val="18"/>
                <w:u w:val="none" w:color="auto"/>
              </w:rPr>
            </w:pPr>
          </w:p>
        </w:tc>
        <w:tc>
          <w:tcPr>
            <w:tcW w:w="1136" w:type="dxa"/>
            <w:shd w:val="clear" w:color="auto" w:fill="auto"/>
            <w:vAlign w:val="center"/>
          </w:tcPr>
          <w:p w14:paraId="67D109C0">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w:t>
            </w:r>
          </w:p>
        </w:tc>
        <w:tc>
          <w:tcPr>
            <w:tcW w:w="1024" w:type="dxa"/>
            <w:shd w:val="clear" w:color="auto" w:fill="auto"/>
            <w:vAlign w:val="center"/>
          </w:tcPr>
          <w:p w14:paraId="3B0FB23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w:t>
            </w:r>
          </w:p>
        </w:tc>
        <w:tc>
          <w:tcPr>
            <w:tcW w:w="1037" w:type="dxa"/>
            <w:shd w:val="clear" w:color="auto" w:fill="auto"/>
            <w:vAlign w:val="center"/>
          </w:tcPr>
          <w:p w14:paraId="1AA46895">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w:t>
            </w:r>
          </w:p>
        </w:tc>
        <w:tc>
          <w:tcPr>
            <w:tcW w:w="1156" w:type="dxa"/>
            <w:shd w:val="clear" w:color="auto" w:fill="auto"/>
            <w:vAlign w:val="center"/>
          </w:tcPr>
          <w:p w14:paraId="4BBF5CF7">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w:t>
            </w:r>
          </w:p>
        </w:tc>
      </w:tr>
      <w:tr w14:paraId="257AD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17D10C71">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一、一般公共预算财政拨款</w:t>
            </w:r>
          </w:p>
        </w:tc>
        <w:tc>
          <w:tcPr>
            <w:tcW w:w="464" w:type="dxa"/>
            <w:shd w:val="clear" w:color="auto" w:fill="auto"/>
            <w:vAlign w:val="center"/>
          </w:tcPr>
          <w:p w14:paraId="5532F078">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w:t>
            </w:r>
          </w:p>
        </w:tc>
        <w:tc>
          <w:tcPr>
            <w:tcW w:w="1056" w:type="dxa"/>
            <w:shd w:val="clear" w:color="auto" w:fill="auto"/>
            <w:vAlign w:val="center"/>
          </w:tcPr>
          <w:p w14:paraId="6A470699">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2,647.60</w:t>
            </w:r>
          </w:p>
        </w:tc>
        <w:tc>
          <w:tcPr>
            <w:tcW w:w="2400" w:type="dxa"/>
            <w:shd w:val="clear" w:color="auto" w:fill="auto"/>
            <w:vAlign w:val="center"/>
          </w:tcPr>
          <w:p w14:paraId="08234459">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一、一般公共服务支出</w:t>
            </w:r>
          </w:p>
        </w:tc>
        <w:tc>
          <w:tcPr>
            <w:tcW w:w="560" w:type="dxa"/>
            <w:shd w:val="clear" w:color="auto" w:fill="auto"/>
            <w:vAlign w:val="center"/>
          </w:tcPr>
          <w:p w14:paraId="78F08E0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33</w:t>
            </w:r>
          </w:p>
        </w:tc>
        <w:tc>
          <w:tcPr>
            <w:tcW w:w="1136" w:type="dxa"/>
            <w:shd w:val="clear" w:color="auto" w:fill="auto"/>
            <w:vAlign w:val="center"/>
          </w:tcPr>
          <w:p w14:paraId="12D81E91">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341DCE3C">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5CA6121E">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59D8B680">
            <w:pPr>
              <w:jc w:val="right"/>
              <w:rPr>
                <w:rFonts w:hint="default" w:ascii="Times New Roman" w:hAnsi="Times New Roman" w:eastAsia="宋体" w:cs="Times New Roman"/>
                <w:i w:val="0"/>
                <w:iCs w:val="0"/>
                <w:color w:val="000000"/>
                <w:sz w:val="18"/>
                <w:szCs w:val="18"/>
                <w:u w:val="none" w:color="auto"/>
              </w:rPr>
            </w:pPr>
          </w:p>
        </w:tc>
      </w:tr>
      <w:tr w14:paraId="58E03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33979448">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二、政府性基金预算财政拨款</w:t>
            </w:r>
          </w:p>
        </w:tc>
        <w:tc>
          <w:tcPr>
            <w:tcW w:w="464" w:type="dxa"/>
            <w:shd w:val="clear" w:color="auto" w:fill="auto"/>
            <w:vAlign w:val="center"/>
          </w:tcPr>
          <w:p w14:paraId="1414D6E1">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w:t>
            </w:r>
          </w:p>
        </w:tc>
        <w:tc>
          <w:tcPr>
            <w:tcW w:w="1056" w:type="dxa"/>
            <w:shd w:val="clear" w:color="auto" w:fill="auto"/>
            <w:vAlign w:val="center"/>
          </w:tcPr>
          <w:p w14:paraId="419763B2">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1A4CADDB">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二、外交支出</w:t>
            </w:r>
          </w:p>
        </w:tc>
        <w:tc>
          <w:tcPr>
            <w:tcW w:w="560" w:type="dxa"/>
            <w:shd w:val="clear" w:color="auto" w:fill="auto"/>
            <w:vAlign w:val="center"/>
          </w:tcPr>
          <w:p w14:paraId="6B9D3C48">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34</w:t>
            </w:r>
          </w:p>
        </w:tc>
        <w:tc>
          <w:tcPr>
            <w:tcW w:w="1136" w:type="dxa"/>
            <w:shd w:val="clear" w:color="auto" w:fill="auto"/>
            <w:vAlign w:val="center"/>
          </w:tcPr>
          <w:p w14:paraId="42D23654">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773FFF64">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7FCEF7C5">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5DF4A5FC">
            <w:pPr>
              <w:jc w:val="right"/>
              <w:rPr>
                <w:rFonts w:hint="default" w:ascii="Times New Roman" w:hAnsi="Times New Roman" w:eastAsia="宋体" w:cs="Times New Roman"/>
                <w:i w:val="0"/>
                <w:iCs w:val="0"/>
                <w:color w:val="000000"/>
                <w:sz w:val="18"/>
                <w:szCs w:val="18"/>
                <w:u w:val="none" w:color="auto"/>
              </w:rPr>
            </w:pPr>
          </w:p>
        </w:tc>
      </w:tr>
      <w:tr w14:paraId="28D9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0C1CD443">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三、国有资本经营预算财政拨款</w:t>
            </w:r>
          </w:p>
        </w:tc>
        <w:tc>
          <w:tcPr>
            <w:tcW w:w="464" w:type="dxa"/>
            <w:shd w:val="clear" w:color="auto" w:fill="auto"/>
            <w:vAlign w:val="center"/>
          </w:tcPr>
          <w:p w14:paraId="2048220A">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w:t>
            </w:r>
          </w:p>
        </w:tc>
        <w:tc>
          <w:tcPr>
            <w:tcW w:w="1056" w:type="dxa"/>
            <w:shd w:val="clear" w:color="auto" w:fill="auto"/>
            <w:vAlign w:val="center"/>
          </w:tcPr>
          <w:p w14:paraId="326BD078">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06B080B3">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三、国防支出</w:t>
            </w:r>
          </w:p>
        </w:tc>
        <w:tc>
          <w:tcPr>
            <w:tcW w:w="560" w:type="dxa"/>
            <w:shd w:val="clear" w:color="auto" w:fill="auto"/>
            <w:vAlign w:val="center"/>
          </w:tcPr>
          <w:p w14:paraId="17B8D0A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35</w:t>
            </w:r>
          </w:p>
        </w:tc>
        <w:tc>
          <w:tcPr>
            <w:tcW w:w="1136" w:type="dxa"/>
            <w:shd w:val="clear" w:color="auto" w:fill="auto"/>
            <w:vAlign w:val="center"/>
          </w:tcPr>
          <w:p w14:paraId="015CAC65">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5339E59F">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30791B6C">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32610D3A">
            <w:pPr>
              <w:jc w:val="right"/>
              <w:rPr>
                <w:rFonts w:hint="default" w:ascii="Times New Roman" w:hAnsi="Times New Roman" w:eastAsia="宋体" w:cs="Times New Roman"/>
                <w:i w:val="0"/>
                <w:iCs w:val="0"/>
                <w:color w:val="000000"/>
                <w:sz w:val="18"/>
                <w:szCs w:val="18"/>
                <w:u w:val="none" w:color="auto"/>
              </w:rPr>
            </w:pPr>
          </w:p>
        </w:tc>
      </w:tr>
      <w:tr w14:paraId="2474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4FBB28F9">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2155ABE7">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w:t>
            </w:r>
          </w:p>
        </w:tc>
        <w:tc>
          <w:tcPr>
            <w:tcW w:w="1056" w:type="dxa"/>
            <w:shd w:val="clear" w:color="auto" w:fill="auto"/>
            <w:vAlign w:val="center"/>
          </w:tcPr>
          <w:p w14:paraId="2DF1EE3C">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380AE47B">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四、公共安全支出</w:t>
            </w:r>
          </w:p>
        </w:tc>
        <w:tc>
          <w:tcPr>
            <w:tcW w:w="560" w:type="dxa"/>
            <w:shd w:val="clear" w:color="auto" w:fill="auto"/>
            <w:vAlign w:val="center"/>
          </w:tcPr>
          <w:p w14:paraId="20D964A2">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36</w:t>
            </w:r>
          </w:p>
        </w:tc>
        <w:tc>
          <w:tcPr>
            <w:tcW w:w="1136" w:type="dxa"/>
            <w:shd w:val="clear" w:color="auto" w:fill="auto"/>
            <w:vAlign w:val="center"/>
          </w:tcPr>
          <w:p w14:paraId="01C0112C">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7C9A8700">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3DEA770E">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0C0131BE">
            <w:pPr>
              <w:jc w:val="right"/>
              <w:rPr>
                <w:rFonts w:hint="default" w:ascii="Times New Roman" w:hAnsi="Times New Roman" w:eastAsia="宋体" w:cs="Times New Roman"/>
                <w:i w:val="0"/>
                <w:iCs w:val="0"/>
                <w:color w:val="000000"/>
                <w:sz w:val="18"/>
                <w:szCs w:val="18"/>
                <w:u w:val="none" w:color="auto"/>
              </w:rPr>
            </w:pPr>
          </w:p>
        </w:tc>
      </w:tr>
      <w:tr w14:paraId="0DEA1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57A7EA3F">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66F283EF">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w:t>
            </w:r>
          </w:p>
        </w:tc>
        <w:tc>
          <w:tcPr>
            <w:tcW w:w="1056" w:type="dxa"/>
            <w:shd w:val="clear" w:color="auto" w:fill="auto"/>
            <w:vAlign w:val="center"/>
          </w:tcPr>
          <w:p w14:paraId="340A9D5D">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3B897829">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五、教育支出</w:t>
            </w:r>
          </w:p>
        </w:tc>
        <w:tc>
          <w:tcPr>
            <w:tcW w:w="560" w:type="dxa"/>
            <w:shd w:val="clear" w:color="auto" w:fill="auto"/>
            <w:vAlign w:val="center"/>
          </w:tcPr>
          <w:p w14:paraId="58CA8177">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37</w:t>
            </w:r>
          </w:p>
        </w:tc>
        <w:tc>
          <w:tcPr>
            <w:tcW w:w="1136" w:type="dxa"/>
            <w:shd w:val="clear" w:color="auto" w:fill="auto"/>
            <w:vAlign w:val="center"/>
          </w:tcPr>
          <w:p w14:paraId="18814BF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2,455.17</w:t>
            </w:r>
          </w:p>
        </w:tc>
        <w:tc>
          <w:tcPr>
            <w:tcW w:w="1024" w:type="dxa"/>
            <w:shd w:val="clear" w:color="auto" w:fill="auto"/>
            <w:vAlign w:val="center"/>
          </w:tcPr>
          <w:p w14:paraId="7842FEBA">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2,455.17</w:t>
            </w:r>
          </w:p>
        </w:tc>
        <w:tc>
          <w:tcPr>
            <w:tcW w:w="1037" w:type="dxa"/>
            <w:shd w:val="clear" w:color="auto" w:fill="auto"/>
            <w:vAlign w:val="center"/>
          </w:tcPr>
          <w:p w14:paraId="08B91A41">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071A472C">
            <w:pPr>
              <w:jc w:val="right"/>
              <w:rPr>
                <w:rFonts w:hint="default" w:ascii="Times New Roman" w:hAnsi="Times New Roman" w:eastAsia="宋体" w:cs="Times New Roman"/>
                <w:i w:val="0"/>
                <w:iCs w:val="0"/>
                <w:color w:val="000000"/>
                <w:sz w:val="18"/>
                <w:szCs w:val="18"/>
                <w:u w:val="none" w:color="auto"/>
              </w:rPr>
            </w:pPr>
          </w:p>
        </w:tc>
      </w:tr>
      <w:tr w14:paraId="34C74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447C550D">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77A0832C">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6</w:t>
            </w:r>
          </w:p>
        </w:tc>
        <w:tc>
          <w:tcPr>
            <w:tcW w:w="1056" w:type="dxa"/>
            <w:shd w:val="clear" w:color="auto" w:fill="auto"/>
            <w:vAlign w:val="center"/>
          </w:tcPr>
          <w:p w14:paraId="29976295">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67EDC516">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六、科学技术支出</w:t>
            </w:r>
          </w:p>
        </w:tc>
        <w:tc>
          <w:tcPr>
            <w:tcW w:w="560" w:type="dxa"/>
            <w:shd w:val="clear" w:color="auto" w:fill="auto"/>
            <w:vAlign w:val="center"/>
          </w:tcPr>
          <w:p w14:paraId="117C6D89">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38</w:t>
            </w:r>
          </w:p>
        </w:tc>
        <w:tc>
          <w:tcPr>
            <w:tcW w:w="1136" w:type="dxa"/>
            <w:shd w:val="clear" w:color="auto" w:fill="auto"/>
            <w:vAlign w:val="center"/>
          </w:tcPr>
          <w:p w14:paraId="61E12C87">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44A8198F">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42EE7998">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495D3F35">
            <w:pPr>
              <w:jc w:val="right"/>
              <w:rPr>
                <w:rFonts w:hint="default" w:ascii="Times New Roman" w:hAnsi="Times New Roman" w:eastAsia="宋体" w:cs="Times New Roman"/>
                <w:i w:val="0"/>
                <w:iCs w:val="0"/>
                <w:color w:val="000000"/>
                <w:sz w:val="18"/>
                <w:szCs w:val="18"/>
                <w:u w:val="none" w:color="auto"/>
              </w:rPr>
            </w:pPr>
          </w:p>
        </w:tc>
      </w:tr>
      <w:tr w14:paraId="6B5B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438EF74F">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2C4C6AB4">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7</w:t>
            </w:r>
          </w:p>
        </w:tc>
        <w:tc>
          <w:tcPr>
            <w:tcW w:w="1056" w:type="dxa"/>
            <w:shd w:val="clear" w:color="auto" w:fill="auto"/>
            <w:vAlign w:val="center"/>
          </w:tcPr>
          <w:p w14:paraId="20054E38">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2BA873EF">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七、文化旅游体育与传媒支出</w:t>
            </w:r>
          </w:p>
        </w:tc>
        <w:tc>
          <w:tcPr>
            <w:tcW w:w="560" w:type="dxa"/>
            <w:shd w:val="clear" w:color="auto" w:fill="auto"/>
            <w:vAlign w:val="center"/>
          </w:tcPr>
          <w:p w14:paraId="308F34AD">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39</w:t>
            </w:r>
          </w:p>
        </w:tc>
        <w:tc>
          <w:tcPr>
            <w:tcW w:w="1136" w:type="dxa"/>
            <w:shd w:val="clear" w:color="auto" w:fill="auto"/>
            <w:vAlign w:val="center"/>
          </w:tcPr>
          <w:p w14:paraId="7AD280BE">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32284B22">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296A8A37">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33366001">
            <w:pPr>
              <w:jc w:val="right"/>
              <w:rPr>
                <w:rFonts w:hint="default" w:ascii="Times New Roman" w:hAnsi="Times New Roman" w:eastAsia="宋体" w:cs="Times New Roman"/>
                <w:i w:val="0"/>
                <w:iCs w:val="0"/>
                <w:color w:val="000000"/>
                <w:sz w:val="18"/>
                <w:szCs w:val="18"/>
                <w:u w:val="none" w:color="auto"/>
              </w:rPr>
            </w:pPr>
          </w:p>
        </w:tc>
      </w:tr>
      <w:tr w14:paraId="583D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03E50A0E">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15D682FF">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8</w:t>
            </w:r>
          </w:p>
        </w:tc>
        <w:tc>
          <w:tcPr>
            <w:tcW w:w="1056" w:type="dxa"/>
            <w:shd w:val="clear" w:color="auto" w:fill="auto"/>
            <w:vAlign w:val="center"/>
          </w:tcPr>
          <w:p w14:paraId="6616B82F">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27D4757D">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八、社会保障和就业支出</w:t>
            </w:r>
          </w:p>
        </w:tc>
        <w:tc>
          <w:tcPr>
            <w:tcW w:w="560" w:type="dxa"/>
            <w:shd w:val="clear" w:color="auto" w:fill="auto"/>
            <w:vAlign w:val="center"/>
          </w:tcPr>
          <w:p w14:paraId="6D5AEC98">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40</w:t>
            </w:r>
          </w:p>
        </w:tc>
        <w:tc>
          <w:tcPr>
            <w:tcW w:w="1136" w:type="dxa"/>
            <w:shd w:val="clear" w:color="auto" w:fill="auto"/>
            <w:vAlign w:val="center"/>
          </w:tcPr>
          <w:p w14:paraId="0E47A8E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192.43</w:t>
            </w:r>
          </w:p>
        </w:tc>
        <w:tc>
          <w:tcPr>
            <w:tcW w:w="1024" w:type="dxa"/>
            <w:shd w:val="clear" w:color="auto" w:fill="auto"/>
            <w:vAlign w:val="center"/>
          </w:tcPr>
          <w:p w14:paraId="36A1BB10">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192.43</w:t>
            </w:r>
          </w:p>
        </w:tc>
        <w:tc>
          <w:tcPr>
            <w:tcW w:w="1037" w:type="dxa"/>
            <w:shd w:val="clear" w:color="auto" w:fill="auto"/>
            <w:vAlign w:val="center"/>
          </w:tcPr>
          <w:p w14:paraId="0BA4C749">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76DCB618">
            <w:pPr>
              <w:jc w:val="right"/>
              <w:rPr>
                <w:rFonts w:hint="default" w:ascii="Times New Roman" w:hAnsi="Times New Roman" w:eastAsia="宋体" w:cs="Times New Roman"/>
                <w:i w:val="0"/>
                <w:iCs w:val="0"/>
                <w:color w:val="000000"/>
                <w:sz w:val="18"/>
                <w:szCs w:val="18"/>
                <w:u w:val="none" w:color="auto"/>
              </w:rPr>
            </w:pPr>
          </w:p>
        </w:tc>
      </w:tr>
      <w:tr w14:paraId="7CFC1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365CA19E">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18F8D2A5">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9</w:t>
            </w:r>
          </w:p>
        </w:tc>
        <w:tc>
          <w:tcPr>
            <w:tcW w:w="1056" w:type="dxa"/>
            <w:shd w:val="clear" w:color="auto" w:fill="auto"/>
            <w:vAlign w:val="center"/>
          </w:tcPr>
          <w:p w14:paraId="05415107">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36B9CD19">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九、卫生健康支出</w:t>
            </w:r>
          </w:p>
        </w:tc>
        <w:tc>
          <w:tcPr>
            <w:tcW w:w="560" w:type="dxa"/>
            <w:shd w:val="clear" w:color="auto" w:fill="auto"/>
            <w:vAlign w:val="center"/>
          </w:tcPr>
          <w:p w14:paraId="32F02A77">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41</w:t>
            </w:r>
          </w:p>
        </w:tc>
        <w:tc>
          <w:tcPr>
            <w:tcW w:w="1136" w:type="dxa"/>
            <w:shd w:val="clear" w:color="auto" w:fill="auto"/>
            <w:vAlign w:val="center"/>
          </w:tcPr>
          <w:p w14:paraId="2796DD9E">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4DC4FE8B">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5182D82B">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468712F3">
            <w:pPr>
              <w:jc w:val="right"/>
              <w:rPr>
                <w:rFonts w:hint="default" w:ascii="Times New Roman" w:hAnsi="Times New Roman" w:eastAsia="宋体" w:cs="Times New Roman"/>
                <w:i w:val="0"/>
                <w:iCs w:val="0"/>
                <w:color w:val="000000"/>
                <w:sz w:val="18"/>
                <w:szCs w:val="18"/>
                <w:u w:val="none" w:color="auto"/>
              </w:rPr>
            </w:pPr>
          </w:p>
        </w:tc>
      </w:tr>
      <w:tr w14:paraId="7AC0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72C2524F">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1DE0F279">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10</w:t>
            </w:r>
          </w:p>
        </w:tc>
        <w:tc>
          <w:tcPr>
            <w:tcW w:w="1056" w:type="dxa"/>
            <w:shd w:val="clear" w:color="auto" w:fill="auto"/>
            <w:vAlign w:val="center"/>
          </w:tcPr>
          <w:p w14:paraId="31D25378">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6F9F0A0F">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十、节能环保支出</w:t>
            </w:r>
          </w:p>
        </w:tc>
        <w:tc>
          <w:tcPr>
            <w:tcW w:w="560" w:type="dxa"/>
            <w:shd w:val="clear" w:color="auto" w:fill="auto"/>
            <w:vAlign w:val="center"/>
          </w:tcPr>
          <w:p w14:paraId="64853303">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42</w:t>
            </w:r>
          </w:p>
        </w:tc>
        <w:tc>
          <w:tcPr>
            <w:tcW w:w="1136" w:type="dxa"/>
            <w:shd w:val="clear" w:color="auto" w:fill="auto"/>
            <w:vAlign w:val="center"/>
          </w:tcPr>
          <w:p w14:paraId="49D73433">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27B3E663">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7CCA4592">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1BC6B903">
            <w:pPr>
              <w:jc w:val="right"/>
              <w:rPr>
                <w:rFonts w:hint="default" w:ascii="Times New Roman" w:hAnsi="Times New Roman" w:eastAsia="宋体" w:cs="Times New Roman"/>
                <w:i w:val="0"/>
                <w:iCs w:val="0"/>
                <w:color w:val="000000"/>
                <w:sz w:val="18"/>
                <w:szCs w:val="18"/>
                <w:u w:val="none" w:color="auto"/>
              </w:rPr>
            </w:pPr>
          </w:p>
        </w:tc>
      </w:tr>
      <w:tr w14:paraId="6B6A5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77BAE386">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0D70B0A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11</w:t>
            </w:r>
          </w:p>
        </w:tc>
        <w:tc>
          <w:tcPr>
            <w:tcW w:w="1056" w:type="dxa"/>
            <w:shd w:val="clear" w:color="auto" w:fill="auto"/>
            <w:vAlign w:val="center"/>
          </w:tcPr>
          <w:p w14:paraId="1D47E47E">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23880D0D">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十一、城乡社区支出</w:t>
            </w:r>
          </w:p>
        </w:tc>
        <w:tc>
          <w:tcPr>
            <w:tcW w:w="560" w:type="dxa"/>
            <w:shd w:val="clear" w:color="auto" w:fill="auto"/>
            <w:vAlign w:val="center"/>
          </w:tcPr>
          <w:p w14:paraId="363B35F5">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43</w:t>
            </w:r>
          </w:p>
        </w:tc>
        <w:tc>
          <w:tcPr>
            <w:tcW w:w="1136" w:type="dxa"/>
            <w:shd w:val="clear" w:color="auto" w:fill="auto"/>
            <w:vAlign w:val="center"/>
          </w:tcPr>
          <w:p w14:paraId="4EE4DECA">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79D241AE">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35485998">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20F7BD0B">
            <w:pPr>
              <w:jc w:val="right"/>
              <w:rPr>
                <w:rFonts w:hint="default" w:ascii="Times New Roman" w:hAnsi="Times New Roman" w:eastAsia="宋体" w:cs="Times New Roman"/>
                <w:i w:val="0"/>
                <w:iCs w:val="0"/>
                <w:color w:val="000000"/>
                <w:sz w:val="18"/>
                <w:szCs w:val="18"/>
                <w:u w:val="none" w:color="auto"/>
              </w:rPr>
            </w:pPr>
          </w:p>
        </w:tc>
      </w:tr>
      <w:tr w14:paraId="3AE4B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31902DE4">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5CF1FB8A">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12</w:t>
            </w:r>
          </w:p>
        </w:tc>
        <w:tc>
          <w:tcPr>
            <w:tcW w:w="1056" w:type="dxa"/>
            <w:shd w:val="clear" w:color="auto" w:fill="auto"/>
            <w:vAlign w:val="center"/>
          </w:tcPr>
          <w:p w14:paraId="1C0C0CE7">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63B8E2AA">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十二、农林水支出</w:t>
            </w:r>
          </w:p>
        </w:tc>
        <w:tc>
          <w:tcPr>
            <w:tcW w:w="560" w:type="dxa"/>
            <w:shd w:val="clear" w:color="auto" w:fill="auto"/>
            <w:vAlign w:val="center"/>
          </w:tcPr>
          <w:p w14:paraId="40CE170F">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44</w:t>
            </w:r>
          </w:p>
        </w:tc>
        <w:tc>
          <w:tcPr>
            <w:tcW w:w="1136" w:type="dxa"/>
            <w:shd w:val="clear" w:color="auto" w:fill="auto"/>
            <w:vAlign w:val="center"/>
          </w:tcPr>
          <w:p w14:paraId="3E8CB98D">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7C38F67C">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756D9FA3">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01F225F9">
            <w:pPr>
              <w:jc w:val="right"/>
              <w:rPr>
                <w:rFonts w:hint="default" w:ascii="Times New Roman" w:hAnsi="Times New Roman" w:eastAsia="宋体" w:cs="Times New Roman"/>
                <w:i w:val="0"/>
                <w:iCs w:val="0"/>
                <w:color w:val="000000"/>
                <w:sz w:val="18"/>
                <w:szCs w:val="18"/>
                <w:u w:val="none" w:color="auto"/>
              </w:rPr>
            </w:pPr>
          </w:p>
        </w:tc>
      </w:tr>
      <w:tr w14:paraId="3589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764C764F">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2975B3A3">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13</w:t>
            </w:r>
          </w:p>
        </w:tc>
        <w:tc>
          <w:tcPr>
            <w:tcW w:w="1056" w:type="dxa"/>
            <w:shd w:val="clear" w:color="auto" w:fill="auto"/>
            <w:vAlign w:val="center"/>
          </w:tcPr>
          <w:p w14:paraId="77C49C47">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3BC6F7C7">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十三、交通运输支出</w:t>
            </w:r>
          </w:p>
        </w:tc>
        <w:tc>
          <w:tcPr>
            <w:tcW w:w="560" w:type="dxa"/>
            <w:shd w:val="clear" w:color="auto" w:fill="auto"/>
            <w:vAlign w:val="center"/>
          </w:tcPr>
          <w:p w14:paraId="19356A71">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45</w:t>
            </w:r>
          </w:p>
        </w:tc>
        <w:tc>
          <w:tcPr>
            <w:tcW w:w="1136" w:type="dxa"/>
            <w:shd w:val="clear" w:color="auto" w:fill="auto"/>
            <w:vAlign w:val="center"/>
          </w:tcPr>
          <w:p w14:paraId="176637DE">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161A49D6">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43DCDE91">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12F4B089">
            <w:pPr>
              <w:jc w:val="right"/>
              <w:rPr>
                <w:rFonts w:hint="default" w:ascii="Times New Roman" w:hAnsi="Times New Roman" w:eastAsia="宋体" w:cs="Times New Roman"/>
                <w:i w:val="0"/>
                <w:iCs w:val="0"/>
                <w:color w:val="000000"/>
                <w:sz w:val="18"/>
                <w:szCs w:val="18"/>
                <w:u w:val="none" w:color="auto"/>
              </w:rPr>
            </w:pPr>
          </w:p>
        </w:tc>
      </w:tr>
      <w:tr w14:paraId="21A4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38" w:type="dxa"/>
            <w:shd w:val="clear" w:color="auto" w:fill="auto"/>
            <w:vAlign w:val="center"/>
          </w:tcPr>
          <w:p w14:paraId="0D1F9E07">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5E0F7B0C">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14</w:t>
            </w:r>
          </w:p>
        </w:tc>
        <w:tc>
          <w:tcPr>
            <w:tcW w:w="1056" w:type="dxa"/>
            <w:shd w:val="clear" w:color="auto" w:fill="auto"/>
            <w:vAlign w:val="center"/>
          </w:tcPr>
          <w:p w14:paraId="70FFE4D5">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443D3C6A">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十四、资源勘探工业信息等支出</w:t>
            </w:r>
          </w:p>
        </w:tc>
        <w:tc>
          <w:tcPr>
            <w:tcW w:w="560" w:type="dxa"/>
            <w:shd w:val="clear" w:color="auto" w:fill="auto"/>
            <w:vAlign w:val="center"/>
          </w:tcPr>
          <w:p w14:paraId="7EE52C49">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46</w:t>
            </w:r>
          </w:p>
        </w:tc>
        <w:tc>
          <w:tcPr>
            <w:tcW w:w="1136" w:type="dxa"/>
            <w:shd w:val="clear" w:color="auto" w:fill="auto"/>
            <w:vAlign w:val="center"/>
          </w:tcPr>
          <w:p w14:paraId="59EED5F6">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7C956221">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4521B26E">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73651210">
            <w:pPr>
              <w:jc w:val="right"/>
              <w:rPr>
                <w:rFonts w:hint="default" w:ascii="Times New Roman" w:hAnsi="Times New Roman" w:eastAsia="宋体" w:cs="Times New Roman"/>
                <w:i w:val="0"/>
                <w:iCs w:val="0"/>
                <w:color w:val="000000"/>
                <w:sz w:val="18"/>
                <w:szCs w:val="18"/>
                <w:u w:val="none" w:color="auto"/>
              </w:rPr>
            </w:pPr>
          </w:p>
        </w:tc>
      </w:tr>
      <w:tr w14:paraId="59D4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4350CD8B">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78019E69">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15</w:t>
            </w:r>
          </w:p>
        </w:tc>
        <w:tc>
          <w:tcPr>
            <w:tcW w:w="1056" w:type="dxa"/>
            <w:shd w:val="clear" w:color="auto" w:fill="auto"/>
            <w:vAlign w:val="center"/>
          </w:tcPr>
          <w:p w14:paraId="76360098">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1DDB19B7">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十五、商业服务业等支出</w:t>
            </w:r>
          </w:p>
        </w:tc>
        <w:tc>
          <w:tcPr>
            <w:tcW w:w="560" w:type="dxa"/>
            <w:shd w:val="clear" w:color="auto" w:fill="auto"/>
            <w:vAlign w:val="center"/>
          </w:tcPr>
          <w:p w14:paraId="2A40AE12">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47</w:t>
            </w:r>
          </w:p>
        </w:tc>
        <w:tc>
          <w:tcPr>
            <w:tcW w:w="1136" w:type="dxa"/>
            <w:shd w:val="clear" w:color="auto" w:fill="auto"/>
            <w:vAlign w:val="center"/>
          </w:tcPr>
          <w:p w14:paraId="547E9506">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7C5D5FD0">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5C5A2AE8">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73C18099">
            <w:pPr>
              <w:jc w:val="right"/>
              <w:rPr>
                <w:rFonts w:hint="default" w:ascii="Times New Roman" w:hAnsi="Times New Roman" w:eastAsia="宋体" w:cs="Times New Roman"/>
                <w:i w:val="0"/>
                <w:iCs w:val="0"/>
                <w:color w:val="000000"/>
                <w:sz w:val="18"/>
                <w:szCs w:val="18"/>
                <w:u w:val="none" w:color="auto"/>
              </w:rPr>
            </w:pPr>
          </w:p>
        </w:tc>
      </w:tr>
      <w:tr w14:paraId="4664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131D27B9">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46D867A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16</w:t>
            </w:r>
          </w:p>
        </w:tc>
        <w:tc>
          <w:tcPr>
            <w:tcW w:w="1056" w:type="dxa"/>
            <w:shd w:val="clear" w:color="auto" w:fill="auto"/>
            <w:vAlign w:val="center"/>
          </w:tcPr>
          <w:p w14:paraId="2904B3F3">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067E4B42">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十六、金融支出</w:t>
            </w:r>
          </w:p>
        </w:tc>
        <w:tc>
          <w:tcPr>
            <w:tcW w:w="560" w:type="dxa"/>
            <w:shd w:val="clear" w:color="auto" w:fill="auto"/>
            <w:vAlign w:val="center"/>
          </w:tcPr>
          <w:p w14:paraId="76E82A46">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48</w:t>
            </w:r>
          </w:p>
        </w:tc>
        <w:tc>
          <w:tcPr>
            <w:tcW w:w="1136" w:type="dxa"/>
            <w:shd w:val="clear" w:color="auto" w:fill="auto"/>
            <w:vAlign w:val="center"/>
          </w:tcPr>
          <w:p w14:paraId="7C177948">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079D7A18">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38E3EA7C">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5EB41495">
            <w:pPr>
              <w:jc w:val="right"/>
              <w:rPr>
                <w:rFonts w:hint="default" w:ascii="Times New Roman" w:hAnsi="Times New Roman" w:eastAsia="宋体" w:cs="Times New Roman"/>
                <w:i w:val="0"/>
                <w:iCs w:val="0"/>
                <w:color w:val="000000"/>
                <w:sz w:val="18"/>
                <w:szCs w:val="18"/>
                <w:u w:val="none" w:color="auto"/>
              </w:rPr>
            </w:pPr>
          </w:p>
        </w:tc>
      </w:tr>
      <w:tr w14:paraId="0301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4BB30794">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4E74BD9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17</w:t>
            </w:r>
          </w:p>
        </w:tc>
        <w:tc>
          <w:tcPr>
            <w:tcW w:w="1056" w:type="dxa"/>
            <w:shd w:val="clear" w:color="auto" w:fill="auto"/>
            <w:vAlign w:val="center"/>
          </w:tcPr>
          <w:p w14:paraId="68E70899">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3161D63D">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十七、援助其他地区支出</w:t>
            </w:r>
          </w:p>
        </w:tc>
        <w:tc>
          <w:tcPr>
            <w:tcW w:w="560" w:type="dxa"/>
            <w:shd w:val="clear" w:color="auto" w:fill="auto"/>
            <w:vAlign w:val="center"/>
          </w:tcPr>
          <w:p w14:paraId="05E46292">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49</w:t>
            </w:r>
          </w:p>
        </w:tc>
        <w:tc>
          <w:tcPr>
            <w:tcW w:w="1136" w:type="dxa"/>
            <w:shd w:val="clear" w:color="auto" w:fill="auto"/>
            <w:vAlign w:val="center"/>
          </w:tcPr>
          <w:p w14:paraId="27E64F47">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262A90DB">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2D03802E">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3069182F">
            <w:pPr>
              <w:jc w:val="right"/>
              <w:rPr>
                <w:rFonts w:hint="default" w:ascii="Times New Roman" w:hAnsi="Times New Roman" w:eastAsia="宋体" w:cs="Times New Roman"/>
                <w:i w:val="0"/>
                <w:iCs w:val="0"/>
                <w:color w:val="000000"/>
                <w:sz w:val="18"/>
                <w:szCs w:val="18"/>
                <w:u w:val="none" w:color="auto"/>
              </w:rPr>
            </w:pPr>
          </w:p>
        </w:tc>
      </w:tr>
      <w:tr w14:paraId="7908F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38" w:type="dxa"/>
            <w:shd w:val="clear" w:color="auto" w:fill="auto"/>
            <w:vAlign w:val="center"/>
          </w:tcPr>
          <w:p w14:paraId="033F9E5C">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13D833F9">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18</w:t>
            </w:r>
          </w:p>
        </w:tc>
        <w:tc>
          <w:tcPr>
            <w:tcW w:w="1056" w:type="dxa"/>
            <w:shd w:val="clear" w:color="auto" w:fill="auto"/>
            <w:vAlign w:val="center"/>
          </w:tcPr>
          <w:p w14:paraId="61FD8A4F">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446D3E37">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十八、自然资源海洋气象等支出</w:t>
            </w:r>
          </w:p>
        </w:tc>
        <w:tc>
          <w:tcPr>
            <w:tcW w:w="560" w:type="dxa"/>
            <w:shd w:val="clear" w:color="auto" w:fill="auto"/>
            <w:vAlign w:val="center"/>
          </w:tcPr>
          <w:p w14:paraId="1BB2CEAC">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50</w:t>
            </w:r>
          </w:p>
        </w:tc>
        <w:tc>
          <w:tcPr>
            <w:tcW w:w="1136" w:type="dxa"/>
            <w:shd w:val="clear" w:color="auto" w:fill="auto"/>
            <w:vAlign w:val="center"/>
          </w:tcPr>
          <w:p w14:paraId="39A89BCB">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536806BD">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26A52354">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66AF3559">
            <w:pPr>
              <w:jc w:val="right"/>
              <w:rPr>
                <w:rFonts w:hint="default" w:ascii="Times New Roman" w:hAnsi="Times New Roman" w:eastAsia="宋体" w:cs="Times New Roman"/>
                <w:i w:val="0"/>
                <w:iCs w:val="0"/>
                <w:color w:val="000000"/>
                <w:sz w:val="18"/>
                <w:szCs w:val="18"/>
                <w:u w:val="none" w:color="auto"/>
              </w:rPr>
            </w:pPr>
          </w:p>
        </w:tc>
      </w:tr>
      <w:tr w14:paraId="57F5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559C7937">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199CF382">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19</w:t>
            </w:r>
          </w:p>
        </w:tc>
        <w:tc>
          <w:tcPr>
            <w:tcW w:w="1056" w:type="dxa"/>
            <w:shd w:val="clear" w:color="auto" w:fill="auto"/>
            <w:vAlign w:val="center"/>
          </w:tcPr>
          <w:p w14:paraId="15C548E5">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0BEA8DD4">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十九、住房保障支出</w:t>
            </w:r>
          </w:p>
        </w:tc>
        <w:tc>
          <w:tcPr>
            <w:tcW w:w="560" w:type="dxa"/>
            <w:shd w:val="clear" w:color="auto" w:fill="auto"/>
            <w:vAlign w:val="center"/>
          </w:tcPr>
          <w:p w14:paraId="7062D9A5">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51</w:t>
            </w:r>
          </w:p>
        </w:tc>
        <w:tc>
          <w:tcPr>
            <w:tcW w:w="1136" w:type="dxa"/>
            <w:shd w:val="clear" w:color="auto" w:fill="auto"/>
            <w:vAlign w:val="center"/>
          </w:tcPr>
          <w:p w14:paraId="2FFF6C5B">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5BBAB892">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416E647D">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16E19198">
            <w:pPr>
              <w:jc w:val="right"/>
              <w:rPr>
                <w:rFonts w:hint="default" w:ascii="Times New Roman" w:hAnsi="Times New Roman" w:eastAsia="宋体" w:cs="Times New Roman"/>
                <w:i w:val="0"/>
                <w:iCs w:val="0"/>
                <w:color w:val="000000"/>
                <w:sz w:val="18"/>
                <w:szCs w:val="18"/>
                <w:u w:val="none" w:color="auto"/>
              </w:rPr>
            </w:pPr>
          </w:p>
        </w:tc>
      </w:tr>
      <w:tr w14:paraId="4CDD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58E2D33D">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629F982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20</w:t>
            </w:r>
          </w:p>
        </w:tc>
        <w:tc>
          <w:tcPr>
            <w:tcW w:w="1056" w:type="dxa"/>
            <w:shd w:val="clear" w:color="auto" w:fill="auto"/>
            <w:vAlign w:val="center"/>
          </w:tcPr>
          <w:p w14:paraId="546E6B75">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5E7C51B0">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二十、粮油物资储备支出</w:t>
            </w:r>
          </w:p>
        </w:tc>
        <w:tc>
          <w:tcPr>
            <w:tcW w:w="560" w:type="dxa"/>
            <w:shd w:val="clear" w:color="auto" w:fill="auto"/>
            <w:vAlign w:val="center"/>
          </w:tcPr>
          <w:p w14:paraId="52DD86C9">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52</w:t>
            </w:r>
          </w:p>
        </w:tc>
        <w:tc>
          <w:tcPr>
            <w:tcW w:w="1136" w:type="dxa"/>
            <w:shd w:val="clear" w:color="auto" w:fill="auto"/>
            <w:vAlign w:val="center"/>
          </w:tcPr>
          <w:p w14:paraId="7276C67B">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6857C5FA">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4EE7D5D3">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485E8493">
            <w:pPr>
              <w:jc w:val="right"/>
              <w:rPr>
                <w:rFonts w:hint="default" w:ascii="Times New Roman" w:hAnsi="Times New Roman" w:eastAsia="宋体" w:cs="Times New Roman"/>
                <w:i w:val="0"/>
                <w:iCs w:val="0"/>
                <w:color w:val="000000"/>
                <w:sz w:val="18"/>
                <w:szCs w:val="18"/>
                <w:u w:val="none" w:color="auto"/>
              </w:rPr>
            </w:pPr>
          </w:p>
        </w:tc>
      </w:tr>
      <w:tr w14:paraId="681D0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38" w:type="dxa"/>
            <w:shd w:val="clear" w:color="auto" w:fill="auto"/>
            <w:vAlign w:val="center"/>
          </w:tcPr>
          <w:p w14:paraId="5A06960A">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43CA0D0D">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21</w:t>
            </w:r>
          </w:p>
        </w:tc>
        <w:tc>
          <w:tcPr>
            <w:tcW w:w="1056" w:type="dxa"/>
            <w:shd w:val="clear" w:color="auto" w:fill="auto"/>
            <w:vAlign w:val="center"/>
          </w:tcPr>
          <w:p w14:paraId="6AC2CAC3">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0467380D">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二十一、国有资本经营预算支出</w:t>
            </w:r>
          </w:p>
        </w:tc>
        <w:tc>
          <w:tcPr>
            <w:tcW w:w="560" w:type="dxa"/>
            <w:shd w:val="clear" w:color="auto" w:fill="auto"/>
            <w:vAlign w:val="center"/>
          </w:tcPr>
          <w:p w14:paraId="6C9DF15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53</w:t>
            </w:r>
          </w:p>
        </w:tc>
        <w:tc>
          <w:tcPr>
            <w:tcW w:w="1136" w:type="dxa"/>
            <w:shd w:val="clear" w:color="auto" w:fill="auto"/>
            <w:vAlign w:val="center"/>
          </w:tcPr>
          <w:p w14:paraId="77169A75">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58C5A6A6">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1A1E1FD1">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780634A9">
            <w:pPr>
              <w:jc w:val="right"/>
              <w:rPr>
                <w:rFonts w:hint="default" w:ascii="Times New Roman" w:hAnsi="Times New Roman" w:eastAsia="宋体" w:cs="Times New Roman"/>
                <w:i w:val="0"/>
                <w:iCs w:val="0"/>
                <w:color w:val="000000"/>
                <w:sz w:val="18"/>
                <w:szCs w:val="18"/>
                <w:u w:val="none" w:color="auto"/>
              </w:rPr>
            </w:pPr>
          </w:p>
        </w:tc>
      </w:tr>
      <w:tr w14:paraId="4193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438" w:type="dxa"/>
            <w:shd w:val="clear" w:color="auto" w:fill="auto"/>
            <w:vAlign w:val="center"/>
          </w:tcPr>
          <w:p w14:paraId="1978DEAD">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60C7F688">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22</w:t>
            </w:r>
          </w:p>
        </w:tc>
        <w:tc>
          <w:tcPr>
            <w:tcW w:w="1056" w:type="dxa"/>
            <w:shd w:val="clear" w:color="auto" w:fill="auto"/>
            <w:vAlign w:val="center"/>
          </w:tcPr>
          <w:p w14:paraId="0FB847A2">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6FC9027D">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二十二、灾害防治及应急管理支出</w:t>
            </w:r>
          </w:p>
        </w:tc>
        <w:tc>
          <w:tcPr>
            <w:tcW w:w="560" w:type="dxa"/>
            <w:shd w:val="clear" w:color="auto" w:fill="auto"/>
            <w:vAlign w:val="center"/>
          </w:tcPr>
          <w:p w14:paraId="31D079A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54</w:t>
            </w:r>
          </w:p>
        </w:tc>
        <w:tc>
          <w:tcPr>
            <w:tcW w:w="1136" w:type="dxa"/>
            <w:shd w:val="clear" w:color="auto" w:fill="auto"/>
            <w:vAlign w:val="center"/>
          </w:tcPr>
          <w:p w14:paraId="421AF8A6">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0C6CA098">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69D523EC">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2DE20E22">
            <w:pPr>
              <w:jc w:val="right"/>
              <w:rPr>
                <w:rFonts w:hint="default" w:ascii="Times New Roman" w:hAnsi="Times New Roman" w:eastAsia="宋体" w:cs="Times New Roman"/>
                <w:i w:val="0"/>
                <w:iCs w:val="0"/>
                <w:color w:val="000000"/>
                <w:sz w:val="18"/>
                <w:szCs w:val="18"/>
                <w:u w:val="none" w:color="auto"/>
              </w:rPr>
            </w:pPr>
          </w:p>
        </w:tc>
      </w:tr>
      <w:tr w14:paraId="1F51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7A060F84">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43FA8DD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23</w:t>
            </w:r>
          </w:p>
        </w:tc>
        <w:tc>
          <w:tcPr>
            <w:tcW w:w="1056" w:type="dxa"/>
            <w:shd w:val="clear" w:color="auto" w:fill="auto"/>
            <w:vAlign w:val="center"/>
          </w:tcPr>
          <w:p w14:paraId="5988F8F0">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360D4ABB">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二十三、其他支出</w:t>
            </w:r>
          </w:p>
        </w:tc>
        <w:tc>
          <w:tcPr>
            <w:tcW w:w="560" w:type="dxa"/>
            <w:shd w:val="clear" w:color="auto" w:fill="auto"/>
            <w:vAlign w:val="center"/>
          </w:tcPr>
          <w:p w14:paraId="74AA647A">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55</w:t>
            </w:r>
          </w:p>
        </w:tc>
        <w:tc>
          <w:tcPr>
            <w:tcW w:w="1136" w:type="dxa"/>
            <w:shd w:val="clear" w:color="auto" w:fill="auto"/>
            <w:vAlign w:val="center"/>
          </w:tcPr>
          <w:p w14:paraId="500D763C">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4D740430">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2FFD1CD8">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6B5C25BF">
            <w:pPr>
              <w:jc w:val="right"/>
              <w:rPr>
                <w:rFonts w:hint="default" w:ascii="Times New Roman" w:hAnsi="Times New Roman" w:eastAsia="宋体" w:cs="Times New Roman"/>
                <w:i w:val="0"/>
                <w:iCs w:val="0"/>
                <w:color w:val="000000"/>
                <w:sz w:val="18"/>
                <w:szCs w:val="18"/>
                <w:u w:val="none" w:color="auto"/>
              </w:rPr>
            </w:pPr>
          </w:p>
        </w:tc>
      </w:tr>
      <w:tr w14:paraId="3947C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15FB8D47">
            <w:pPr>
              <w:keepNext w:val="0"/>
              <w:keepLines w:val="0"/>
              <w:pageBreakBefore w:val="0"/>
              <w:widowControl/>
              <w:wordWrap/>
              <w:overflowPunct/>
              <w:topLinePunct w:val="0"/>
              <w:bidi w:val="0"/>
              <w:adjustRightInd w:val="0"/>
              <w:snapToGrid w:val="0"/>
              <w:spacing w:line="240" w:lineRule="exact"/>
              <w:jc w:val="center"/>
              <w:rPr>
                <w:rFonts w:hint="default" w:ascii="Times New Roman" w:hAnsi="Times New Roman" w:eastAsia="宋体" w:cs="Times New Roman"/>
                <w:b/>
                <w:bCs/>
                <w:i w:val="0"/>
                <w:iCs w:val="0"/>
                <w:color w:val="000000"/>
                <w:sz w:val="18"/>
                <w:szCs w:val="18"/>
                <w:u w:val="none" w:color="auto"/>
              </w:rPr>
            </w:pPr>
          </w:p>
        </w:tc>
        <w:tc>
          <w:tcPr>
            <w:tcW w:w="464" w:type="dxa"/>
            <w:shd w:val="clear" w:color="auto" w:fill="auto"/>
            <w:vAlign w:val="center"/>
          </w:tcPr>
          <w:p w14:paraId="6C8A9CC1">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24</w:t>
            </w:r>
          </w:p>
        </w:tc>
        <w:tc>
          <w:tcPr>
            <w:tcW w:w="1056" w:type="dxa"/>
            <w:shd w:val="clear" w:color="auto" w:fill="auto"/>
            <w:vAlign w:val="center"/>
          </w:tcPr>
          <w:p w14:paraId="1D802030">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5E75F095">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二十四、债务还本支出</w:t>
            </w:r>
          </w:p>
        </w:tc>
        <w:tc>
          <w:tcPr>
            <w:tcW w:w="560" w:type="dxa"/>
            <w:shd w:val="clear" w:color="auto" w:fill="auto"/>
            <w:vAlign w:val="center"/>
          </w:tcPr>
          <w:p w14:paraId="60FF2143">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56</w:t>
            </w:r>
          </w:p>
        </w:tc>
        <w:tc>
          <w:tcPr>
            <w:tcW w:w="1136" w:type="dxa"/>
            <w:shd w:val="clear" w:color="auto" w:fill="auto"/>
            <w:vAlign w:val="center"/>
          </w:tcPr>
          <w:p w14:paraId="4E20CA17">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22FF4181">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6845CFFB">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14DA94D7">
            <w:pPr>
              <w:jc w:val="right"/>
              <w:rPr>
                <w:rFonts w:hint="default" w:ascii="Times New Roman" w:hAnsi="Times New Roman" w:eastAsia="宋体" w:cs="Times New Roman"/>
                <w:i w:val="0"/>
                <w:iCs w:val="0"/>
                <w:color w:val="000000"/>
                <w:sz w:val="18"/>
                <w:szCs w:val="18"/>
                <w:u w:val="none" w:color="auto"/>
              </w:rPr>
            </w:pPr>
          </w:p>
        </w:tc>
      </w:tr>
      <w:tr w14:paraId="55DF5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2DC34B00">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09E507EC">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25</w:t>
            </w:r>
          </w:p>
        </w:tc>
        <w:tc>
          <w:tcPr>
            <w:tcW w:w="1056" w:type="dxa"/>
            <w:shd w:val="clear" w:color="auto" w:fill="auto"/>
            <w:vAlign w:val="center"/>
          </w:tcPr>
          <w:p w14:paraId="38096CCC">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095CE50C">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二十五、债务付息支出</w:t>
            </w:r>
          </w:p>
        </w:tc>
        <w:tc>
          <w:tcPr>
            <w:tcW w:w="560" w:type="dxa"/>
            <w:shd w:val="clear" w:color="auto" w:fill="auto"/>
            <w:vAlign w:val="center"/>
          </w:tcPr>
          <w:p w14:paraId="554E8A18">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57</w:t>
            </w:r>
          </w:p>
        </w:tc>
        <w:tc>
          <w:tcPr>
            <w:tcW w:w="1136" w:type="dxa"/>
            <w:shd w:val="clear" w:color="auto" w:fill="auto"/>
            <w:vAlign w:val="center"/>
          </w:tcPr>
          <w:p w14:paraId="5122F87D">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6739CCD3">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4E47E781">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331835F8">
            <w:pPr>
              <w:jc w:val="right"/>
              <w:rPr>
                <w:rFonts w:hint="default" w:ascii="Times New Roman" w:hAnsi="Times New Roman" w:eastAsia="宋体" w:cs="Times New Roman"/>
                <w:i w:val="0"/>
                <w:iCs w:val="0"/>
                <w:color w:val="000000"/>
                <w:sz w:val="18"/>
                <w:szCs w:val="18"/>
                <w:u w:val="none" w:color="auto"/>
              </w:rPr>
            </w:pPr>
          </w:p>
        </w:tc>
      </w:tr>
      <w:tr w14:paraId="66827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438" w:type="dxa"/>
            <w:shd w:val="clear" w:color="auto" w:fill="auto"/>
            <w:vAlign w:val="center"/>
          </w:tcPr>
          <w:p w14:paraId="747C9FBA">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464" w:type="dxa"/>
            <w:shd w:val="clear" w:color="auto" w:fill="auto"/>
            <w:vAlign w:val="center"/>
          </w:tcPr>
          <w:p w14:paraId="0616CCED">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26</w:t>
            </w:r>
          </w:p>
        </w:tc>
        <w:tc>
          <w:tcPr>
            <w:tcW w:w="1056" w:type="dxa"/>
            <w:shd w:val="clear" w:color="auto" w:fill="auto"/>
            <w:vAlign w:val="center"/>
          </w:tcPr>
          <w:p w14:paraId="147F61AA">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6F821D61">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二十六、抗疫特别国债安排的支出</w:t>
            </w:r>
          </w:p>
        </w:tc>
        <w:tc>
          <w:tcPr>
            <w:tcW w:w="560" w:type="dxa"/>
            <w:shd w:val="clear" w:color="auto" w:fill="auto"/>
            <w:vAlign w:val="center"/>
          </w:tcPr>
          <w:p w14:paraId="2D00C663">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58</w:t>
            </w:r>
          </w:p>
        </w:tc>
        <w:tc>
          <w:tcPr>
            <w:tcW w:w="1136" w:type="dxa"/>
            <w:shd w:val="clear" w:color="auto" w:fill="auto"/>
            <w:vAlign w:val="center"/>
          </w:tcPr>
          <w:p w14:paraId="0A5E25E0">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6A03A458">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0C1FFA0D">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1D9946DE">
            <w:pPr>
              <w:jc w:val="right"/>
              <w:rPr>
                <w:rFonts w:hint="default" w:ascii="Times New Roman" w:hAnsi="Times New Roman" w:eastAsia="宋体" w:cs="Times New Roman"/>
                <w:i w:val="0"/>
                <w:iCs w:val="0"/>
                <w:color w:val="000000"/>
                <w:sz w:val="18"/>
                <w:szCs w:val="18"/>
                <w:u w:val="none" w:color="auto"/>
              </w:rPr>
            </w:pPr>
          </w:p>
        </w:tc>
      </w:tr>
      <w:tr w14:paraId="7CCA1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0F0E08D6">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b/>
                <w:bCs/>
                <w:i w:val="0"/>
                <w:iCs w:val="0"/>
                <w:color w:val="000000"/>
                <w:sz w:val="18"/>
                <w:szCs w:val="18"/>
                <w:u w:val="none" w:color="auto"/>
              </w:rPr>
            </w:pPr>
            <w:r>
              <w:rPr>
                <w:rFonts w:hint="default" w:ascii="Times New Roman" w:hAnsi="Times New Roman" w:eastAsia="宋体" w:cs="Times New Roman"/>
                <w:b/>
                <w:bCs/>
                <w:i w:val="0"/>
                <w:iCs w:val="0"/>
                <w:snapToGrid w:val="0"/>
                <w:color w:val="000000"/>
                <w:kern w:val="0"/>
                <w:sz w:val="18"/>
                <w:szCs w:val="18"/>
                <w:u w:val="none" w:color="auto"/>
                <w:lang w:val="en-US" w:eastAsia="zh-CN" w:bidi="ar"/>
              </w:rPr>
              <w:t>本年收入合计</w:t>
            </w:r>
          </w:p>
        </w:tc>
        <w:tc>
          <w:tcPr>
            <w:tcW w:w="464" w:type="dxa"/>
            <w:shd w:val="clear" w:color="auto" w:fill="auto"/>
            <w:vAlign w:val="center"/>
          </w:tcPr>
          <w:p w14:paraId="10E03166">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27</w:t>
            </w:r>
          </w:p>
        </w:tc>
        <w:tc>
          <w:tcPr>
            <w:tcW w:w="1056" w:type="dxa"/>
            <w:shd w:val="clear" w:color="auto" w:fill="auto"/>
            <w:vAlign w:val="center"/>
          </w:tcPr>
          <w:p w14:paraId="4ED5CE76">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2,647.60</w:t>
            </w:r>
          </w:p>
        </w:tc>
        <w:tc>
          <w:tcPr>
            <w:tcW w:w="2400" w:type="dxa"/>
            <w:shd w:val="clear" w:color="auto" w:fill="auto"/>
            <w:vAlign w:val="center"/>
          </w:tcPr>
          <w:p w14:paraId="08BAC29C">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b/>
                <w:bCs/>
                <w:i w:val="0"/>
                <w:iCs w:val="0"/>
                <w:color w:val="000000"/>
                <w:sz w:val="18"/>
                <w:szCs w:val="18"/>
                <w:u w:val="none" w:color="auto"/>
              </w:rPr>
            </w:pPr>
            <w:r>
              <w:rPr>
                <w:rFonts w:hint="default" w:ascii="Times New Roman" w:hAnsi="Times New Roman" w:eastAsia="宋体" w:cs="Times New Roman"/>
                <w:b/>
                <w:bCs/>
                <w:i w:val="0"/>
                <w:iCs w:val="0"/>
                <w:snapToGrid w:val="0"/>
                <w:color w:val="000000"/>
                <w:kern w:val="0"/>
                <w:sz w:val="18"/>
                <w:szCs w:val="18"/>
                <w:u w:val="none" w:color="auto"/>
                <w:lang w:val="en-US" w:eastAsia="zh-CN" w:bidi="ar"/>
              </w:rPr>
              <w:t>本年支出合计</w:t>
            </w:r>
          </w:p>
        </w:tc>
        <w:tc>
          <w:tcPr>
            <w:tcW w:w="560" w:type="dxa"/>
            <w:shd w:val="clear" w:color="auto" w:fill="auto"/>
            <w:vAlign w:val="center"/>
          </w:tcPr>
          <w:p w14:paraId="7A718207">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59</w:t>
            </w:r>
          </w:p>
        </w:tc>
        <w:tc>
          <w:tcPr>
            <w:tcW w:w="1136" w:type="dxa"/>
            <w:shd w:val="clear" w:color="auto" w:fill="auto"/>
            <w:vAlign w:val="center"/>
          </w:tcPr>
          <w:p w14:paraId="546C3C51">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2,647.60</w:t>
            </w:r>
          </w:p>
        </w:tc>
        <w:tc>
          <w:tcPr>
            <w:tcW w:w="1024" w:type="dxa"/>
            <w:shd w:val="clear" w:color="auto" w:fill="auto"/>
            <w:vAlign w:val="center"/>
          </w:tcPr>
          <w:p w14:paraId="748EC9DC">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2,647.60</w:t>
            </w:r>
          </w:p>
        </w:tc>
        <w:tc>
          <w:tcPr>
            <w:tcW w:w="1037" w:type="dxa"/>
            <w:shd w:val="clear" w:color="auto" w:fill="auto"/>
            <w:vAlign w:val="center"/>
          </w:tcPr>
          <w:p w14:paraId="5815E057">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5AE35099">
            <w:pPr>
              <w:jc w:val="right"/>
              <w:rPr>
                <w:rFonts w:hint="default" w:ascii="Times New Roman" w:hAnsi="Times New Roman" w:eastAsia="宋体" w:cs="Times New Roman"/>
                <w:i w:val="0"/>
                <w:iCs w:val="0"/>
                <w:color w:val="000000"/>
                <w:sz w:val="18"/>
                <w:szCs w:val="18"/>
                <w:u w:val="none" w:color="auto"/>
              </w:rPr>
            </w:pPr>
          </w:p>
        </w:tc>
      </w:tr>
      <w:tr w14:paraId="4F6C1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6FE4889F">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年初财政拨款结转和结余</w:t>
            </w:r>
          </w:p>
        </w:tc>
        <w:tc>
          <w:tcPr>
            <w:tcW w:w="464" w:type="dxa"/>
            <w:shd w:val="clear" w:color="auto" w:fill="auto"/>
            <w:vAlign w:val="center"/>
          </w:tcPr>
          <w:p w14:paraId="4B92A130">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28</w:t>
            </w:r>
          </w:p>
        </w:tc>
        <w:tc>
          <w:tcPr>
            <w:tcW w:w="1056" w:type="dxa"/>
            <w:shd w:val="clear" w:color="auto" w:fill="auto"/>
            <w:vAlign w:val="center"/>
          </w:tcPr>
          <w:p w14:paraId="3C53EFEA">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67E62759">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年末财政拨款结转和结余</w:t>
            </w:r>
          </w:p>
        </w:tc>
        <w:tc>
          <w:tcPr>
            <w:tcW w:w="560" w:type="dxa"/>
            <w:shd w:val="clear" w:color="auto" w:fill="auto"/>
            <w:vAlign w:val="center"/>
          </w:tcPr>
          <w:p w14:paraId="691A3E46">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60</w:t>
            </w:r>
          </w:p>
        </w:tc>
        <w:tc>
          <w:tcPr>
            <w:tcW w:w="1136" w:type="dxa"/>
            <w:shd w:val="clear" w:color="auto" w:fill="auto"/>
            <w:vAlign w:val="center"/>
          </w:tcPr>
          <w:p w14:paraId="3D43CFE3">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64B0DFFF">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72756E36">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14A88ADD">
            <w:pPr>
              <w:jc w:val="right"/>
              <w:rPr>
                <w:rFonts w:hint="default" w:ascii="Times New Roman" w:hAnsi="Times New Roman" w:eastAsia="宋体" w:cs="Times New Roman"/>
                <w:i w:val="0"/>
                <w:iCs w:val="0"/>
                <w:color w:val="000000"/>
                <w:sz w:val="18"/>
                <w:szCs w:val="18"/>
                <w:u w:val="none" w:color="auto"/>
              </w:rPr>
            </w:pPr>
          </w:p>
        </w:tc>
      </w:tr>
      <w:tr w14:paraId="14491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7B80F2D2">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一般公共预算财政拨款</w:t>
            </w:r>
          </w:p>
        </w:tc>
        <w:tc>
          <w:tcPr>
            <w:tcW w:w="464" w:type="dxa"/>
            <w:shd w:val="clear" w:color="auto" w:fill="auto"/>
            <w:vAlign w:val="center"/>
          </w:tcPr>
          <w:p w14:paraId="1340BB5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29</w:t>
            </w:r>
          </w:p>
        </w:tc>
        <w:tc>
          <w:tcPr>
            <w:tcW w:w="1056" w:type="dxa"/>
            <w:shd w:val="clear" w:color="auto" w:fill="auto"/>
            <w:vAlign w:val="center"/>
          </w:tcPr>
          <w:p w14:paraId="39D469F1">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3DA25DC3">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560" w:type="dxa"/>
            <w:shd w:val="clear" w:color="auto" w:fill="auto"/>
            <w:vAlign w:val="center"/>
          </w:tcPr>
          <w:p w14:paraId="4D901889">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61</w:t>
            </w:r>
          </w:p>
        </w:tc>
        <w:tc>
          <w:tcPr>
            <w:tcW w:w="1136" w:type="dxa"/>
            <w:shd w:val="clear" w:color="auto" w:fill="auto"/>
            <w:vAlign w:val="center"/>
          </w:tcPr>
          <w:p w14:paraId="39A158F9">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1520722F">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6E01B2A5">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51D8A2FF">
            <w:pPr>
              <w:jc w:val="right"/>
              <w:rPr>
                <w:rFonts w:hint="default" w:ascii="Times New Roman" w:hAnsi="Times New Roman" w:eastAsia="宋体" w:cs="Times New Roman"/>
                <w:i w:val="0"/>
                <w:iCs w:val="0"/>
                <w:color w:val="000000"/>
                <w:sz w:val="18"/>
                <w:szCs w:val="18"/>
                <w:u w:val="none" w:color="auto"/>
              </w:rPr>
            </w:pPr>
          </w:p>
        </w:tc>
      </w:tr>
      <w:tr w14:paraId="4D799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693EC360">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政府性基金预算财政拨款</w:t>
            </w:r>
          </w:p>
        </w:tc>
        <w:tc>
          <w:tcPr>
            <w:tcW w:w="464" w:type="dxa"/>
            <w:shd w:val="clear" w:color="auto" w:fill="auto"/>
            <w:vAlign w:val="center"/>
          </w:tcPr>
          <w:p w14:paraId="2C52F9CF">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30</w:t>
            </w:r>
          </w:p>
        </w:tc>
        <w:tc>
          <w:tcPr>
            <w:tcW w:w="1056" w:type="dxa"/>
            <w:shd w:val="clear" w:color="auto" w:fill="auto"/>
            <w:vAlign w:val="center"/>
          </w:tcPr>
          <w:p w14:paraId="3E36DCE8">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076735D7">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560" w:type="dxa"/>
            <w:shd w:val="clear" w:color="auto" w:fill="auto"/>
            <w:vAlign w:val="center"/>
          </w:tcPr>
          <w:p w14:paraId="004493EE">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62</w:t>
            </w:r>
          </w:p>
        </w:tc>
        <w:tc>
          <w:tcPr>
            <w:tcW w:w="1136" w:type="dxa"/>
            <w:shd w:val="clear" w:color="auto" w:fill="auto"/>
            <w:vAlign w:val="center"/>
          </w:tcPr>
          <w:p w14:paraId="160E4FFB">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7D157585">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16E499BD">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0D6043EF">
            <w:pPr>
              <w:jc w:val="right"/>
              <w:rPr>
                <w:rFonts w:hint="default" w:ascii="Times New Roman" w:hAnsi="Times New Roman" w:eastAsia="宋体" w:cs="Times New Roman"/>
                <w:i w:val="0"/>
                <w:iCs w:val="0"/>
                <w:color w:val="000000"/>
                <w:sz w:val="18"/>
                <w:szCs w:val="18"/>
                <w:u w:val="none" w:color="auto"/>
              </w:rPr>
            </w:pPr>
          </w:p>
        </w:tc>
      </w:tr>
      <w:tr w14:paraId="09CCB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438" w:type="dxa"/>
            <w:shd w:val="clear" w:color="auto" w:fill="auto"/>
            <w:vAlign w:val="center"/>
          </w:tcPr>
          <w:p w14:paraId="23EBDDD9">
            <w:pPr>
              <w:keepNext w:val="0"/>
              <w:keepLines w:val="0"/>
              <w:pageBreakBefore w:val="0"/>
              <w:widowControl/>
              <w:suppressLineNumbers w:val="0"/>
              <w:wordWrap/>
              <w:overflowPunct/>
              <w:topLinePunct w:val="0"/>
              <w:bidi w:val="0"/>
              <w:adjustRightInd w:val="0"/>
              <w:snapToGrid w:val="0"/>
              <w:spacing w:line="240" w:lineRule="exact"/>
              <w:jc w:val="left"/>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国有资本经营预算财政拨款</w:t>
            </w:r>
          </w:p>
        </w:tc>
        <w:tc>
          <w:tcPr>
            <w:tcW w:w="464" w:type="dxa"/>
            <w:shd w:val="clear" w:color="auto" w:fill="auto"/>
            <w:vAlign w:val="center"/>
          </w:tcPr>
          <w:p w14:paraId="68D84250">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31</w:t>
            </w:r>
          </w:p>
        </w:tc>
        <w:tc>
          <w:tcPr>
            <w:tcW w:w="1056" w:type="dxa"/>
            <w:shd w:val="clear" w:color="auto" w:fill="auto"/>
            <w:vAlign w:val="center"/>
          </w:tcPr>
          <w:p w14:paraId="4CBDBC8F">
            <w:pPr>
              <w:jc w:val="right"/>
              <w:rPr>
                <w:rFonts w:hint="default" w:ascii="Times New Roman" w:hAnsi="Times New Roman" w:eastAsia="宋体" w:cs="Times New Roman"/>
                <w:i w:val="0"/>
                <w:iCs w:val="0"/>
                <w:color w:val="000000"/>
                <w:sz w:val="18"/>
                <w:szCs w:val="18"/>
                <w:u w:val="none" w:color="auto"/>
              </w:rPr>
            </w:pPr>
          </w:p>
        </w:tc>
        <w:tc>
          <w:tcPr>
            <w:tcW w:w="2400" w:type="dxa"/>
            <w:shd w:val="clear" w:color="auto" w:fill="auto"/>
            <w:vAlign w:val="center"/>
          </w:tcPr>
          <w:p w14:paraId="68B1E53B">
            <w:pPr>
              <w:keepNext w:val="0"/>
              <w:keepLines w:val="0"/>
              <w:pageBreakBefore w:val="0"/>
              <w:widowControl/>
              <w:wordWrap/>
              <w:overflowPunct/>
              <w:topLinePunct w:val="0"/>
              <w:bidi w:val="0"/>
              <w:adjustRightInd w:val="0"/>
              <w:snapToGrid w:val="0"/>
              <w:spacing w:line="240" w:lineRule="exact"/>
              <w:jc w:val="left"/>
              <w:rPr>
                <w:rFonts w:hint="default" w:ascii="Times New Roman" w:hAnsi="Times New Roman" w:eastAsia="宋体" w:cs="Times New Roman"/>
                <w:i w:val="0"/>
                <w:iCs w:val="0"/>
                <w:color w:val="000000"/>
                <w:sz w:val="18"/>
                <w:szCs w:val="18"/>
                <w:u w:val="none" w:color="auto"/>
              </w:rPr>
            </w:pPr>
          </w:p>
        </w:tc>
        <w:tc>
          <w:tcPr>
            <w:tcW w:w="560" w:type="dxa"/>
            <w:shd w:val="clear" w:color="auto" w:fill="auto"/>
            <w:vAlign w:val="center"/>
          </w:tcPr>
          <w:p w14:paraId="1C8B7A10">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63</w:t>
            </w:r>
          </w:p>
        </w:tc>
        <w:tc>
          <w:tcPr>
            <w:tcW w:w="1136" w:type="dxa"/>
            <w:shd w:val="clear" w:color="auto" w:fill="auto"/>
            <w:vAlign w:val="center"/>
          </w:tcPr>
          <w:p w14:paraId="4347AA8A">
            <w:pPr>
              <w:jc w:val="right"/>
              <w:rPr>
                <w:rFonts w:hint="default" w:ascii="Times New Roman" w:hAnsi="Times New Roman" w:eastAsia="宋体" w:cs="Times New Roman"/>
                <w:i w:val="0"/>
                <w:iCs w:val="0"/>
                <w:color w:val="000000"/>
                <w:sz w:val="18"/>
                <w:szCs w:val="18"/>
                <w:u w:val="none" w:color="auto"/>
              </w:rPr>
            </w:pPr>
          </w:p>
        </w:tc>
        <w:tc>
          <w:tcPr>
            <w:tcW w:w="1024" w:type="dxa"/>
            <w:shd w:val="clear" w:color="auto" w:fill="auto"/>
            <w:vAlign w:val="center"/>
          </w:tcPr>
          <w:p w14:paraId="5EFBE069">
            <w:pPr>
              <w:jc w:val="right"/>
              <w:rPr>
                <w:rFonts w:hint="default" w:ascii="Times New Roman" w:hAnsi="Times New Roman" w:eastAsia="宋体" w:cs="Times New Roman"/>
                <w:i w:val="0"/>
                <w:iCs w:val="0"/>
                <w:color w:val="000000"/>
                <w:sz w:val="18"/>
                <w:szCs w:val="18"/>
                <w:u w:val="none" w:color="auto"/>
              </w:rPr>
            </w:pPr>
          </w:p>
        </w:tc>
        <w:tc>
          <w:tcPr>
            <w:tcW w:w="1037" w:type="dxa"/>
            <w:shd w:val="clear" w:color="auto" w:fill="auto"/>
            <w:vAlign w:val="center"/>
          </w:tcPr>
          <w:p w14:paraId="462F783B">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5466FAE3">
            <w:pPr>
              <w:jc w:val="right"/>
              <w:rPr>
                <w:rFonts w:hint="default" w:ascii="Times New Roman" w:hAnsi="Times New Roman" w:eastAsia="宋体" w:cs="Times New Roman"/>
                <w:i w:val="0"/>
                <w:iCs w:val="0"/>
                <w:color w:val="000000"/>
                <w:sz w:val="18"/>
                <w:szCs w:val="18"/>
                <w:u w:val="none" w:color="auto"/>
              </w:rPr>
            </w:pPr>
          </w:p>
        </w:tc>
      </w:tr>
      <w:tr w14:paraId="4EBCC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438" w:type="dxa"/>
            <w:shd w:val="clear" w:color="auto" w:fill="auto"/>
            <w:vAlign w:val="center"/>
          </w:tcPr>
          <w:p w14:paraId="3AA3E136">
            <w:pPr>
              <w:keepNext w:val="0"/>
              <w:keepLines w:val="0"/>
              <w:pageBreakBefore w:val="0"/>
              <w:widowControl/>
              <w:suppressLineNumbers w:val="0"/>
              <w:wordWrap/>
              <w:overflowPunct/>
              <w:topLinePunct w:val="0"/>
              <w:bidi w:val="0"/>
              <w:adjustRightInd w:val="0"/>
              <w:snapToGrid w:val="0"/>
              <w:spacing w:line="240" w:lineRule="exact"/>
              <w:jc w:val="both"/>
              <w:textAlignment w:val="center"/>
              <w:rPr>
                <w:rFonts w:hint="default" w:ascii="Times New Roman" w:hAnsi="Times New Roman" w:eastAsia="宋体" w:cs="Times New Roman"/>
                <w:b/>
                <w:bCs/>
                <w:i w:val="0"/>
                <w:iCs w:val="0"/>
                <w:color w:val="000000"/>
                <w:sz w:val="18"/>
                <w:szCs w:val="18"/>
                <w:u w:val="none" w:color="auto"/>
              </w:rPr>
            </w:pPr>
            <w:r>
              <w:rPr>
                <w:rFonts w:hint="default" w:ascii="Times New Roman" w:hAnsi="Times New Roman" w:eastAsia="宋体" w:cs="Times New Roman"/>
                <w:b/>
                <w:bCs/>
                <w:i w:val="0"/>
                <w:iCs w:val="0"/>
                <w:snapToGrid w:val="0"/>
                <w:color w:val="000000"/>
                <w:kern w:val="0"/>
                <w:sz w:val="18"/>
                <w:szCs w:val="18"/>
                <w:u w:val="none" w:color="auto"/>
                <w:lang w:val="en-US" w:eastAsia="zh-CN" w:bidi="ar"/>
              </w:rPr>
              <w:t>总计</w:t>
            </w:r>
          </w:p>
        </w:tc>
        <w:tc>
          <w:tcPr>
            <w:tcW w:w="464" w:type="dxa"/>
            <w:shd w:val="clear" w:color="auto" w:fill="auto"/>
            <w:vAlign w:val="center"/>
          </w:tcPr>
          <w:p w14:paraId="0D1F8516">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32</w:t>
            </w:r>
          </w:p>
        </w:tc>
        <w:tc>
          <w:tcPr>
            <w:tcW w:w="1056" w:type="dxa"/>
            <w:shd w:val="clear" w:color="auto" w:fill="auto"/>
            <w:vAlign w:val="center"/>
          </w:tcPr>
          <w:p w14:paraId="0E9E6FF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2,647.60</w:t>
            </w:r>
          </w:p>
        </w:tc>
        <w:tc>
          <w:tcPr>
            <w:tcW w:w="2400" w:type="dxa"/>
            <w:shd w:val="clear" w:color="auto" w:fill="auto"/>
            <w:vAlign w:val="center"/>
          </w:tcPr>
          <w:p w14:paraId="46315946">
            <w:pPr>
              <w:keepNext w:val="0"/>
              <w:keepLines w:val="0"/>
              <w:pageBreakBefore w:val="0"/>
              <w:widowControl/>
              <w:suppressLineNumbers w:val="0"/>
              <w:wordWrap/>
              <w:overflowPunct/>
              <w:topLinePunct w:val="0"/>
              <w:bidi w:val="0"/>
              <w:adjustRightInd w:val="0"/>
              <w:snapToGrid w:val="0"/>
              <w:spacing w:line="240" w:lineRule="exact"/>
              <w:jc w:val="both"/>
              <w:textAlignment w:val="center"/>
              <w:rPr>
                <w:rFonts w:hint="default" w:ascii="Times New Roman" w:hAnsi="Times New Roman" w:eastAsia="宋体" w:cs="Times New Roman"/>
                <w:b/>
                <w:bCs/>
                <w:i w:val="0"/>
                <w:iCs w:val="0"/>
                <w:color w:val="000000"/>
                <w:sz w:val="18"/>
                <w:szCs w:val="18"/>
                <w:u w:val="none" w:color="auto"/>
              </w:rPr>
            </w:pPr>
            <w:r>
              <w:rPr>
                <w:rFonts w:hint="default" w:ascii="Times New Roman" w:hAnsi="Times New Roman" w:eastAsia="宋体" w:cs="Times New Roman"/>
                <w:b/>
                <w:bCs/>
                <w:i w:val="0"/>
                <w:iCs w:val="0"/>
                <w:snapToGrid w:val="0"/>
                <w:color w:val="000000"/>
                <w:kern w:val="0"/>
                <w:sz w:val="18"/>
                <w:szCs w:val="18"/>
                <w:u w:val="none" w:color="auto"/>
                <w:lang w:val="en-US" w:eastAsia="zh-CN" w:bidi="ar"/>
              </w:rPr>
              <w:t>总计</w:t>
            </w:r>
          </w:p>
        </w:tc>
        <w:tc>
          <w:tcPr>
            <w:tcW w:w="560" w:type="dxa"/>
            <w:shd w:val="clear" w:color="auto" w:fill="auto"/>
            <w:vAlign w:val="center"/>
          </w:tcPr>
          <w:p w14:paraId="6436A4C0">
            <w:pPr>
              <w:keepNext w:val="0"/>
              <w:keepLines w:val="0"/>
              <w:pageBreakBefore w:val="0"/>
              <w:widowControl/>
              <w:suppressLineNumbers w:val="0"/>
              <w:wordWrap/>
              <w:overflowPunct/>
              <w:topLinePunct w:val="0"/>
              <w:bidi w:val="0"/>
              <w:adjustRightInd w:val="0"/>
              <w:snapToGrid w:val="0"/>
              <w:spacing w:line="240" w:lineRule="exact"/>
              <w:jc w:val="center"/>
              <w:textAlignment w:val="center"/>
              <w:rPr>
                <w:rFonts w:hint="default" w:ascii="Times New Roman" w:hAnsi="Times New Roman" w:eastAsia="宋体" w:cs="Times New Roman"/>
                <w:i w:val="0"/>
                <w:iCs w:val="0"/>
                <w:color w:val="000000"/>
                <w:sz w:val="18"/>
                <w:szCs w:val="18"/>
                <w:u w:val="none" w:color="auto"/>
              </w:rPr>
            </w:pPr>
            <w:r>
              <w:rPr>
                <w:rFonts w:hint="default" w:ascii="Times New Roman" w:hAnsi="Times New Roman" w:eastAsia="宋体" w:cs="Times New Roman"/>
                <w:i w:val="0"/>
                <w:iCs w:val="0"/>
                <w:snapToGrid w:val="0"/>
                <w:color w:val="000000"/>
                <w:kern w:val="0"/>
                <w:sz w:val="18"/>
                <w:szCs w:val="18"/>
                <w:u w:val="none" w:color="auto"/>
                <w:lang w:val="en-US" w:eastAsia="zh-CN" w:bidi="ar"/>
              </w:rPr>
              <w:t>64</w:t>
            </w:r>
          </w:p>
        </w:tc>
        <w:tc>
          <w:tcPr>
            <w:tcW w:w="1136" w:type="dxa"/>
            <w:shd w:val="clear" w:color="auto" w:fill="auto"/>
            <w:vAlign w:val="center"/>
          </w:tcPr>
          <w:p w14:paraId="1E801203">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2,647.60</w:t>
            </w:r>
          </w:p>
        </w:tc>
        <w:tc>
          <w:tcPr>
            <w:tcW w:w="1024" w:type="dxa"/>
            <w:shd w:val="clear" w:color="auto" w:fill="auto"/>
            <w:vAlign w:val="center"/>
          </w:tcPr>
          <w:p w14:paraId="220A8F67">
            <w:pPr>
              <w:keepNext w:val="0"/>
              <w:keepLines w:val="0"/>
              <w:widowControl/>
              <w:suppressLineNumbers w:val="0"/>
              <w:jc w:val="right"/>
              <w:textAlignment w:val="center"/>
              <w:rPr>
                <w:rFonts w:hint="default" w:ascii="Times New Roman" w:hAnsi="Times New Roman" w:eastAsia="宋体" w:cs="Times New Roman"/>
                <w:i w:val="0"/>
                <w:iCs w:val="0"/>
                <w:color w:val="000000"/>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2,647.60</w:t>
            </w:r>
          </w:p>
        </w:tc>
        <w:tc>
          <w:tcPr>
            <w:tcW w:w="1037" w:type="dxa"/>
            <w:shd w:val="clear" w:color="auto" w:fill="auto"/>
            <w:vAlign w:val="center"/>
          </w:tcPr>
          <w:p w14:paraId="3E35FF44">
            <w:pPr>
              <w:jc w:val="right"/>
              <w:rPr>
                <w:rFonts w:hint="default" w:ascii="Times New Roman" w:hAnsi="Times New Roman" w:eastAsia="宋体" w:cs="Times New Roman"/>
                <w:i w:val="0"/>
                <w:iCs w:val="0"/>
                <w:color w:val="000000"/>
                <w:sz w:val="18"/>
                <w:szCs w:val="18"/>
                <w:u w:val="none" w:color="auto"/>
              </w:rPr>
            </w:pPr>
          </w:p>
        </w:tc>
        <w:tc>
          <w:tcPr>
            <w:tcW w:w="1156" w:type="dxa"/>
            <w:shd w:val="clear" w:color="auto" w:fill="auto"/>
            <w:vAlign w:val="center"/>
          </w:tcPr>
          <w:p w14:paraId="2CEA1BC3">
            <w:pPr>
              <w:jc w:val="right"/>
              <w:rPr>
                <w:rFonts w:hint="default" w:ascii="Times New Roman" w:hAnsi="Times New Roman" w:eastAsia="宋体" w:cs="Times New Roman"/>
                <w:i w:val="0"/>
                <w:iCs w:val="0"/>
                <w:color w:val="000000"/>
                <w:sz w:val="18"/>
                <w:szCs w:val="18"/>
                <w:u w:val="none" w:color="auto"/>
              </w:rPr>
            </w:pPr>
          </w:p>
        </w:tc>
      </w:tr>
    </w:tbl>
    <w:p w14:paraId="1C4A38DB">
      <w:pPr>
        <w:pStyle w:val="7"/>
        <w:keepNext w:val="0"/>
        <w:keepLines w:val="0"/>
        <w:pageBreakBefore w:val="0"/>
        <w:widowControl/>
        <w:kinsoku w:val="0"/>
        <w:wordWrap/>
        <w:overflowPunct/>
        <w:topLinePunct w:val="0"/>
        <w:autoSpaceDE w:val="0"/>
        <w:autoSpaceDN w:val="0"/>
        <w:bidi w:val="0"/>
        <w:adjustRightInd w:val="0"/>
        <w:snapToGrid w:val="0"/>
        <w:spacing w:line="300" w:lineRule="exact"/>
        <w:ind w:left="0" w:leftChars="0" w:firstLine="0" w:firstLineChars="0"/>
        <w:textAlignment w:val="baseline"/>
        <w:rPr>
          <w:rFonts w:hint="default" w:ascii="Times New Roman" w:hAnsi="Times New Roman" w:eastAsia="仿宋_GB2312" w:cs="Times New Roman"/>
          <w:bCs/>
          <w:snapToGrid w:val="0"/>
          <w:color w:val="000000"/>
          <w:spacing w:val="0"/>
          <w:w w:val="100"/>
          <w:kern w:val="0"/>
          <w:position w:val="0"/>
          <w:sz w:val="22"/>
          <w:szCs w:val="22"/>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2"/>
          <w:szCs w:val="22"/>
          <w:u w:val="none" w:color="auto"/>
          <w:lang w:val="en-US" w:eastAsia="zh-CN" w:bidi="ar-SA"/>
        </w:rPr>
        <w:t>注：本表反映部门本年度一般公共预算财政拨款、政府性基金预算财政拨款和国有资本</w:t>
      </w:r>
      <w:r>
        <w:rPr>
          <w:rFonts w:hint="eastAsia" w:ascii="Times New Roman" w:hAnsi="Times New Roman" w:cs="Times New Roman"/>
          <w:bCs/>
          <w:snapToGrid w:val="0"/>
          <w:color w:val="000000"/>
          <w:spacing w:val="0"/>
          <w:w w:val="100"/>
          <w:kern w:val="0"/>
          <w:position w:val="0"/>
          <w:sz w:val="22"/>
          <w:szCs w:val="22"/>
          <w:u w:val="none" w:color="auto"/>
          <w:lang w:val="en-US" w:eastAsia="zh-CN" w:bidi="ar-SA"/>
        </w:rPr>
        <w:t>经</w:t>
      </w:r>
      <w:r>
        <w:rPr>
          <w:rFonts w:hint="default" w:ascii="Times New Roman" w:hAnsi="Times New Roman" w:eastAsia="仿宋_GB2312" w:cs="Times New Roman"/>
          <w:bCs/>
          <w:snapToGrid w:val="0"/>
          <w:color w:val="000000"/>
          <w:spacing w:val="0"/>
          <w:w w:val="100"/>
          <w:kern w:val="0"/>
          <w:position w:val="0"/>
          <w:sz w:val="22"/>
          <w:szCs w:val="22"/>
          <w:u w:val="none" w:color="auto"/>
          <w:lang w:val="en-US" w:eastAsia="zh-CN" w:bidi="ar-SA"/>
        </w:rPr>
        <w:t>营预算财政拨款的总收支和年末结转结余情</w:t>
      </w:r>
      <w:r>
        <w:rPr>
          <w:rFonts w:hint="eastAsia" w:ascii="Times New Roman" w:hAnsi="Times New Roman" w:cs="Times New Roman"/>
          <w:bCs/>
          <w:snapToGrid w:val="0"/>
          <w:color w:val="000000"/>
          <w:spacing w:val="0"/>
          <w:w w:val="100"/>
          <w:kern w:val="0"/>
          <w:position w:val="0"/>
          <w:sz w:val="22"/>
          <w:szCs w:val="22"/>
          <w:u w:val="none" w:color="auto"/>
          <w:lang w:val="en-US" w:eastAsia="zh-CN" w:bidi="ar-SA"/>
        </w:rPr>
        <w:t>况。</w:t>
      </w:r>
    </w:p>
    <w:p w14:paraId="651DA776">
      <w:pPr>
        <w:pStyle w:val="6"/>
        <w:rPr>
          <w:rFonts w:hint="default"/>
          <w:u w:val="none" w:color="auto"/>
          <w:lang w:val="en-US" w:eastAsia="zh-CN"/>
        </w:rPr>
      </w:pPr>
    </w:p>
    <w:p w14:paraId="621954C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2BB01D4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4DD1FCE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0E210AC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5035047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6979E5D7">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34FC561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79CF84C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7232E38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3011FD2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74152D9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6DFF101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2F4446A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0B8BA3C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1821FE0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093050B3">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39FFC110">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289112B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7CAD2BA1">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731CB612">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02247D5E">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2124FF0A">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27A86C3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5E64ECB9">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6858B05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4CD4455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1F73A45C">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373424FF">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186B02FB">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5137070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p>
    <w:p w14:paraId="38ACF018">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r>
        <w:rPr>
          <w:rFonts w:hint="default" w:ascii="Times New Roman" w:hAnsi="Times New Roman" w:eastAsia="黑体" w:cs="Times New Roman"/>
          <w:spacing w:val="0"/>
          <w:w w:val="100"/>
          <w:position w:val="0"/>
          <w:sz w:val="32"/>
          <w:szCs w:val="32"/>
          <w:u w:val="none" w:color="auto"/>
          <w:lang w:val="en-US" w:eastAsia="zh-CN"/>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lang w:val="en-US" w:eastAsia="zh-CN"/>
        </w:rPr>
        <w:t>年度一般公共预算财政拨款支出决算表</w:t>
      </w:r>
    </w:p>
    <w:p w14:paraId="583361B2">
      <w:pPr>
        <w:pStyle w:val="7"/>
        <w:jc w:val="right"/>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公开05表</w:t>
      </w:r>
    </w:p>
    <w:p w14:paraId="0867B617">
      <w:pPr>
        <w:pStyle w:val="7"/>
        <w:ind w:left="0" w:leftChars="0" w:firstLine="0" w:firstLineChars="0"/>
        <w:jc w:val="right"/>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部门：</w:t>
      </w:r>
      <w:r>
        <w:rPr>
          <w:rFonts w:hint="eastAsia" w:ascii="Times New Roman" w:hAnsi="Times New Roman" w:cs="Times New Roman"/>
          <w:bCs/>
          <w:snapToGrid w:val="0"/>
          <w:color w:val="000000"/>
          <w:spacing w:val="0"/>
          <w:w w:val="100"/>
          <w:kern w:val="0"/>
          <w:position w:val="0"/>
          <w:sz w:val="28"/>
          <w:szCs w:val="28"/>
          <w:u w:val="none" w:color="auto"/>
          <w:lang w:val="en-US" w:eastAsia="zh-CN" w:bidi="ar-SA"/>
        </w:rPr>
        <w:t>武汉市光谷第八初级中学</w:t>
      </w: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单位：万元</w:t>
      </w:r>
    </w:p>
    <w:tbl>
      <w:tblPr>
        <w:tblStyle w:val="8"/>
        <w:tblW w:w="10496" w:type="dxa"/>
        <w:tblInd w:w="-8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344"/>
        <w:gridCol w:w="4112"/>
        <w:gridCol w:w="1600"/>
        <w:gridCol w:w="1888"/>
        <w:gridCol w:w="1552"/>
      </w:tblGrid>
      <w:tr w14:paraId="1F5E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33" w:hRule="atLeast"/>
        </w:trPr>
        <w:tc>
          <w:tcPr>
            <w:tcW w:w="5456" w:type="dxa"/>
            <w:gridSpan w:val="2"/>
            <w:shd w:val="clear" w:color="auto" w:fill="auto"/>
            <w:vAlign w:val="center"/>
          </w:tcPr>
          <w:p w14:paraId="0E52F0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项目</w:t>
            </w:r>
          </w:p>
        </w:tc>
        <w:tc>
          <w:tcPr>
            <w:tcW w:w="5040" w:type="dxa"/>
            <w:gridSpan w:val="3"/>
            <w:shd w:val="clear" w:color="auto" w:fill="auto"/>
            <w:vAlign w:val="center"/>
          </w:tcPr>
          <w:p w14:paraId="5399DE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本年支出</w:t>
            </w:r>
          </w:p>
        </w:tc>
      </w:tr>
      <w:tr w14:paraId="39027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44" w:type="dxa"/>
            <w:vMerge w:val="restart"/>
            <w:shd w:val="clear" w:color="auto" w:fill="auto"/>
            <w:vAlign w:val="center"/>
          </w:tcPr>
          <w:p w14:paraId="144D68B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科目代码</w:t>
            </w:r>
          </w:p>
        </w:tc>
        <w:tc>
          <w:tcPr>
            <w:tcW w:w="4112" w:type="dxa"/>
            <w:vMerge w:val="restart"/>
            <w:shd w:val="clear" w:color="auto" w:fill="auto"/>
            <w:vAlign w:val="center"/>
          </w:tcPr>
          <w:p w14:paraId="6E6284B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科目名称</w:t>
            </w:r>
          </w:p>
        </w:tc>
        <w:tc>
          <w:tcPr>
            <w:tcW w:w="1600" w:type="dxa"/>
            <w:vMerge w:val="restart"/>
            <w:shd w:val="clear" w:color="auto" w:fill="auto"/>
            <w:vAlign w:val="center"/>
          </w:tcPr>
          <w:p w14:paraId="62066E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小计</w:t>
            </w:r>
          </w:p>
        </w:tc>
        <w:tc>
          <w:tcPr>
            <w:tcW w:w="1888" w:type="dxa"/>
            <w:vMerge w:val="restart"/>
            <w:shd w:val="clear" w:color="auto" w:fill="auto"/>
            <w:vAlign w:val="center"/>
          </w:tcPr>
          <w:p w14:paraId="13DC21F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基本支出</w:t>
            </w:r>
          </w:p>
        </w:tc>
        <w:tc>
          <w:tcPr>
            <w:tcW w:w="1552" w:type="dxa"/>
            <w:vMerge w:val="restart"/>
            <w:shd w:val="clear" w:color="auto" w:fill="auto"/>
            <w:vAlign w:val="center"/>
          </w:tcPr>
          <w:p w14:paraId="678ABC3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项目支出</w:t>
            </w:r>
          </w:p>
        </w:tc>
      </w:tr>
      <w:tr w14:paraId="21D4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344" w:type="dxa"/>
            <w:vMerge w:val="continue"/>
            <w:shd w:val="clear" w:color="auto" w:fill="auto"/>
            <w:vAlign w:val="center"/>
          </w:tcPr>
          <w:p w14:paraId="6DA12AE3">
            <w:pPr>
              <w:jc w:val="center"/>
              <w:rPr>
                <w:rFonts w:hint="default" w:ascii="Times New Roman" w:hAnsi="Times New Roman" w:eastAsia="宋体" w:cs="Times New Roman"/>
                <w:i w:val="0"/>
                <w:iCs w:val="0"/>
                <w:color w:val="000000"/>
                <w:sz w:val="21"/>
                <w:szCs w:val="21"/>
                <w:u w:val="none" w:color="auto"/>
              </w:rPr>
            </w:pPr>
          </w:p>
        </w:tc>
        <w:tc>
          <w:tcPr>
            <w:tcW w:w="4112" w:type="dxa"/>
            <w:vMerge w:val="continue"/>
            <w:shd w:val="clear" w:color="auto" w:fill="auto"/>
            <w:vAlign w:val="center"/>
          </w:tcPr>
          <w:p w14:paraId="1298F20E">
            <w:pPr>
              <w:jc w:val="center"/>
              <w:rPr>
                <w:rFonts w:hint="default" w:ascii="Times New Roman" w:hAnsi="Times New Roman" w:eastAsia="宋体" w:cs="Times New Roman"/>
                <w:i w:val="0"/>
                <w:iCs w:val="0"/>
                <w:color w:val="000000"/>
                <w:sz w:val="21"/>
                <w:szCs w:val="21"/>
                <w:u w:val="none" w:color="auto"/>
              </w:rPr>
            </w:pPr>
          </w:p>
        </w:tc>
        <w:tc>
          <w:tcPr>
            <w:tcW w:w="1600" w:type="dxa"/>
            <w:vMerge w:val="continue"/>
            <w:shd w:val="clear" w:color="auto" w:fill="auto"/>
            <w:vAlign w:val="center"/>
          </w:tcPr>
          <w:p w14:paraId="4319D8A3">
            <w:pPr>
              <w:jc w:val="center"/>
              <w:rPr>
                <w:rFonts w:hint="default" w:ascii="Times New Roman" w:hAnsi="Times New Roman" w:eastAsia="宋体" w:cs="Times New Roman"/>
                <w:i w:val="0"/>
                <w:iCs w:val="0"/>
                <w:color w:val="000000"/>
                <w:sz w:val="21"/>
                <w:szCs w:val="21"/>
                <w:u w:val="none" w:color="auto"/>
              </w:rPr>
            </w:pPr>
          </w:p>
        </w:tc>
        <w:tc>
          <w:tcPr>
            <w:tcW w:w="1888" w:type="dxa"/>
            <w:vMerge w:val="continue"/>
            <w:shd w:val="clear" w:color="auto" w:fill="auto"/>
            <w:vAlign w:val="center"/>
          </w:tcPr>
          <w:p w14:paraId="2E5F55C9">
            <w:pPr>
              <w:jc w:val="center"/>
              <w:rPr>
                <w:rFonts w:hint="default" w:ascii="Times New Roman" w:hAnsi="Times New Roman" w:eastAsia="宋体" w:cs="Times New Roman"/>
                <w:i w:val="0"/>
                <w:iCs w:val="0"/>
                <w:color w:val="000000"/>
                <w:sz w:val="21"/>
                <w:szCs w:val="21"/>
                <w:u w:val="none" w:color="auto"/>
              </w:rPr>
            </w:pPr>
          </w:p>
        </w:tc>
        <w:tc>
          <w:tcPr>
            <w:tcW w:w="1552" w:type="dxa"/>
            <w:vMerge w:val="continue"/>
            <w:shd w:val="clear" w:color="auto" w:fill="auto"/>
            <w:vAlign w:val="center"/>
          </w:tcPr>
          <w:p w14:paraId="6C3CA36D">
            <w:pPr>
              <w:jc w:val="center"/>
              <w:rPr>
                <w:rFonts w:hint="default" w:ascii="Times New Roman" w:hAnsi="Times New Roman" w:eastAsia="宋体" w:cs="Times New Roman"/>
                <w:i w:val="0"/>
                <w:iCs w:val="0"/>
                <w:color w:val="000000"/>
                <w:sz w:val="21"/>
                <w:szCs w:val="21"/>
                <w:u w:val="none" w:color="auto"/>
              </w:rPr>
            </w:pPr>
          </w:p>
        </w:tc>
      </w:tr>
      <w:tr w14:paraId="7EEB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344" w:type="dxa"/>
            <w:vMerge w:val="continue"/>
            <w:shd w:val="clear" w:color="auto" w:fill="auto"/>
            <w:vAlign w:val="center"/>
          </w:tcPr>
          <w:p w14:paraId="35C7CD0C">
            <w:pPr>
              <w:jc w:val="center"/>
              <w:rPr>
                <w:rFonts w:hint="default" w:ascii="Times New Roman" w:hAnsi="Times New Roman" w:eastAsia="宋体" w:cs="Times New Roman"/>
                <w:i w:val="0"/>
                <w:iCs w:val="0"/>
                <w:color w:val="000000"/>
                <w:sz w:val="21"/>
                <w:szCs w:val="21"/>
                <w:u w:val="none" w:color="auto"/>
              </w:rPr>
            </w:pPr>
          </w:p>
        </w:tc>
        <w:tc>
          <w:tcPr>
            <w:tcW w:w="4112" w:type="dxa"/>
            <w:vMerge w:val="continue"/>
            <w:shd w:val="clear" w:color="auto" w:fill="auto"/>
            <w:vAlign w:val="center"/>
          </w:tcPr>
          <w:p w14:paraId="01F1F426">
            <w:pPr>
              <w:jc w:val="center"/>
              <w:rPr>
                <w:rFonts w:hint="default" w:ascii="Times New Roman" w:hAnsi="Times New Roman" w:eastAsia="宋体" w:cs="Times New Roman"/>
                <w:i w:val="0"/>
                <w:iCs w:val="0"/>
                <w:color w:val="000000"/>
                <w:sz w:val="21"/>
                <w:szCs w:val="21"/>
                <w:u w:val="none" w:color="auto"/>
              </w:rPr>
            </w:pPr>
          </w:p>
        </w:tc>
        <w:tc>
          <w:tcPr>
            <w:tcW w:w="1600" w:type="dxa"/>
            <w:vMerge w:val="continue"/>
            <w:shd w:val="clear" w:color="auto" w:fill="auto"/>
            <w:vAlign w:val="center"/>
          </w:tcPr>
          <w:p w14:paraId="4FB701C8">
            <w:pPr>
              <w:jc w:val="center"/>
              <w:rPr>
                <w:rFonts w:hint="default" w:ascii="Times New Roman" w:hAnsi="Times New Roman" w:eastAsia="宋体" w:cs="Times New Roman"/>
                <w:i w:val="0"/>
                <w:iCs w:val="0"/>
                <w:color w:val="000000"/>
                <w:sz w:val="21"/>
                <w:szCs w:val="21"/>
                <w:u w:val="none" w:color="auto"/>
              </w:rPr>
            </w:pPr>
          </w:p>
        </w:tc>
        <w:tc>
          <w:tcPr>
            <w:tcW w:w="1888" w:type="dxa"/>
            <w:vMerge w:val="continue"/>
            <w:shd w:val="clear" w:color="auto" w:fill="auto"/>
            <w:vAlign w:val="center"/>
          </w:tcPr>
          <w:p w14:paraId="5D26A6AE">
            <w:pPr>
              <w:jc w:val="center"/>
              <w:rPr>
                <w:rFonts w:hint="default" w:ascii="Times New Roman" w:hAnsi="Times New Roman" w:eastAsia="宋体" w:cs="Times New Roman"/>
                <w:i w:val="0"/>
                <w:iCs w:val="0"/>
                <w:color w:val="000000"/>
                <w:sz w:val="21"/>
                <w:szCs w:val="21"/>
                <w:u w:val="none" w:color="auto"/>
              </w:rPr>
            </w:pPr>
          </w:p>
        </w:tc>
        <w:tc>
          <w:tcPr>
            <w:tcW w:w="1552" w:type="dxa"/>
            <w:vMerge w:val="continue"/>
            <w:shd w:val="clear" w:color="auto" w:fill="auto"/>
            <w:vAlign w:val="center"/>
          </w:tcPr>
          <w:p w14:paraId="1773CD55">
            <w:pPr>
              <w:jc w:val="center"/>
              <w:rPr>
                <w:rFonts w:hint="default" w:ascii="Times New Roman" w:hAnsi="Times New Roman" w:eastAsia="宋体" w:cs="Times New Roman"/>
                <w:i w:val="0"/>
                <w:iCs w:val="0"/>
                <w:color w:val="000000"/>
                <w:sz w:val="21"/>
                <w:szCs w:val="21"/>
                <w:u w:val="none" w:color="auto"/>
              </w:rPr>
            </w:pPr>
          </w:p>
        </w:tc>
      </w:tr>
      <w:tr w14:paraId="520F7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5456" w:type="dxa"/>
            <w:gridSpan w:val="2"/>
            <w:shd w:val="clear" w:color="auto" w:fill="auto"/>
            <w:vAlign w:val="center"/>
          </w:tcPr>
          <w:p w14:paraId="398B84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栏次</w:t>
            </w:r>
          </w:p>
        </w:tc>
        <w:tc>
          <w:tcPr>
            <w:tcW w:w="1600" w:type="dxa"/>
            <w:shd w:val="clear" w:color="auto" w:fill="auto"/>
            <w:vAlign w:val="center"/>
          </w:tcPr>
          <w:p w14:paraId="0FF706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w:t>
            </w:r>
          </w:p>
        </w:tc>
        <w:tc>
          <w:tcPr>
            <w:tcW w:w="1888" w:type="dxa"/>
            <w:shd w:val="clear" w:color="auto" w:fill="auto"/>
            <w:vAlign w:val="center"/>
          </w:tcPr>
          <w:p w14:paraId="5628E9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w:t>
            </w:r>
          </w:p>
        </w:tc>
        <w:tc>
          <w:tcPr>
            <w:tcW w:w="1552" w:type="dxa"/>
            <w:shd w:val="clear" w:color="auto" w:fill="auto"/>
            <w:vAlign w:val="center"/>
          </w:tcPr>
          <w:p w14:paraId="194A24D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3</w:t>
            </w:r>
          </w:p>
        </w:tc>
      </w:tr>
      <w:tr w14:paraId="5585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5456" w:type="dxa"/>
            <w:gridSpan w:val="2"/>
            <w:shd w:val="clear" w:color="auto" w:fill="auto"/>
            <w:vAlign w:val="center"/>
          </w:tcPr>
          <w:p w14:paraId="5B9416E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合计</w:t>
            </w:r>
          </w:p>
        </w:tc>
        <w:tc>
          <w:tcPr>
            <w:tcW w:w="1600" w:type="dxa"/>
            <w:shd w:val="clear" w:color="auto" w:fill="auto"/>
            <w:vAlign w:val="center"/>
          </w:tcPr>
          <w:p w14:paraId="437E0976">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b/>
                <w:bCs/>
                <w:i w:val="0"/>
                <w:iCs w:val="0"/>
                <w:snapToGrid w:val="0"/>
                <w:color w:val="000000"/>
                <w:kern w:val="0"/>
                <w:sz w:val="22"/>
                <w:szCs w:val="22"/>
                <w:u w:val="none" w:color="auto"/>
                <w:lang w:val="en-US" w:eastAsia="zh-CN" w:bidi="ar"/>
              </w:rPr>
              <w:t>2,647.60</w:t>
            </w:r>
          </w:p>
        </w:tc>
        <w:tc>
          <w:tcPr>
            <w:tcW w:w="1888" w:type="dxa"/>
            <w:shd w:val="clear" w:color="auto" w:fill="auto"/>
            <w:vAlign w:val="center"/>
          </w:tcPr>
          <w:p w14:paraId="177916F4">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b/>
                <w:bCs/>
                <w:i w:val="0"/>
                <w:iCs w:val="0"/>
                <w:snapToGrid w:val="0"/>
                <w:color w:val="000000"/>
                <w:kern w:val="0"/>
                <w:sz w:val="22"/>
                <w:szCs w:val="22"/>
                <w:u w:val="none" w:color="auto"/>
                <w:lang w:val="en-US" w:eastAsia="zh-CN" w:bidi="ar"/>
              </w:rPr>
              <w:t>2,599.10</w:t>
            </w:r>
          </w:p>
        </w:tc>
        <w:tc>
          <w:tcPr>
            <w:tcW w:w="1552" w:type="dxa"/>
            <w:shd w:val="clear" w:color="auto" w:fill="auto"/>
            <w:vAlign w:val="center"/>
          </w:tcPr>
          <w:p w14:paraId="29B4331C">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b/>
                <w:bCs/>
                <w:i w:val="0"/>
                <w:iCs w:val="0"/>
                <w:snapToGrid w:val="0"/>
                <w:color w:val="000000"/>
                <w:kern w:val="0"/>
                <w:sz w:val="22"/>
                <w:szCs w:val="22"/>
                <w:u w:val="none" w:color="auto"/>
                <w:lang w:val="en-US" w:eastAsia="zh-CN" w:bidi="ar"/>
              </w:rPr>
              <w:t>48.50</w:t>
            </w:r>
          </w:p>
        </w:tc>
      </w:tr>
      <w:tr w14:paraId="57F51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344" w:type="dxa"/>
            <w:shd w:val="clear" w:color="auto" w:fill="auto"/>
            <w:vAlign w:val="center"/>
          </w:tcPr>
          <w:p w14:paraId="4DAEF6EE">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2050203</w:t>
            </w:r>
          </w:p>
        </w:tc>
        <w:tc>
          <w:tcPr>
            <w:tcW w:w="4112" w:type="dxa"/>
            <w:shd w:val="clear" w:color="auto" w:fill="auto"/>
            <w:vAlign w:val="center"/>
          </w:tcPr>
          <w:p w14:paraId="6A53D1FB">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初中教育</w:t>
            </w:r>
          </w:p>
        </w:tc>
        <w:tc>
          <w:tcPr>
            <w:tcW w:w="1600" w:type="dxa"/>
            <w:shd w:val="clear" w:color="auto" w:fill="auto"/>
            <w:vAlign w:val="center"/>
          </w:tcPr>
          <w:p w14:paraId="6F20A0EA">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2,455.17</w:t>
            </w:r>
          </w:p>
        </w:tc>
        <w:tc>
          <w:tcPr>
            <w:tcW w:w="1888" w:type="dxa"/>
            <w:shd w:val="clear" w:color="auto" w:fill="auto"/>
            <w:vAlign w:val="center"/>
          </w:tcPr>
          <w:p w14:paraId="494D33CA">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2,406.67</w:t>
            </w:r>
          </w:p>
        </w:tc>
        <w:tc>
          <w:tcPr>
            <w:tcW w:w="1552" w:type="dxa"/>
            <w:shd w:val="clear" w:color="auto" w:fill="auto"/>
            <w:vAlign w:val="center"/>
          </w:tcPr>
          <w:p w14:paraId="4C84A27E">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48.50</w:t>
            </w:r>
          </w:p>
        </w:tc>
      </w:tr>
      <w:tr w14:paraId="0112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1344" w:type="dxa"/>
            <w:shd w:val="clear" w:color="auto" w:fill="auto"/>
            <w:vAlign w:val="center"/>
          </w:tcPr>
          <w:p w14:paraId="052780AF">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2080505</w:t>
            </w:r>
          </w:p>
        </w:tc>
        <w:tc>
          <w:tcPr>
            <w:tcW w:w="4112" w:type="dxa"/>
            <w:shd w:val="clear" w:color="auto" w:fill="auto"/>
            <w:vAlign w:val="center"/>
          </w:tcPr>
          <w:p w14:paraId="59E39C51">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机关事业单位基本养老保险缴费支出</w:t>
            </w:r>
          </w:p>
        </w:tc>
        <w:tc>
          <w:tcPr>
            <w:tcW w:w="1600" w:type="dxa"/>
            <w:shd w:val="clear" w:color="auto" w:fill="auto"/>
            <w:vAlign w:val="center"/>
          </w:tcPr>
          <w:p w14:paraId="10F65ECC">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180.43</w:t>
            </w:r>
          </w:p>
        </w:tc>
        <w:tc>
          <w:tcPr>
            <w:tcW w:w="1888" w:type="dxa"/>
            <w:shd w:val="clear" w:color="auto" w:fill="auto"/>
            <w:vAlign w:val="center"/>
          </w:tcPr>
          <w:p w14:paraId="7B2EAFF1">
            <w:pPr>
              <w:keepNext w:val="0"/>
              <w:keepLines w:val="0"/>
              <w:widowControl/>
              <w:suppressLineNumbers w:val="0"/>
              <w:jc w:val="right"/>
              <w:textAlignment w:val="center"/>
              <w:rPr>
                <w:rFonts w:hint="default" w:ascii="Times New Roman" w:hAnsi="Times New Roman" w:eastAsia="宋体" w:cs="Times New Roman"/>
                <w:b/>
                <w:bCs/>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180.43</w:t>
            </w:r>
          </w:p>
        </w:tc>
        <w:tc>
          <w:tcPr>
            <w:tcW w:w="1552" w:type="dxa"/>
            <w:shd w:val="clear" w:color="auto" w:fill="auto"/>
            <w:vAlign w:val="center"/>
          </w:tcPr>
          <w:p w14:paraId="1039F3A4">
            <w:pPr>
              <w:jc w:val="right"/>
              <w:rPr>
                <w:rFonts w:hint="default" w:ascii="Times New Roman" w:hAnsi="Times New Roman" w:eastAsia="宋体" w:cs="Times New Roman"/>
                <w:b/>
                <w:bCs/>
                <w:i w:val="0"/>
                <w:iCs w:val="0"/>
                <w:color w:val="000000"/>
                <w:sz w:val="21"/>
                <w:szCs w:val="21"/>
                <w:u w:val="none" w:color="auto"/>
              </w:rPr>
            </w:pPr>
          </w:p>
        </w:tc>
      </w:tr>
      <w:tr w14:paraId="5605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344" w:type="dxa"/>
            <w:shd w:val="clear" w:color="auto" w:fill="auto"/>
            <w:vAlign w:val="center"/>
          </w:tcPr>
          <w:p w14:paraId="5B48E110">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2080506</w:t>
            </w:r>
          </w:p>
        </w:tc>
        <w:tc>
          <w:tcPr>
            <w:tcW w:w="4112" w:type="dxa"/>
            <w:shd w:val="clear" w:color="auto" w:fill="auto"/>
            <w:vAlign w:val="center"/>
          </w:tcPr>
          <w:p w14:paraId="6A5726F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机关事业单位职业年金缴费支出</w:t>
            </w:r>
          </w:p>
        </w:tc>
        <w:tc>
          <w:tcPr>
            <w:tcW w:w="1600" w:type="dxa"/>
            <w:shd w:val="clear" w:color="auto" w:fill="auto"/>
            <w:vAlign w:val="center"/>
          </w:tcPr>
          <w:p w14:paraId="0B03C305">
            <w:pPr>
              <w:keepNext w:val="0"/>
              <w:keepLines w:val="0"/>
              <w:widowControl/>
              <w:suppressLineNumbers w:val="0"/>
              <w:jc w:val="righ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12.00</w:t>
            </w:r>
          </w:p>
        </w:tc>
        <w:tc>
          <w:tcPr>
            <w:tcW w:w="1888" w:type="dxa"/>
            <w:shd w:val="clear" w:color="auto" w:fill="auto"/>
            <w:vAlign w:val="center"/>
          </w:tcPr>
          <w:p w14:paraId="7F76AB8C">
            <w:pPr>
              <w:keepNext w:val="0"/>
              <w:keepLines w:val="0"/>
              <w:widowControl/>
              <w:suppressLineNumbers w:val="0"/>
              <w:jc w:val="right"/>
              <w:textAlignment w:val="center"/>
              <w:rPr>
                <w:rFonts w:hint="default" w:ascii="Times New Roman" w:hAnsi="Times New Roman" w:eastAsia="宋体" w:cs="Times New Roman"/>
                <w:i w:val="0"/>
                <w:iCs w:val="0"/>
                <w:color w:val="000000"/>
                <w:sz w:val="21"/>
                <w:szCs w:val="21"/>
                <w:u w:val="none" w:color="auto"/>
              </w:rPr>
            </w:pPr>
            <w:r>
              <w:rPr>
                <w:rFonts w:hint="eastAsia" w:ascii="宋体" w:hAnsi="宋体" w:eastAsia="宋体" w:cs="宋体"/>
                <w:i w:val="0"/>
                <w:iCs w:val="0"/>
                <w:snapToGrid w:val="0"/>
                <w:color w:val="000000"/>
                <w:kern w:val="0"/>
                <w:sz w:val="22"/>
                <w:szCs w:val="22"/>
                <w:u w:val="none" w:color="auto"/>
                <w:lang w:val="en-US" w:eastAsia="zh-CN" w:bidi="ar"/>
              </w:rPr>
              <w:t>12.00</w:t>
            </w:r>
          </w:p>
        </w:tc>
        <w:tc>
          <w:tcPr>
            <w:tcW w:w="1552" w:type="dxa"/>
            <w:shd w:val="clear" w:color="auto" w:fill="auto"/>
            <w:vAlign w:val="center"/>
          </w:tcPr>
          <w:p w14:paraId="3C52E52C">
            <w:pPr>
              <w:jc w:val="right"/>
              <w:rPr>
                <w:rFonts w:hint="default" w:ascii="Times New Roman" w:hAnsi="Times New Roman" w:eastAsia="宋体" w:cs="Times New Roman"/>
                <w:i w:val="0"/>
                <w:iCs w:val="0"/>
                <w:color w:val="000000"/>
                <w:sz w:val="21"/>
                <w:szCs w:val="21"/>
                <w:u w:val="none" w:color="auto"/>
              </w:rPr>
            </w:pPr>
          </w:p>
        </w:tc>
      </w:tr>
    </w:tbl>
    <w:p w14:paraId="0E1C644E">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注：本表反映部门本年度一般公共预算财政拨款支出情况。</w:t>
      </w:r>
    </w:p>
    <w:p w14:paraId="3FCE3002">
      <w:pP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br w:type="page"/>
      </w:r>
    </w:p>
    <w:p w14:paraId="03CE5AD4">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r>
        <w:rPr>
          <w:rFonts w:hint="default" w:ascii="Times New Roman" w:hAnsi="Times New Roman" w:eastAsia="黑体" w:cs="Times New Roman"/>
          <w:spacing w:val="0"/>
          <w:w w:val="100"/>
          <w:position w:val="0"/>
          <w:sz w:val="32"/>
          <w:szCs w:val="32"/>
          <w:u w:val="none" w:color="auto"/>
          <w:lang w:val="en-US" w:eastAsia="zh-CN"/>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lang w:val="en-US" w:eastAsia="zh-CN"/>
        </w:rPr>
        <w:t>年度一般公共预算财政拨款基本支出决算明细表</w:t>
      </w:r>
    </w:p>
    <w:p w14:paraId="10ED5116">
      <w:pPr>
        <w:pStyle w:val="7"/>
        <w:keepNext w:val="0"/>
        <w:keepLines w:val="0"/>
        <w:pageBreakBefore w:val="0"/>
        <w:widowControl/>
        <w:kinsoku w:val="0"/>
        <w:wordWrap/>
        <w:overflowPunct/>
        <w:topLinePunct w:val="0"/>
        <w:autoSpaceDE w:val="0"/>
        <w:autoSpaceDN w:val="0"/>
        <w:bidi w:val="0"/>
        <w:adjustRightInd/>
        <w:snapToGrid/>
        <w:spacing w:line="400" w:lineRule="exact"/>
        <w:jc w:val="right"/>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公开06表</w:t>
      </w:r>
    </w:p>
    <w:p w14:paraId="0521222E">
      <w:pPr>
        <w:pStyle w:val="7"/>
        <w:keepNext w:val="0"/>
        <w:keepLines w:val="0"/>
        <w:pageBreakBefore w:val="0"/>
        <w:widowControl/>
        <w:kinsoku w:val="0"/>
        <w:wordWrap/>
        <w:overflowPunct/>
        <w:topLinePunct w:val="0"/>
        <w:autoSpaceDE w:val="0"/>
        <w:autoSpaceDN w:val="0"/>
        <w:bidi w:val="0"/>
        <w:adjustRightInd/>
        <w:snapToGrid/>
        <w:spacing w:line="400" w:lineRule="exact"/>
        <w:ind w:left="0" w:leftChars="0" w:firstLine="0" w:firstLineChars="0"/>
        <w:jc w:val="right"/>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部门：</w:t>
      </w:r>
      <w:r>
        <w:rPr>
          <w:rFonts w:hint="eastAsia" w:ascii="Times New Roman" w:hAnsi="Times New Roman" w:cs="Times New Roman"/>
          <w:bCs/>
          <w:snapToGrid w:val="0"/>
          <w:color w:val="000000"/>
          <w:spacing w:val="0"/>
          <w:w w:val="100"/>
          <w:kern w:val="0"/>
          <w:position w:val="0"/>
          <w:sz w:val="28"/>
          <w:szCs w:val="28"/>
          <w:u w:val="none" w:color="auto"/>
          <w:lang w:val="en-US" w:eastAsia="zh-CN" w:bidi="ar-SA"/>
        </w:rPr>
        <w:t>武汉市光谷第八初级中学</w:t>
      </w: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单位：万元</w:t>
      </w:r>
    </w:p>
    <w:tbl>
      <w:tblPr>
        <w:tblStyle w:val="10"/>
        <w:tblW w:w="110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2256"/>
        <w:gridCol w:w="803"/>
        <w:gridCol w:w="509"/>
        <w:gridCol w:w="1904"/>
        <w:gridCol w:w="768"/>
        <w:gridCol w:w="736"/>
        <w:gridCol w:w="2518"/>
        <w:gridCol w:w="991"/>
      </w:tblGrid>
      <w:tr w14:paraId="17830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592" w:type="dxa"/>
            <w:gridSpan w:val="3"/>
            <w:vAlign w:val="center"/>
          </w:tcPr>
          <w:p w14:paraId="03E8A55D">
            <w:pPr>
              <w:keepNext w:val="0"/>
              <w:keepLines w:val="0"/>
              <w:widowControl/>
              <w:suppressLineNumbers w:val="0"/>
              <w:jc w:val="center"/>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人员经费</w:t>
            </w:r>
          </w:p>
        </w:tc>
        <w:tc>
          <w:tcPr>
            <w:tcW w:w="7426" w:type="dxa"/>
            <w:gridSpan w:val="6"/>
            <w:vAlign w:val="center"/>
          </w:tcPr>
          <w:p w14:paraId="71496055">
            <w:pPr>
              <w:keepNext w:val="0"/>
              <w:keepLines w:val="0"/>
              <w:widowControl/>
              <w:suppressLineNumbers w:val="0"/>
              <w:jc w:val="center"/>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公用经费</w:t>
            </w:r>
          </w:p>
        </w:tc>
      </w:tr>
      <w:tr w14:paraId="0CABF1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656205EB">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科目代码</w:t>
            </w:r>
          </w:p>
        </w:tc>
        <w:tc>
          <w:tcPr>
            <w:tcW w:w="2256" w:type="dxa"/>
            <w:vAlign w:val="center"/>
          </w:tcPr>
          <w:p w14:paraId="735EF1FA">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科目名称</w:t>
            </w:r>
          </w:p>
        </w:tc>
        <w:tc>
          <w:tcPr>
            <w:tcW w:w="803" w:type="dxa"/>
            <w:vAlign w:val="center"/>
          </w:tcPr>
          <w:p w14:paraId="7A936F99">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决算数</w:t>
            </w:r>
          </w:p>
        </w:tc>
        <w:tc>
          <w:tcPr>
            <w:tcW w:w="509" w:type="dxa"/>
            <w:vAlign w:val="center"/>
          </w:tcPr>
          <w:p w14:paraId="2797B409">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科目代码</w:t>
            </w:r>
          </w:p>
        </w:tc>
        <w:tc>
          <w:tcPr>
            <w:tcW w:w="1904" w:type="dxa"/>
            <w:vAlign w:val="center"/>
          </w:tcPr>
          <w:p w14:paraId="6D6C253D">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科目名称</w:t>
            </w:r>
          </w:p>
        </w:tc>
        <w:tc>
          <w:tcPr>
            <w:tcW w:w="768" w:type="dxa"/>
            <w:vAlign w:val="center"/>
          </w:tcPr>
          <w:p w14:paraId="05114B50">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决算数</w:t>
            </w:r>
          </w:p>
        </w:tc>
        <w:tc>
          <w:tcPr>
            <w:tcW w:w="736" w:type="dxa"/>
            <w:vAlign w:val="center"/>
          </w:tcPr>
          <w:p w14:paraId="178A7DEB">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科目代码</w:t>
            </w:r>
          </w:p>
        </w:tc>
        <w:tc>
          <w:tcPr>
            <w:tcW w:w="2518" w:type="dxa"/>
            <w:vAlign w:val="center"/>
          </w:tcPr>
          <w:p w14:paraId="20515A6D">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科目名称</w:t>
            </w:r>
          </w:p>
        </w:tc>
        <w:tc>
          <w:tcPr>
            <w:tcW w:w="991" w:type="dxa"/>
            <w:vAlign w:val="center"/>
          </w:tcPr>
          <w:p w14:paraId="3AB7622D">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决算数</w:t>
            </w:r>
          </w:p>
        </w:tc>
      </w:tr>
      <w:tr w14:paraId="3EE6D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08DF7643">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w:t>
            </w:r>
          </w:p>
        </w:tc>
        <w:tc>
          <w:tcPr>
            <w:tcW w:w="2256" w:type="dxa"/>
            <w:vAlign w:val="center"/>
          </w:tcPr>
          <w:p w14:paraId="6CB1CC8A">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工资福利支出</w:t>
            </w:r>
          </w:p>
        </w:tc>
        <w:tc>
          <w:tcPr>
            <w:tcW w:w="803" w:type="dxa"/>
            <w:vAlign w:val="center"/>
          </w:tcPr>
          <w:p w14:paraId="426112F2">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2,216.47</w:t>
            </w:r>
          </w:p>
        </w:tc>
        <w:tc>
          <w:tcPr>
            <w:tcW w:w="509" w:type="dxa"/>
            <w:vAlign w:val="center"/>
          </w:tcPr>
          <w:p w14:paraId="4284D453">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w:t>
            </w:r>
          </w:p>
        </w:tc>
        <w:tc>
          <w:tcPr>
            <w:tcW w:w="1904" w:type="dxa"/>
            <w:vAlign w:val="center"/>
          </w:tcPr>
          <w:p w14:paraId="6D147ACE">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商品和服务支出</w:t>
            </w:r>
          </w:p>
        </w:tc>
        <w:tc>
          <w:tcPr>
            <w:tcW w:w="768" w:type="dxa"/>
            <w:vAlign w:val="center"/>
          </w:tcPr>
          <w:p w14:paraId="3BCCC3C7">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163.45</w:t>
            </w:r>
          </w:p>
        </w:tc>
        <w:tc>
          <w:tcPr>
            <w:tcW w:w="736" w:type="dxa"/>
            <w:vAlign w:val="center"/>
          </w:tcPr>
          <w:p w14:paraId="45DEA47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307</w:t>
            </w:r>
          </w:p>
        </w:tc>
        <w:tc>
          <w:tcPr>
            <w:tcW w:w="2518" w:type="dxa"/>
            <w:vAlign w:val="center"/>
          </w:tcPr>
          <w:p w14:paraId="24BB8F3A">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债务利息及费用支出</w:t>
            </w:r>
          </w:p>
        </w:tc>
        <w:tc>
          <w:tcPr>
            <w:tcW w:w="991" w:type="dxa"/>
            <w:vAlign w:val="center"/>
          </w:tcPr>
          <w:p w14:paraId="1267BBA6">
            <w:pPr>
              <w:jc w:val="right"/>
              <w:rPr>
                <w:rFonts w:hint="default" w:ascii="Times New Roman" w:hAnsi="Times New Roman" w:cs="Times New Roman" w:eastAsiaTheme="minorEastAsia"/>
                <w:sz w:val="18"/>
                <w:szCs w:val="18"/>
                <w:u w:val="none" w:color="auto"/>
              </w:rPr>
            </w:pPr>
          </w:p>
        </w:tc>
      </w:tr>
      <w:tr w14:paraId="6D8D7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3280EBE1">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30101</w:t>
            </w:r>
          </w:p>
        </w:tc>
        <w:tc>
          <w:tcPr>
            <w:tcW w:w="2256" w:type="dxa"/>
            <w:vAlign w:val="center"/>
          </w:tcPr>
          <w:p w14:paraId="4C58612F">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基本工资</w:t>
            </w:r>
          </w:p>
        </w:tc>
        <w:tc>
          <w:tcPr>
            <w:tcW w:w="803" w:type="dxa"/>
            <w:vAlign w:val="center"/>
          </w:tcPr>
          <w:p w14:paraId="26F9B071">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388.54</w:t>
            </w:r>
          </w:p>
        </w:tc>
        <w:tc>
          <w:tcPr>
            <w:tcW w:w="509" w:type="dxa"/>
            <w:vAlign w:val="center"/>
          </w:tcPr>
          <w:p w14:paraId="60E3FAD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30201</w:t>
            </w:r>
          </w:p>
        </w:tc>
        <w:tc>
          <w:tcPr>
            <w:tcW w:w="1904" w:type="dxa"/>
            <w:vAlign w:val="center"/>
          </w:tcPr>
          <w:p w14:paraId="3A87D2C8">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办公费</w:t>
            </w:r>
          </w:p>
        </w:tc>
        <w:tc>
          <w:tcPr>
            <w:tcW w:w="768" w:type="dxa"/>
            <w:vAlign w:val="center"/>
          </w:tcPr>
          <w:p w14:paraId="270CE085">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15.04</w:t>
            </w:r>
          </w:p>
        </w:tc>
        <w:tc>
          <w:tcPr>
            <w:tcW w:w="736" w:type="dxa"/>
            <w:vAlign w:val="center"/>
          </w:tcPr>
          <w:p w14:paraId="0CB69583">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30701</w:t>
            </w:r>
          </w:p>
        </w:tc>
        <w:tc>
          <w:tcPr>
            <w:tcW w:w="2518" w:type="dxa"/>
            <w:vAlign w:val="center"/>
          </w:tcPr>
          <w:p w14:paraId="656C9068">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国内债务付息</w:t>
            </w:r>
          </w:p>
        </w:tc>
        <w:tc>
          <w:tcPr>
            <w:tcW w:w="991" w:type="dxa"/>
            <w:vAlign w:val="center"/>
          </w:tcPr>
          <w:p w14:paraId="325FBAD8">
            <w:pPr>
              <w:jc w:val="right"/>
              <w:rPr>
                <w:rFonts w:hint="default" w:ascii="Times New Roman" w:hAnsi="Times New Roman" w:cs="Times New Roman" w:eastAsiaTheme="minorEastAsia"/>
                <w:sz w:val="18"/>
                <w:szCs w:val="18"/>
                <w:u w:val="none" w:color="auto"/>
              </w:rPr>
            </w:pPr>
          </w:p>
        </w:tc>
      </w:tr>
      <w:tr w14:paraId="3851B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06EE3219">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30102</w:t>
            </w:r>
          </w:p>
        </w:tc>
        <w:tc>
          <w:tcPr>
            <w:tcW w:w="2256" w:type="dxa"/>
            <w:vAlign w:val="center"/>
          </w:tcPr>
          <w:p w14:paraId="24F1C05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津贴补贴</w:t>
            </w:r>
          </w:p>
        </w:tc>
        <w:tc>
          <w:tcPr>
            <w:tcW w:w="803" w:type="dxa"/>
            <w:vAlign w:val="center"/>
          </w:tcPr>
          <w:p w14:paraId="3A385AB6">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75.29</w:t>
            </w:r>
          </w:p>
        </w:tc>
        <w:tc>
          <w:tcPr>
            <w:tcW w:w="509" w:type="dxa"/>
            <w:vAlign w:val="center"/>
          </w:tcPr>
          <w:p w14:paraId="60CD923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30202</w:t>
            </w:r>
          </w:p>
        </w:tc>
        <w:tc>
          <w:tcPr>
            <w:tcW w:w="1904" w:type="dxa"/>
            <w:vAlign w:val="center"/>
          </w:tcPr>
          <w:p w14:paraId="69870AE4">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印刷费</w:t>
            </w:r>
          </w:p>
        </w:tc>
        <w:tc>
          <w:tcPr>
            <w:tcW w:w="768" w:type="dxa"/>
            <w:vAlign w:val="center"/>
          </w:tcPr>
          <w:p w14:paraId="6F6ED4FE">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14.80</w:t>
            </w:r>
          </w:p>
        </w:tc>
        <w:tc>
          <w:tcPr>
            <w:tcW w:w="736" w:type="dxa"/>
            <w:vAlign w:val="center"/>
          </w:tcPr>
          <w:p w14:paraId="57351F4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30702</w:t>
            </w:r>
          </w:p>
        </w:tc>
        <w:tc>
          <w:tcPr>
            <w:tcW w:w="2518" w:type="dxa"/>
            <w:vAlign w:val="center"/>
          </w:tcPr>
          <w:p w14:paraId="4B0C31B2">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国外债务付息</w:t>
            </w:r>
          </w:p>
        </w:tc>
        <w:tc>
          <w:tcPr>
            <w:tcW w:w="991" w:type="dxa"/>
            <w:vAlign w:val="center"/>
          </w:tcPr>
          <w:p w14:paraId="3B8AC9A0">
            <w:pPr>
              <w:jc w:val="right"/>
              <w:rPr>
                <w:rFonts w:hint="default" w:ascii="Times New Roman" w:hAnsi="Times New Roman" w:cs="Times New Roman" w:eastAsiaTheme="minorEastAsia"/>
                <w:sz w:val="18"/>
                <w:szCs w:val="18"/>
                <w:u w:val="none" w:color="auto"/>
              </w:rPr>
            </w:pPr>
          </w:p>
        </w:tc>
      </w:tr>
      <w:tr w14:paraId="6CDDBF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16EF7B9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30103</w:t>
            </w:r>
          </w:p>
        </w:tc>
        <w:tc>
          <w:tcPr>
            <w:tcW w:w="2256" w:type="dxa"/>
            <w:vAlign w:val="center"/>
          </w:tcPr>
          <w:p w14:paraId="49DDBE2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奖金</w:t>
            </w:r>
          </w:p>
        </w:tc>
        <w:tc>
          <w:tcPr>
            <w:tcW w:w="803" w:type="dxa"/>
            <w:vAlign w:val="center"/>
          </w:tcPr>
          <w:p w14:paraId="29A11A68">
            <w:pPr>
              <w:jc w:val="right"/>
              <w:rPr>
                <w:rFonts w:hint="default" w:ascii="Times New Roman" w:hAnsi="Times New Roman" w:cs="Times New Roman" w:eastAsiaTheme="minorEastAsia"/>
                <w:sz w:val="18"/>
                <w:szCs w:val="18"/>
                <w:u w:val="none" w:color="auto"/>
              </w:rPr>
            </w:pPr>
          </w:p>
        </w:tc>
        <w:tc>
          <w:tcPr>
            <w:tcW w:w="509" w:type="dxa"/>
            <w:vAlign w:val="center"/>
          </w:tcPr>
          <w:p w14:paraId="41923679">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30203</w:t>
            </w:r>
          </w:p>
        </w:tc>
        <w:tc>
          <w:tcPr>
            <w:tcW w:w="1904" w:type="dxa"/>
            <w:vAlign w:val="center"/>
          </w:tcPr>
          <w:p w14:paraId="5F0FAB6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咨询费</w:t>
            </w:r>
          </w:p>
        </w:tc>
        <w:tc>
          <w:tcPr>
            <w:tcW w:w="768" w:type="dxa"/>
            <w:vAlign w:val="center"/>
          </w:tcPr>
          <w:p w14:paraId="0376FB97">
            <w:pPr>
              <w:jc w:val="right"/>
              <w:rPr>
                <w:rFonts w:hint="default" w:ascii="Times New Roman" w:hAnsi="Times New Roman" w:cs="Times New Roman" w:eastAsiaTheme="minorEastAsia"/>
                <w:sz w:val="18"/>
                <w:szCs w:val="18"/>
                <w:u w:val="none" w:color="auto"/>
              </w:rPr>
            </w:pPr>
          </w:p>
        </w:tc>
        <w:tc>
          <w:tcPr>
            <w:tcW w:w="736" w:type="dxa"/>
            <w:vAlign w:val="center"/>
          </w:tcPr>
          <w:p w14:paraId="1C7A7D0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310</w:t>
            </w:r>
          </w:p>
        </w:tc>
        <w:tc>
          <w:tcPr>
            <w:tcW w:w="2518" w:type="dxa"/>
            <w:vAlign w:val="center"/>
          </w:tcPr>
          <w:p w14:paraId="6753FB5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资本性支出</w:t>
            </w:r>
          </w:p>
        </w:tc>
        <w:tc>
          <w:tcPr>
            <w:tcW w:w="991" w:type="dxa"/>
            <w:vAlign w:val="center"/>
          </w:tcPr>
          <w:p w14:paraId="190824F2">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0.60</w:t>
            </w:r>
          </w:p>
        </w:tc>
      </w:tr>
      <w:tr w14:paraId="183FB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2CFF15AE">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30106</w:t>
            </w:r>
          </w:p>
        </w:tc>
        <w:tc>
          <w:tcPr>
            <w:tcW w:w="2256" w:type="dxa"/>
            <w:vAlign w:val="center"/>
          </w:tcPr>
          <w:p w14:paraId="28AE54E4">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伙食补助费</w:t>
            </w:r>
          </w:p>
        </w:tc>
        <w:tc>
          <w:tcPr>
            <w:tcW w:w="803" w:type="dxa"/>
            <w:vAlign w:val="center"/>
          </w:tcPr>
          <w:p w14:paraId="3A1E0793">
            <w:pPr>
              <w:jc w:val="right"/>
              <w:rPr>
                <w:rFonts w:hint="default" w:ascii="Times New Roman" w:hAnsi="Times New Roman" w:cs="Times New Roman" w:eastAsiaTheme="minorEastAsia"/>
                <w:sz w:val="18"/>
                <w:szCs w:val="18"/>
                <w:u w:val="none" w:color="auto"/>
              </w:rPr>
            </w:pPr>
          </w:p>
        </w:tc>
        <w:tc>
          <w:tcPr>
            <w:tcW w:w="509" w:type="dxa"/>
            <w:vAlign w:val="center"/>
          </w:tcPr>
          <w:p w14:paraId="524D06DA">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30204</w:t>
            </w:r>
          </w:p>
        </w:tc>
        <w:tc>
          <w:tcPr>
            <w:tcW w:w="1904" w:type="dxa"/>
            <w:vAlign w:val="center"/>
          </w:tcPr>
          <w:p w14:paraId="7A6780FA">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手续费</w:t>
            </w:r>
          </w:p>
        </w:tc>
        <w:tc>
          <w:tcPr>
            <w:tcW w:w="768" w:type="dxa"/>
            <w:vAlign w:val="center"/>
          </w:tcPr>
          <w:p w14:paraId="3530A61F">
            <w:pPr>
              <w:jc w:val="right"/>
              <w:rPr>
                <w:rFonts w:hint="default" w:ascii="Times New Roman" w:hAnsi="Times New Roman" w:cs="Times New Roman" w:eastAsiaTheme="minorEastAsia"/>
                <w:sz w:val="18"/>
                <w:szCs w:val="18"/>
                <w:u w:val="none" w:color="auto"/>
              </w:rPr>
            </w:pPr>
          </w:p>
        </w:tc>
        <w:tc>
          <w:tcPr>
            <w:tcW w:w="736" w:type="dxa"/>
            <w:vAlign w:val="center"/>
          </w:tcPr>
          <w:p w14:paraId="3E099F7E">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31001</w:t>
            </w:r>
          </w:p>
        </w:tc>
        <w:tc>
          <w:tcPr>
            <w:tcW w:w="2518" w:type="dxa"/>
            <w:vAlign w:val="center"/>
          </w:tcPr>
          <w:p w14:paraId="460BA9C2">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房屋建筑物购建</w:t>
            </w:r>
          </w:p>
        </w:tc>
        <w:tc>
          <w:tcPr>
            <w:tcW w:w="991" w:type="dxa"/>
            <w:vAlign w:val="center"/>
          </w:tcPr>
          <w:p w14:paraId="4C4BEFB9">
            <w:pPr>
              <w:jc w:val="right"/>
              <w:rPr>
                <w:rFonts w:hint="default" w:ascii="Times New Roman" w:hAnsi="Times New Roman" w:cs="Times New Roman" w:eastAsiaTheme="minorEastAsia"/>
                <w:sz w:val="18"/>
                <w:szCs w:val="18"/>
                <w:u w:val="none" w:color="auto"/>
              </w:rPr>
            </w:pPr>
          </w:p>
        </w:tc>
      </w:tr>
      <w:tr w14:paraId="159C13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6610B23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30107</w:t>
            </w:r>
          </w:p>
        </w:tc>
        <w:tc>
          <w:tcPr>
            <w:tcW w:w="2256" w:type="dxa"/>
            <w:vAlign w:val="center"/>
          </w:tcPr>
          <w:p w14:paraId="3D4B26D5">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绩效工资</w:t>
            </w:r>
          </w:p>
        </w:tc>
        <w:tc>
          <w:tcPr>
            <w:tcW w:w="803" w:type="dxa"/>
            <w:vAlign w:val="center"/>
          </w:tcPr>
          <w:p w14:paraId="79F89670">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1,166.47</w:t>
            </w:r>
          </w:p>
        </w:tc>
        <w:tc>
          <w:tcPr>
            <w:tcW w:w="509" w:type="dxa"/>
            <w:vAlign w:val="center"/>
          </w:tcPr>
          <w:p w14:paraId="419CB33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30205</w:t>
            </w:r>
          </w:p>
        </w:tc>
        <w:tc>
          <w:tcPr>
            <w:tcW w:w="1904" w:type="dxa"/>
            <w:vAlign w:val="center"/>
          </w:tcPr>
          <w:p w14:paraId="71B4B0EA">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水费</w:t>
            </w:r>
          </w:p>
        </w:tc>
        <w:tc>
          <w:tcPr>
            <w:tcW w:w="768" w:type="dxa"/>
            <w:vAlign w:val="center"/>
          </w:tcPr>
          <w:p w14:paraId="5D0D5D0A">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2.75</w:t>
            </w:r>
          </w:p>
        </w:tc>
        <w:tc>
          <w:tcPr>
            <w:tcW w:w="736" w:type="dxa"/>
            <w:vAlign w:val="center"/>
          </w:tcPr>
          <w:p w14:paraId="591DD495">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31002</w:t>
            </w:r>
          </w:p>
        </w:tc>
        <w:tc>
          <w:tcPr>
            <w:tcW w:w="2518" w:type="dxa"/>
            <w:vAlign w:val="center"/>
          </w:tcPr>
          <w:p w14:paraId="3E1FD9ED">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办公设备购置</w:t>
            </w:r>
          </w:p>
        </w:tc>
        <w:tc>
          <w:tcPr>
            <w:tcW w:w="991" w:type="dxa"/>
            <w:vAlign w:val="center"/>
          </w:tcPr>
          <w:p w14:paraId="1CC4FFFD">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0.60</w:t>
            </w:r>
          </w:p>
        </w:tc>
      </w:tr>
      <w:tr w14:paraId="58599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14AA9384">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30108</w:t>
            </w:r>
          </w:p>
        </w:tc>
        <w:tc>
          <w:tcPr>
            <w:tcW w:w="2256" w:type="dxa"/>
            <w:vAlign w:val="center"/>
          </w:tcPr>
          <w:p w14:paraId="61C87F5F">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机关事业单位基本养老保险缴费</w:t>
            </w:r>
          </w:p>
        </w:tc>
        <w:tc>
          <w:tcPr>
            <w:tcW w:w="803" w:type="dxa"/>
            <w:vAlign w:val="center"/>
          </w:tcPr>
          <w:p w14:paraId="070C945E">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192.43</w:t>
            </w:r>
          </w:p>
        </w:tc>
        <w:tc>
          <w:tcPr>
            <w:tcW w:w="509" w:type="dxa"/>
            <w:vAlign w:val="center"/>
          </w:tcPr>
          <w:p w14:paraId="3B7B7D4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30206</w:t>
            </w:r>
          </w:p>
        </w:tc>
        <w:tc>
          <w:tcPr>
            <w:tcW w:w="1904" w:type="dxa"/>
            <w:vAlign w:val="center"/>
          </w:tcPr>
          <w:p w14:paraId="73A0036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电费</w:t>
            </w:r>
          </w:p>
        </w:tc>
        <w:tc>
          <w:tcPr>
            <w:tcW w:w="768" w:type="dxa"/>
            <w:vAlign w:val="center"/>
          </w:tcPr>
          <w:p w14:paraId="35EC13EC">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5.32</w:t>
            </w:r>
          </w:p>
        </w:tc>
        <w:tc>
          <w:tcPr>
            <w:tcW w:w="736" w:type="dxa"/>
            <w:vAlign w:val="center"/>
          </w:tcPr>
          <w:p w14:paraId="55191B09">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31003</w:t>
            </w:r>
          </w:p>
        </w:tc>
        <w:tc>
          <w:tcPr>
            <w:tcW w:w="2518" w:type="dxa"/>
            <w:vAlign w:val="center"/>
          </w:tcPr>
          <w:p w14:paraId="1CF18594">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专用设备购置</w:t>
            </w:r>
          </w:p>
        </w:tc>
        <w:tc>
          <w:tcPr>
            <w:tcW w:w="991" w:type="dxa"/>
            <w:vAlign w:val="center"/>
          </w:tcPr>
          <w:p w14:paraId="4C03E46A">
            <w:pPr>
              <w:jc w:val="right"/>
              <w:rPr>
                <w:rFonts w:hint="default" w:ascii="Times New Roman" w:hAnsi="Times New Roman" w:cs="Times New Roman" w:eastAsiaTheme="minorEastAsia"/>
                <w:sz w:val="18"/>
                <w:szCs w:val="18"/>
                <w:u w:val="none" w:color="auto"/>
              </w:rPr>
            </w:pPr>
          </w:p>
        </w:tc>
      </w:tr>
      <w:tr w14:paraId="17F96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1149A4F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30109</w:t>
            </w:r>
          </w:p>
        </w:tc>
        <w:tc>
          <w:tcPr>
            <w:tcW w:w="2256" w:type="dxa"/>
            <w:vAlign w:val="center"/>
          </w:tcPr>
          <w:p w14:paraId="1CA7F22F">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职业年金缴费</w:t>
            </w:r>
          </w:p>
        </w:tc>
        <w:tc>
          <w:tcPr>
            <w:tcW w:w="803" w:type="dxa"/>
            <w:vAlign w:val="center"/>
          </w:tcPr>
          <w:p w14:paraId="211606F7">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0.17</w:t>
            </w:r>
          </w:p>
        </w:tc>
        <w:tc>
          <w:tcPr>
            <w:tcW w:w="509" w:type="dxa"/>
            <w:vAlign w:val="center"/>
          </w:tcPr>
          <w:p w14:paraId="088F7A09">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30207</w:t>
            </w:r>
          </w:p>
        </w:tc>
        <w:tc>
          <w:tcPr>
            <w:tcW w:w="1904" w:type="dxa"/>
            <w:vAlign w:val="center"/>
          </w:tcPr>
          <w:p w14:paraId="37515B31">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邮电费</w:t>
            </w:r>
          </w:p>
        </w:tc>
        <w:tc>
          <w:tcPr>
            <w:tcW w:w="768" w:type="dxa"/>
            <w:vAlign w:val="center"/>
          </w:tcPr>
          <w:p w14:paraId="05463610">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0.12</w:t>
            </w:r>
          </w:p>
        </w:tc>
        <w:tc>
          <w:tcPr>
            <w:tcW w:w="736" w:type="dxa"/>
            <w:vAlign w:val="center"/>
          </w:tcPr>
          <w:p w14:paraId="66CB933A">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31005</w:t>
            </w:r>
          </w:p>
        </w:tc>
        <w:tc>
          <w:tcPr>
            <w:tcW w:w="2518" w:type="dxa"/>
            <w:vAlign w:val="center"/>
          </w:tcPr>
          <w:p w14:paraId="1445C5FE">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基础设施建设</w:t>
            </w:r>
          </w:p>
        </w:tc>
        <w:tc>
          <w:tcPr>
            <w:tcW w:w="991" w:type="dxa"/>
            <w:vAlign w:val="center"/>
          </w:tcPr>
          <w:p w14:paraId="5E8ACCFA">
            <w:pPr>
              <w:jc w:val="right"/>
              <w:rPr>
                <w:rFonts w:hint="default" w:ascii="Times New Roman" w:hAnsi="Times New Roman" w:cs="Times New Roman" w:eastAsiaTheme="minorEastAsia"/>
                <w:sz w:val="18"/>
                <w:szCs w:val="18"/>
                <w:u w:val="none" w:color="auto"/>
              </w:rPr>
            </w:pPr>
          </w:p>
        </w:tc>
      </w:tr>
      <w:tr w14:paraId="75DB8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2351C0D6">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30110</w:t>
            </w:r>
          </w:p>
        </w:tc>
        <w:tc>
          <w:tcPr>
            <w:tcW w:w="2256" w:type="dxa"/>
            <w:vAlign w:val="center"/>
          </w:tcPr>
          <w:p w14:paraId="066E0C3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职工基本医疗保险缴费</w:t>
            </w:r>
          </w:p>
        </w:tc>
        <w:tc>
          <w:tcPr>
            <w:tcW w:w="803" w:type="dxa"/>
            <w:vAlign w:val="center"/>
          </w:tcPr>
          <w:p w14:paraId="0398FEB1">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117.29</w:t>
            </w:r>
          </w:p>
        </w:tc>
        <w:tc>
          <w:tcPr>
            <w:tcW w:w="509" w:type="dxa"/>
            <w:vAlign w:val="center"/>
          </w:tcPr>
          <w:p w14:paraId="1BC3693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30208</w:t>
            </w:r>
          </w:p>
        </w:tc>
        <w:tc>
          <w:tcPr>
            <w:tcW w:w="1904" w:type="dxa"/>
            <w:vAlign w:val="center"/>
          </w:tcPr>
          <w:p w14:paraId="3A98946F">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取暖费</w:t>
            </w:r>
          </w:p>
        </w:tc>
        <w:tc>
          <w:tcPr>
            <w:tcW w:w="768" w:type="dxa"/>
            <w:vAlign w:val="center"/>
          </w:tcPr>
          <w:p w14:paraId="4A5DB73F">
            <w:pPr>
              <w:jc w:val="right"/>
              <w:rPr>
                <w:rFonts w:hint="default" w:ascii="Times New Roman" w:hAnsi="Times New Roman" w:cs="Times New Roman" w:eastAsiaTheme="minorEastAsia"/>
                <w:sz w:val="18"/>
                <w:szCs w:val="18"/>
                <w:u w:val="none" w:color="auto"/>
              </w:rPr>
            </w:pPr>
          </w:p>
        </w:tc>
        <w:tc>
          <w:tcPr>
            <w:tcW w:w="736" w:type="dxa"/>
            <w:vAlign w:val="center"/>
          </w:tcPr>
          <w:p w14:paraId="20CCA015">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31006</w:t>
            </w:r>
          </w:p>
        </w:tc>
        <w:tc>
          <w:tcPr>
            <w:tcW w:w="2518" w:type="dxa"/>
            <w:vAlign w:val="center"/>
          </w:tcPr>
          <w:p w14:paraId="053F9B7A">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大型修缮</w:t>
            </w:r>
          </w:p>
        </w:tc>
        <w:tc>
          <w:tcPr>
            <w:tcW w:w="991" w:type="dxa"/>
            <w:vAlign w:val="center"/>
          </w:tcPr>
          <w:p w14:paraId="68D031C4">
            <w:pPr>
              <w:jc w:val="right"/>
              <w:rPr>
                <w:rFonts w:hint="default" w:ascii="Times New Roman" w:hAnsi="Times New Roman" w:cs="Times New Roman" w:eastAsiaTheme="minorEastAsia"/>
                <w:sz w:val="18"/>
                <w:szCs w:val="18"/>
                <w:u w:val="none" w:color="auto"/>
              </w:rPr>
            </w:pPr>
          </w:p>
        </w:tc>
      </w:tr>
      <w:tr w14:paraId="6B832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69B7722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30111</w:t>
            </w:r>
          </w:p>
        </w:tc>
        <w:tc>
          <w:tcPr>
            <w:tcW w:w="2256" w:type="dxa"/>
            <w:vAlign w:val="center"/>
          </w:tcPr>
          <w:p w14:paraId="5FD673A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公务员医疗补助缴费</w:t>
            </w:r>
          </w:p>
        </w:tc>
        <w:tc>
          <w:tcPr>
            <w:tcW w:w="803" w:type="dxa"/>
            <w:vAlign w:val="center"/>
          </w:tcPr>
          <w:p w14:paraId="114E34FF">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74.83</w:t>
            </w:r>
          </w:p>
        </w:tc>
        <w:tc>
          <w:tcPr>
            <w:tcW w:w="509" w:type="dxa"/>
            <w:vAlign w:val="center"/>
          </w:tcPr>
          <w:p w14:paraId="053F7DC3">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30209</w:t>
            </w:r>
          </w:p>
        </w:tc>
        <w:tc>
          <w:tcPr>
            <w:tcW w:w="1904" w:type="dxa"/>
            <w:vAlign w:val="center"/>
          </w:tcPr>
          <w:p w14:paraId="674A4C3D">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物业管理费</w:t>
            </w:r>
          </w:p>
        </w:tc>
        <w:tc>
          <w:tcPr>
            <w:tcW w:w="768" w:type="dxa"/>
            <w:vAlign w:val="center"/>
          </w:tcPr>
          <w:p w14:paraId="460E9E47">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26.45</w:t>
            </w:r>
          </w:p>
        </w:tc>
        <w:tc>
          <w:tcPr>
            <w:tcW w:w="736" w:type="dxa"/>
            <w:vAlign w:val="center"/>
          </w:tcPr>
          <w:p w14:paraId="1991BDED">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31007</w:t>
            </w:r>
          </w:p>
        </w:tc>
        <w:tc>
          <w:tcPr>
            <w:tcW w:w="2518" w:type="dxa"/>
            <w:vAlign w:val="center"/>
          </w:tcPr>
          <w:p w14:paraId="4DFD75C6">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信息网络及软件购置更新</w:t>
            </w:r>
          </w:p>
        </w:tc>
        <w:tc>
          <w:tcPr>
            <w:tcW w:w="991" w:type="dxa"/>
            <w:vAlign w:val="center"/>
          </w:tcPr>
          <w:p w14:paraId="63BAFCB7">
            <w:pPr>
              <w:jc w:val="right"/>
              <w:rPr>
                <w:rFonts w:hint="default" w:ascii="Times New Roman" w:hAnsi="Times New Roman" w:cs="Times New Roman" w:eastAsiaTheme="minorEastAsia"/>
                <w:sz w:val="18"/>
                <w:szCs w:val="18"/>
                <w:u w:val="none" w:color="auto"/>
              </w:rPr>
            </w:pPr>
          </w:p>
        </w:tc>
      </w:tr>
      <w:tr w14:paraId="5EA90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0937844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30112</w:t>
            </w:r>
          </w:p>
        </w:tc>
        <w:tc>
          <w:tcPr>
            <w:tcW w:w="2256" w:type="dxa"/>
            <w:vAlign w:val="center"/>
          </w:tcPr>
          <w:p w14:paraId="3CFC71D1">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其他社会保障缴费</w:t>
            </w:r>
          </w:p>
        </w:tc>
        <w:tc>
          <w:tcPr>
            <w:tcW w:w="803" w:type="dxa"/>
            <w:vAlign w:val="center"/>
          </w:tcPr>
          <w:p w14:paraId="22D00CB4">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11.89</w:t>
            </w:r>
          </w:p>
        </w:tc>
        <w:tc>
          <w:tcPr>
            <w:tcW w:w="509" w:type="dxa"/>
            <w:vAlign w:val="center"/>
          </w:tcPr>
          <w:p w14:paraId="31253D61">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30211</w:t>
            </w:r>
          </w:p>
        </w:tc>
        <w:tc>
          <w:tcPr>
            <w:tcW w:w="1904" w:type="dxa"/>
            <w:vAlign w:val="center"/>
          </w:tcPr>
          <w:p w14:paraId="09CF586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差旅费</w:t>
            </w:r>
          </w:p>
        </w:tc>
        <w:tc>
          <w:tcPr>
            <w:tcW w:w="768" w:type="dxa"/>
            <w:vAlign w:val="center"/>
          </w:tcPr>
          <w:p w14:paraId="51DB90A6">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3.94</w:t>
            </w:r>
          </w:p>
        </w:tc>
        <w:tc>
          <w:tcPr>
            <w:tcW w:w="736" w:type="dxa"/>
            <w:vAlign w:val="center"/>
          </w:tcPr>
          <w:p w14:paraId="2A7F1A8D">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31008</w:t>
            </w:r>
          </w:p>
        </w:tc>
        <w:tc>
          <w:tcPr>
            <w:tcW w:w="2518" w:type="dxa"/>
            <w:vAlign w:val="center"/>
          </w:tcPr>
          <w:p w14:paraId="3F8F95E2">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物资储备</w:t>
            </w:r>
          </w:p>
        </w:tc>
        <w:tc>
          <w:tcPr>
            <w:tcW w:w="991" w:type="dxa"/>
            <w:vAlign w:val="center"/>
          </w:tcPr>
          <w:p w14:paraId="70B95F50">
            <w:pPr>
              <w:jc w:val="right"/>
              <w:rPr>
                <w:rFonts w:hint="default" w:ascii="Times New Roman" w:hAnsi="Times New Roman" w:cs="Times New Roman" w:eastAsiaTheme="minorEastAsia"/>
                <w:sz w:val="18"/>
                <w:szCs w:val="18"/>
                <w:u w:val="none" w:color="auto"/>
              </w:rPr>
            </w:pPr>
          </w:p>
        </w:tc>
      </w:tr>
      <w:tr w14:paraId="0AC0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104B68F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30113</w:t>
            </w:r>
          </w:p>
        </w:tc>
        <w:tc>
          <w:tcPr>
            <w:tcW w:w="2256" w:type="dxa"/>
            <w:vAlign w:val="center"/>
          </w:tcPr>
          <w:p w14:paraId="3EB05F1A">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住房公积金</w:t>
            </w:r>
          </w:p>
        </w:tc>
        <w:tc>
          <w:tcPr>
            <w:tcW w:w="803" w:type="dxa"/>
            <w:vAlign w:val="center"/>
          </w:tcPr>
          <w:p w14:paraId="22F38134">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189.56</w:t>
            </w:r>
          </w:p>
        </w:tc>
        <w:tc>
          <w:tcPr>
            <w:tcW w:w="509" w:type="dxa"/>
            <w:vAlign w:val="center"/>
          </w:tcPr>
          <w:p w14:paraId="1888AEC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30212</w:t>
            </w:r>
          </w:p>
        </w:tc>
        <w:tc>
          <w:tcPr>
            <w:tcW w:w="1904" w:type="dxa"/>
            <w:vAlign w:val="center"/>
          </w:tcPr>
          <w:p w14:paraId="4C4C4DD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因公出国（境）费用</w:t>
            </w:r>
          </w:p>
        </w:tc>
        <w:tc>
          <w:tcPr>
            <w:tcW w:w="768" w:type="dxa"/>
            <w:vAlign w:val="center"/>
          </w:tcPr>
          <w:p w14:paraId="162E2C04">
            <w:pPr>
              <w:jc w:val="right"/>
              <w:rPr>
                <w:rFonts w:hint="default" w:ascii="Times New Roman" w:hAnsi="Times New Roman" w:cs="Times New Roman" w:eastAsiaTheme="minorEastAsia"/>
                <w:sz w:val="18"/>
                <w:szCs w:val="18"/>
                <w:u w:val="none" w:color="auto"/>
              </w:rPr>
            </w:pPr>
          </w:p>
        </w:tc>
        <w:tc>
          <w:tcPr>
            <w:tcW w:w="736" w:type="dxa"/>
            <w:vAlign w:val="center"/>
          </w:tcPr>
          <w:p w14:paraId="65DB66C0">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31009</w:t>
            </w:r>
          </w:p>
        </w:tc>
        <w:tc>
          <w:tcPr>
            <w:tcW w:w="2518" w:type="dxa"/>
            <w:vAlign w:val="center"/>
          </w:tcPr>
          <w:p w14:paraId="636BFB11">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土地补偿</w:t>
            </w:r>
          </w:p>
        </w:tc>
        <w:tc>
          <w:tcPr>
            <w:tcW w:w="991" w:type="dxa"/>
            <w:vAlign w:val="center"/>
          </w:tcPr>
          <w:p w14:paraId="54126A74">
            <w:pPr>
              <w:jc w:val="right"/>
              <w:rPr>
                <w:rFonts w:hint="default" w:ascii="Times New Roman" w:hAnsi="Times New Roman" w:cs="Times New Roman" w:eastAsiaTheme="minorEastAsia"/>
                <w:sz w:val="18"/>
                <w:szCs w:val="18"/>
                <w:u w:val="none" w:color="auto"/>
              </w:rPr>
            </w:pPr>
          </w:p>
        </w:tc>
      </w:tr>
      <w:tr w14:paraId="6D08E8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0494E884">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30114</w:t>
            </w:r>
          </w:p>
        </w:tc>
        <w:tc>
          <w:tcPr>
            <w:tcW w:w="2256" w:type="dxa"/>
            <w:vAlign w:val="center"/>
          </w:tcPr>
          <w:p w14:paraId="73117EB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医疗费</w:t>
            </w:r>
          </w:p>
        </w:tc>
        <w:tc>
          <w:tcPr>
            <w:tcW w:w="803" w:type="dxa"/>
            <w:vAlign w:val="center"/>
          </w:tcPr>
          <w:p w14:paraId="3647465D">
            <w:pPr>
              <w:jc w:val="right"/>
              <w:rPr>
                <w:rFonts w:hint="default" w:ascii="Times New Roman" w:hAnsi="Times New Roman" w:cs="Times New Roman" w:eastAsiaTheme="minorEastAsia"/>
                <w:sz w:val="18"/>
                <w:szCs w:val="18"/>
                <w:u w:val="none" w:color="auto"/>
              </w:rPr>
            </w:pPr>
          </w:p>
        </w:tc>
        <w:tc>
          <w:tcPr>
            <w:tcW w:w="509" w:type="dxa"/>
            <w:vAlign w:val="center"/>
          </w:tcPr>
          <w:p w14:paraId="0E4D4EF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30213</w:t>
            </w:r>
          </w:p>
        </w:tc>
        <w:tc>
          <w:tcPr>
            <w:tcW w:w="1904" w:type="dxa"/>
            <w:vAlign w:val="center"/>
          </w:tcPr>
          <w:p w14:paraId="035F92C5">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维修（护）费</w:t>
            </w:r>
          </w:p>
        </w:tc>
        <w:tc>
          <w:tcPr>
            <w:tcW w:w="768" w:type="dxa"/>
            <w:vAlign w:val="center"/>
          </w:tcPr>
          <w:p w14:paraId="37A4EA0A">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1.28</w:t>
            </w:r>
          </w:p>
        </w:tc>
        <w:tc>
          <w:tcPr>
            <w:tcW w:w="736" w:type="dxa"/>
            <w:vAlign w:val="center"/>
          </w:tcPr>
          <w:p w14:paraId="01051A7F">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31010</w:t>
            </w:r>
          </w:p>
        </w:tc>
        <w:tc>
          <w:tcPr>
            <w:tcW w:w="2518" w:type="dxa"/>
            <w:vAlign w:val="center"/>
          </w:tcPr>
          <w:p w14:paraId="65CF2491">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安置补助</w:t>
            </w:r>
          </w:p>
        </w:tc>
        <w:tc>
          <w:tcPr>
            <w:tcW w:w="991" w:type="dxa"/>
            <w:vAlign w:val="center"/>
          </w:tcPr>
          <w:p w14:paraId="4633B7D9">
            <w:pPr>
              <w:jc w:val="right"/>
              <w:rPr>
                <w:rFonts w:hint="default" w:ascii="Times New Roman" w:hAnsi="Times New Roman" w:cs="Times New Roman" w:eastAsiaTheme="minorEastAsia"/>
                <w:sz w:val="18"/>
                <w:szCs w:val="18"/>
                <w:u w:val="none" w:color="auto"/>
              </w:rPr>
            </w:pPr>
          </w:p>
        </w:tc>
      </w:tr>
      <w:tr w14:paraId="54A7A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4984791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30199</w:t>
            </w:r>
          </w:p>
        </w:tc>
        <w:tc>
          <w:tcPr>
            <w:tcW w:w="2256" w:type="dxa"/>
            <w:vAlign w:val="center"/>
          </w:tcPr>
          <w:p w14:paraId="2152B56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其他工资福利支出</w:t>
            </w:r>
          </w:p>
        </w:tc>
        <w:tc>
          <w:tcPr>
            <w:tcW w:w="803" w:type="dxa"/>
            <w:vAlign w:val="center"/>
          </w:tcPr>
          <w:p w14:paraId="0B3493C7">
            <w:pPr>
              <w:jc w:val="right"/>
              <w:rPr>
                <w:rFonts w:hint="default" w:ascii="Times New Roman" w:hAnsi="Times New Roman" w:cs="Times New Roman" w:eastAsiaTheme="minorEastAsia"/>
                <w:sz w:val="18"/>
                <w:szCs w:val="18"/>
                <w:u w:val="none" w:color="auto"/>
              </w:rPr>
            </w:pPr>
          </w:p>
        </w:tc>
        <w:tc>
          <w:tcPr>
            <w:tcW w:w="509" w:type="dxa"/>
            <w:vAlign w:val="center"/>
          </w:tcPr>
          <w:p w14:paraId="28DC1DE4">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30214</w:t>
            </w:r>
          </w:p>
        </w:tc>
        <w:tc>
          <w:tcPr>
            <w:tcW w:w="1904" w:type="dxa"/>
            <w:vAlign w:val="center"/>
          </w:tcPr>
          <w:p w14:paraId="62556664">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租赁费</w:t>
            </w:r>
          </w:p>
        </w:tc>
        <w:tc>
          <w:tcPr>
            <w:tcW w:w="768" w:type="dxa"/>
            <w:vAlign w:val="center"/>
          </w:tcPr>
          <w:p w14:paraId="6976D9DD">
            <w:pPr>
              <w:jc w:val="right"/>
              <w:rPr>
                <w:rFonts w:hint="default" w:ascii="Times New Roman" w:hAnsi="Times New Roman" w:cs="Times New Roman" w:eastAsiaTheme="minorEastAsia"/>
                <w:sz w:val="18"/>
                <w:szCs w:val="18"/>
                <w:u w:val="none" w:color="auto"/>
              </w:rPr>
            </w:pPr>
          </w:p>
        </w:tc>
        <w:tc>
          <w:tcPr>
            <w:tcW w:w="736" w:type="dxa"/>
            <w:vAlign w:val="center"/>
          </w:tcPr>
          <w:p w14:paraId="021EDCC3">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31011</w:t>
            </w:r>
          </w:p>
        </w:tc>
        <w:tc>
          <w:tcPr>
            <w:tcW w:w="2518" w:type="dxa"/>
            <w:vAlign w:val="center"/>
          </w:tcPr>
          <w:p w14:paraId="7DECB091">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地上附着物和青苗补偿</w:t>
            </w:r>
          </w:p>
        </w:tc>
        <w:tc>
          <w:tcPr>
            <w:tcW w:w="991" w:type="dxa"/>
            <w:vAlign w:val="center"/>
          </w:tcPr>
          <w:p w14:paraId="4FF7D34E">
            <w:pPr>
              <w:jc w:val="right"/>
              <w:rPr>
                <w:rFonts w:hint="default" w:ascii="Times New Roman" w:hAnsi="Times New Roman" w:cs="Times New Roman" w:eastAsiaTheme="minorEastAsia"/>
                <w:sz w:val="18"/>
                <w:szCs w:val="18"/>
                <w:u w:val="none" w:color="auto"/>
              </w:rPr>
            </w:pPr>
          </w:p>
        </w:tc>
      </w:tr>
      <w:tr w14:paraId="01B12D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6FBD6838">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w:t>
            </w:r>
          </w:p>
        </w:tc>
        <w:tc>
          <w:tcPr>
            <w:tcW w:w="2256" w:type="dxa"/>
            <w:vAlign w:val="center"/>
          </w:tcPr>
          <w:p w14:paraId="030DBE4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对个人和家庭的补助</w:t>
            </w:r>
          </w:p>
        </w:tc>
        <w:tc>
          <w:tcPr>
            <w:tcW w:w="803" w:type="dxa"/>
            <w:vAlign w:val="center"/>
          </w:tcPr>
          <w:p w14:paraId="427AB19A">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218.58</w:t>
            </w:r>
          </w:p>
        </w:tc>
        <w:tc>
          <w:tcPr>
            <w:tcW w:w="509" w:type="dxa"/>
            <w:vAlign w:val="center"/>
          </w:tcPr>
          <w:p w14:paraId="5DFC3581">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30215</w:t>
            </w:r>
          </w:p>
        </w:tc>
        <w:tc>
          <w:tcPr>
            <w:tcW w:w="1904" w:type="dxa"/>
            <w:vAlign w:val="center"/>
          </w:tcPr>
          <w:p w14:paraId="7248AAD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会议费</w:t>
            </w:r>
          </w:p>
        </w:tc>
        <w:tc>
          <w:tcPr>
            <w:tcW w:w="768" w:type="dxa"/>
            <w:vAlign w:val="center"/>
          </w:tcPr>
          <w:p w14:paraId="5734DB4C">
            <w:pPr>
              <w:jc w:val="right"/>
              <w:rPr>
                <w:rFonts w:hint="default" w:ascii="Times New Roman" w:hAnsi="Times New Roman" w:cs="Times New Roman" w:eastAsiaTheme="minorEastAsia"/>
                <w:sz w:val="18"/>
                <w:szCs w:val="18"/>
                <w:u w:val="none" w:color="auto"/>
              </w:rPr>
            </w:pPr>
          </w:p>
        </w:tc>
        <w:tc>
          <w:tcPr>
            <w:tcW w:w="736" w:type="dxa"/>
            <w:vAlign w:val="center"/>
          </w:tcPr>
          <w:p w14:paraId="1961CE2D">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31012</w:t>
            </w:r>
          </w:p>
        </w:tc>
        <w:tc>
          <w:tcPr>
            <w:tcW w:w="2518" w:type="dxa"/>
            <w:vAlign w:val="center"/>
          </w:tcPr>
          <w:p w14:paraId="201AAE5C">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拆迁补偿</w:t>
            </w:r>
          </w:p>
        </w:tc>
        <w:tc>
          <w:tcPr>
            <w:tcW w:w="991" w:type="dxa"/>
            <w:vAlign w:val="center"/>
          </w:tcPr>
          <w:p w14:paraId="3F5F7982">
            <w:pPr>
              <w:jc w:val="right"/>
              <w:rPr>
                <w:rFonts w:hint="default" w:ascii="Times New Roman" w:hAnsi="Times New Roman" w:cs="Times New Roman" w:eastAsiaTheme="minorEastAsia"/>
                <w:sz w:val="18"/>
                <w:szCs w:val="18"/>
                <w:u w:val="none" w:color="auto"/>
              </w:rPr>
            </w:pPr>
          </w:p>
        </w:tc>
      </w:tr>
      <w:tr w14:paraId="4CE65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0AEEE8B8">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30301</w:t>
            </w:r>
          </w:p>
        </w:tc>
        <w:tc>
          <w:tcPr>
            <w:tcW w:w="2256" w:type="dxa"/>
            <w:vAlign w:val="center"/>
          </w:tcPr>
          <w:p w14:paraId="0873CBFE">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离休费</w:t>
            </w:r>
          </w:p>
        </w:tc>
        <w:tc>
          <w:tcPr>
            <w:tcW w:w="803" w:type="dxa"/>
            <w:vAlign w:val="center"/>
          </w:tcPr>
          <w:p w14:paraId="394BE915">
            <w:pPr>
              <w:jc w:val="right"/>
              <w:rPr>
                <w:rFonts w:hint="default" w:ascii="Times New Roman" w:hAnsi="Times New Roman" w:cs="Times New Roman" w:eastAsiaTheme="minorEastAsia"/>
                <w:sz w:val="18"/>
                <w:szCs w:val="18"/>
                <w:u w:val="none" w:color="auto"/>
              </w:rPr>
            </w:pPr>
          </w:p>
        </w:tc>
        <w:tc>
          <w:tcPr>
            <w:tcW w:w="509" w:type="dxa"/>
            <w:vAlign w:val="center"/>
          </w:tcPr>
          <w:p w14:paraId="0626E5DE">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30216</w:t>
            </w:r>
          </w:p>
        </w:tc>
        <w:tc>
          <w:tcPr>
            <w:tcW w:w="1904" w:type="dxa"/>
            <w:vAlign w:val="center"/>
          </w:tcPr>
          <w:p w14:paraId="2412C82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培训费</w:t>
            </w:r>
          </w:p>
        </w:tc>
        <w:tc>
          <w:tcPr>
            <w:tcW w:w="768" w:type="dxa"/>
            <w:vAlign w:val="center"/>
          </w:tcPr>
          <w:p w14:paraId="7A69B2B8">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7.62</w:t>
            </w:r>
          </w:p>
        </w:tc>
        <w:tc>
          <w:tcPr>
            <w:tcW w:w="736" w:type="dxa"/>
            <w:vAlign w:val="center"/>
          </w:tcPr>
          <w:p w14:paraId="09C98C05">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31013</w:t>
            </w:r>
          </w:p>
        </w:tc>
        <w:tc>
          <w:tcPr>
            <w:tcW w:w="2518" w:type="dxa"/>
            <w:vAlign w:val="center"/>
          </w:tcPr>
          <w:p w14:paraId="0E3AE916">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公务用车购置</w:t>
            </w:r>
          </w:p>
        </w:tc>
        <w:tc>
          <w:tcPr>
            <w:tcW w:w="991" w:type="dxa"/>
            <w:vAlign w:val="center"/>
          </w:tcPr>
          <w:p w14:paraId="17B6EAC4">
            <w:pPr>
              <w:jc w:val="right"/>
              <w:rPr>
                <w:rFonts w:hint="default" w:ascii="Times New Roman" w:hAnsi="Times New Roman" w:cs="Times New Roman" w:eastAsiaTheme="minorEastAsia"/>
                <w:sz w:val="18"/>
                <w:szCs w:val="18"/>
                <w:u w:val="none" w:color="auto"/>
              </w:rPr>
            </w:pPr>
          </w:p>
        </w:tc>
      </w:tr>
      <w:tr w14:paraId="6978E8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2640F221">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30302</w:t>
            </w:r>
          </w:p>
        </w:tc>
        <w:tc>
          <w:tcPr>
            <w:tcW w:w="2256" w:type="dxa"/>
            <w:vAlign w:val="center"/>
          </w:tcPr>
          <w:p w14:paraId="5155B7D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退休费</w:t>
            </w:r>
          </w:p>
        </w:tc>
        <w:tc>
          <w:tcPr>
            <w:tcW w:w="803" w:type="dxa"/>
            <w:vAlign w:val="center"/>
          </w:tcPr>
          <w:p w14:paraId="2FE57E6D">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179.52</w:t>
            </w:r>
          </w:p>
        </w:tc>
        <w:tc>
          <w:tcPr>
            <w:tcW w:w="509" w:type="dxa"/>
            <w:vAlign w:val="center"/>
          </w:tcPr>
          <w:p w14:paraId="3AC491F3">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30217</w:t>
            </w:r>
          </w:p>
        </w:tc>
        <w:tc>
          <w:tcPr>
            <w:tcW w:w="1904" w:type="dxa"/>
            <w:vAlign w:val="center"/>
          </w:tcPr>
          <w:p w14:paraId="4CEF0F32">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公务接待费</w:t>
            </w:r>
          </w:p>
        </w:tc>
        <w:tc>
          <w:tcPr>
            <w:tcW w:w="768" w:type="dxa"/>
            <w:vAlign w:val="center"/>
          </w:tcPr>
          <w:p w14:paraId="7492FCB5">
            <w:pPr>
              <w:jc w:val="right"/>
              <w:rPr>
                <w:rFonts w:hint="default" w:ascii="Times New Roman" w:hAnsi="Times New Roman" w:cs="Times New Roman" w:eastAsiaTheme="minorEastAsia"/>
                <w:sz w:val="18"/>
                <w:szCs w:val="18"/>
                <w:u w:val="none" w:color="auto"/>
              </w:rPr>
            </w:pPr>
          </w:p>
        </w:tc>
        <w:tc>
          <w:tcPr>
            <w:tcW w:w="736" w:type="dxa"/>
            <w:vAlign w:val="center"/>
          </w:tcPr>
          <w:p w14:paraId="18C909FE">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31019</w:t>
            </w:r>
          </w:p>
        </w:tc>
        <w:tc>
          <w:tcPr>
            <w:tcW w:w="2518" w:type="dxa"/>
            <w:vAlign w:val="center"/>
          </w:tcPr>
          <w:p w14:paraId="6FC20A15">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其他交通工具购置</w:t>
            </w:r>
          </w:p>
        </w:tc>
        <w:tc>
          <w:tcPr>
            <w:tcW w:w="991" w:type="dxa"/>
            <w:vAlign w:val="center"/>
          </w:tcPr>
          <w:p w14:paraId="1E035D74">
            <w:pPr>
              <w:jc w:val="right"/>
              <w:rPr>
                <w:rFonts w:hint="default" w:ascii="Times New Roman" w:hAnsi="Times New Roman" w:cs="Times New Roman" w:eastAsiaTheme="minorEastAsia"/>
                <w:sz w:val="18"/>
                <w:szCs w:val="18"/>
                <w:u w:val="none" w:color="auto"/>
              </w:rPr>
            </w:pPr>
          </w:p>
        </w:tc>
      </w:tr>
      <w:tr w14:paraId="3B88A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7F2AE834">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30303</w:t>
            </w:r>
          </w:p>
        </w:tc>
        <w:tc>
          <w:tcPr>
            <w:tcW w:w="2256" w:type="dxa"/>
            <w:vAlign w:val="center"/>
          </w:tcPr>
          <w:p w14:paraId="0D6CF8F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退职（役）费</w:t>
            </w:r>
          </w:p>
        </w:tc>
        <w:tc>
          <w:tcPr>
            <w:tcW w:w="803" w:type="dxa"/>
            <w:vAlign w:val="center"/>
          </w:tcPr>
          <w:p w14:paraId="41CE604C">
            <w:pPr>
              <w:jc w:val="right"/>
              <w:rPr>
                <w:rFonts w:hint="default" w:ascii="Times New Roman" w:hAnsi="Times New Roman" w:cs="Times New Roman" w:eastAsiaTheme="minorEastAsia"/>
                <w:sz w:val="18"/>
                <w:szCs w:val="18"/>
                <w:u w:val="none" w:color="auto"/>
              </w:rPr>
            </w:pPr>
          </w:p>
        </w:tc>
        <w:tc>
          <w:tcPr>
            <w:tcW w:w="509" w:type="dxa"/>
            <w:vAlign w:val="center"/>
          </w:tcPr>
          <w:p w14:paraId="52F46A83">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30218</w:t>
            </w:r>
          </w:p>
        </w:tc>
        <w:tc>
          <w:tcPr>
            <w:tcW w:w="1904" w:type="dxa"/>
            <w:vAlign w:val="center"/>
          </w:tcPr>
          <w:p w14:paraId="3D995D5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专用材料费</w:t>
            </w:r>
          </w:p>
        </w:tc>
        <w:tc>
          <w:tcPr>
            <w:tcW w:w="768" w:type="dxa"/>
            <w:vAlign w:val="center"/>
          </w:tcPr>
          <w:p w14:paraId="71ABDBA4">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2.63</w:t>
            </w:r>
          </w:p>
        </w:tc>
        <w:tc>
          <w:tcPr>
            <w:tcW w:w="736" w:type="dxa"/>
            <w:vAlign w:val="center"/>
          </w:tcPr>
          <w:p w14:paraId="167202E8">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31021</w:t>
            </w:r>
          </w:p>
        </w:tc>
        <w:tc>
          <w:tcPr>
            <w:tcW w:w="2518" w:type="dxa"/>
            <w:vAlign w:val="center"/>
          </w:tcPr>
          <w:p w14:paraId="18614360">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文物和陈列品购置</w:t>
            </w:r>
          </w:p>
        </w:tc>
        <w:tc>
          <w:tcPr>
            <w:tcW w:w="991" w:type="dxa"/>
            <w:vAlign w:val="center"/>
          </w:tcPr>
          <w:p w14:paraId="221D7091">
            <w:pPr>
              <w:jc w:val="right"/>
              <w:rPr>
                <w:rFonts w:hint="default" w:ascii="Times New Roman" w:hAnsi="Times New Roman" w:cs="Times New Roman" w:eastAsiaTheme="minorEastAsia"/>
                <w:sz w:val="18"/>
                <w:szCs w:val="18"/>
                <w:u w:val="none" w:color="auto"/>
              </w:rPr>
            </w:pPr>
          </w:p>
        </w:tc>
      </w:tr>
      <w:tr w14:paraId="2CC87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4D87FB93">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30304</w:t>
            </w:r>
          </w:p>
        </w:tc>
        <w:tc>
          <w:tcPr>
            <w:tcW w:w="2256" w:type="dxa"/>
            <w:vAlign w:val="center"/>
          </w:tcPr>
          <w:p w14:paraId="22728CC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抚恤金</w:t>
            </w:r>
          </w:p>
        </w:tc>
        <w:tc>
          <w:tcPr>
            <w:tcW w:w="803" w:type="dxa"/>
            <w:vAlign w:val="center"/>
          </w:tcPr>
          <w:p w14:paraId="145C5389">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14.84</w:t>
            </w:r>
          </w:p>
        </w:tc>
        <w:tc>
          <w:tcPr>
            <w:tcW w:w="509" w:type="dxa"/>
            <w:vAlign w:val="center"/>
          </w:tcPr>
          <w:p w14:paraId="07E37523">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30224</w:t>
            </w:r>
          </w:p>
        </w:tc>
        <w:tc>
          <w:tcPr>
            <w:tcW w:w="1904" w:type="dxa"/>
            <w:vAlign w:val="center"/>
          </w:tcPr>
          <w:p w14:paraId="3D54B7AF">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被装购置费</w:t>
            </w:r>
          </w:p>
        </w:tc>
        <w:tc>
          <w:tcPr>
            <w:tcW w:w="768" w:type="dxa"/>
            <w:vAlign w:val="center"/>
          </w:tcPr>
          <w:p w14:paraId="16F16A4A">
            <w:pPr>
              <w:jc w:val="right"/>
              <w:rPr>
                <w:rFonts w:hint="default" w:ascii="Times New Roman" w:hAnsi="Times New Roman" w:cs="Times New Roman" w:eastAsiaTheme="minorEastAsia"/>
                <w:sz w:val="18"/>
                <w:szCs w:val="18"/>
                <w:u w:val="none" w:color="auto"/>
              </w:rPr>
            </w:pPr>
          </w:p>
        </w:tc>
        <w:tc>
          <w:tcPr>
            <w:tcW w:w="736" w:type="dxa"/>
            <w:vAlign w:val="center"/>
          </w:tcPr>
          <w:p w14:paraId="53037294">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31022</w:t>
            </w:r>
          </w:p>
        </w:tc>
        <w:tc>
          <w:tcPr>
            <w:tcW w:w="2518" w:type="dxa"/>
            <w:vAlign w:val="center"/>
          </w:tcPr>
          <w:p w14:paraId="1C7EACAC">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无形资产购置</w:t>
            </w:r>
          </w:p>
        </w:tc>
        <w:tc>
          <w:tcPr>
            <w:tcW w:w="991" w:type="dxa"/>
            <w:vAlign w:val="center"/>
          </w:tcPr>
          <w:p w14:paraId="2BFF37A1">
            <w:pPr>
              <w:jc w:val="right"/>
              <w:rPr>
                <w:rFonts w:hint="default" w:ascii="Times New Roman" w:hAnsi="Times New Roman" w:cs="Times New Roman" w:eastAsiaTheme="minorEastAsia"/>
                <w:sz w:val="18"/>
                <w:szCs w:val="18"/>
                <w:u w:val="none" w:color="auto"/>
              </w:rPr>
            </w:pPr>
          </w:p>
        </w:tc>
      </w:tr>
      <w:tr w14:paraId="3273A7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3AC36AA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30305</w:t>
            </w:r>
          </w:p>
        </w:tc>
        <w:tc>
          <w:tcPr>
            <w:tcW w:w="2256" w:type="dxa"/>
            <w:vAlign w:val="center"/>
          </w:tcPr>
          <w:p w14:paraId="6EAE39A8">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生活补助</w:t>
            </w:r>
          </w:p>
        </w:tc>
        <w:tc>
          <w:tcPr>
            <w:tcW w:w="803" w:type="dxa"/>
            <w:vAlign w:val="center"/>
          </w:tcPr>
          <w:p w14:paraId="7670581A">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1.27</w:t>
            </w:r>
          </w:p>
        </w:tc>
        <w:tc>
          <w:tcPr>
            <w:tcW w:w="509" w:type="dxa"/>
            <w:vAlign w:val="center"/>
          </w:tcPr>
          <w:p w14:paraId="0D513A88">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30225</w:t>
            </w:r>
          </w:p>
        </w:tc>
        <w:tc>
          <w:tcPr>
            <w:tcW w:w="1904" w:type="dxa"/>
            <w:vAlign w:val="center"/>
          </w:tcPr>
          <w:p w14:paraId="54472748">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专用燃料费</w:t>
            </w:r>
          </w:p>
        </w:tc>
        <w:tc>
          <w:tcPr>
            <w:tcW w:w="768" w:type="dxa"/>
            <w:vAlign w:val="center"/>
          </w:tcPr>
          <w:p w14:paraId="15645501">
            <w:pPr>
              <w:jc w:val="right"/>
              <w:rPr>
                <w:rFonts w:hint="default" w:ascii="Times New Roman" w:hAnsi="Times New Roman" w:cs="Times New Roman" w:eastAsiaTheme="minorEastAsia"/>
                <w:sz w:val="18"/>
                <w:szCs w:val="18"/>
                <w:u w:val="none" w:color="auto"/>
              </w:rPr>
            </w:pPr>
          </w:p>
        </w:tc>
        <w:tc>
          <w:tcPr>
            <w:tcW w:w="736" w:type="dxa"/>
            <w:vAlign w:val="center"/>
          </w:tcPr>
          <w:p w14:paraId="696FCD0A">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31099</w:t>
            </w:r>
          </w:p>
        </w:tc>
        <w:tc>
          <w:tcPr>
            <w:tcW w:w="2518" w:type="dxa"/>
            <w:vAlign w:val="center"/>
          </w:tcPr>
          <w:p w14:paraId="7F46F207">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其他资本性支出</w:t>
            </w:r>
          </w:p>
        </w:tc>
        <w:tc>
          <w:tcPr>
            <w:tcW w:w="991" w:type="dxa"/>
            <w:vAlign w:val="center"/>
          </w:tcPr>
          <w:p w14:paraId="47ECF7E0">
            <w:pPr>
              <w:jc w:val="right"/>
              <w:rPr>
                <w:rFonts w:hint="default" w:ascii="Times New Roman" w:hAnsi="Times New Roman" w:cs="Times New Roman" w:eastAsiaTheme="minorEastAsia"/>
                <w:sz w:val="18"/>
                <w:szCs w:val="18"/>
                <w:u w:val="none" w:color="auto"/>
              </w:rPr>
            </w:pPr>
          </w:p>
        </w:tc>
      </w:tr>
      <w:tr w14:paraId="7A817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47FBDB3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30306</w:t>
            </w:r>
          </w:p>
        </w:tc>
        <w:tc>
          <w:tcPr>
            <w:tcW w:w="2256" w:type="dxa"/>
            <w:vAlign w:val="center"/>
          </w:tcPr>
          <w:p w14:paraId="42C0F0B1">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救济费</w:t>
            </w:r>
          </w:p>
        </w:tc>
        <w:tc>
          <w:tcPr>
            <w:tcW w:w="803" w:type="dxa"/>
            <w:vAlign w:val="center"/>
          </w:tcPr>
          <w:p w14:paraId="00FC690F">
            <w:pPr>
              <w:jc w:val="right"/>
              <w:rPr>
                <w:rFonts w:hint="default" w:ascii="Times New Roman" w:hAnsi="Times New Roman" w:cs="Times New Roman" w:eastAsiaTheme="minorEastAsia"/>
                <w:sz w:val="18"/>
                <w:szCs w:val="18"/>
                <w:u w:val="none" w:color="auto"/>
              </w:rPr>
            </w:pPr>
          </w:p>
        </w:tc>
        <w:tc>
          <w:tcPr>
            <w:tcW w:w="509" w:type="dxa"/>
            <w:vAlign w:val="center"/>
          </w:tcPr>
          <w:p w14:paraId="5CD01C0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30226</w:t>
            </w:r>
          </w:p>
        </w:tc>
        <w:tc>
          <w:tcPr>
            <w:tcW w:w="1904" w:type="dxa"/>
            <w:vAlign w:val="center"/>
          </w:tcPr>
          <w:p w14:paraId="771CA64A">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劳务费</w:t>
            </w:r>
          </w:p>
        </w:tc>
        <w:tc>
          <w:tcPr>
            <w:tcW w:w="768" w:type="dxa"/>
            <w:vAlign w:val="center"/>
          </w:tcPr>
          <w:p w14:paraId="66E7FE75">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14.89</w:t>
            </w:r>
          </w:p>
        </w:tc>
        <w:tc>
          <w:tcPr>
            <w:tcW w:w="736" w:type="dxa"/>
            <w:vAlign w:val="center"/>
          </w:tcPr>
          <w:p w14:paraId="6F9AAD4B">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399</w:t>
            </w:r>
          </w:p>
        </w:tc>
        <w:tc>
          <w:tcPr>
            <w:tcW w:w="2518" w:type="dxa"/>
            <w:vAlign w:val="center"/>
          </w:tcPr>
          <w:p w14:paraId="38D80508">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其他支出</w:t>
            </w:r>
          </w:p>
        </w:tc>
        <w:tc>
          <w:tcPr>
            <w:tcW w:w="991" w:type="dxa"/>
            <w:vAlign w:val="center"/>
          </w:tcPr>
          <w:p w14:paraId="1FDB6A91">
            <w:pPr>
              <w:jc w:val="right"/>
              <w:rPr>
                <w:rFonts w:hint="default" w:ascii="Times New Roman" w:hAnsi="Times New Roman" w:cs="Times New Roman" w:eastAsiaTheme="minorEastAsia"/>
                <w:sz w:val="18"/>
                <w:szCs w:val="18"/>
                <w:u w:val="none" w:color="auto"/>
              </w:rPr>
            </w:pPr>
          </w:p>
        </w:tc>
      </w:tr>
      <w:tr w14:paraId="7ECCF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14E2874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30307</w:t>
            </w:r>
          </w:p>
        </w:tc>
        <w:tc>
          <w:tcPr>
            <w:tcW w:w="2256" w:type="dxa"/>
            <w:vAlign w:val="center"/>
          </w:tcPr>
          <w:p w14:paraId="0B8F35A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医疗费补助</w:t>
            </w:r>
          </w:p>
        </w:tc>
        <w:tc>
          <w:tcPr>
            <w:tcW w:w="803" w:type="dxa"/>
            <w:vAlign w:val="center"/>
          </w:tcPr>
          <w:p w14:paraId="2CE53BB7">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22.95</w:t>
            </w:r>
          </w:p>
        </w:tc>
        <w:tc>
          <w:tcPr>
            <w:tcW w:w="509" w:type="dxa"/>
            <w:vAlign w:val="center"/>
          </w:tcPr>
          <w:p w14:paraId="4AD2B9DB">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30227</w:t>
            </w:r>
          </w:p>
        </w:tc>
        <w:tc>
          <w:tcPr>
            <w:tcW w:w="1904" w:type="dxa"/>
            <w:vAlign w:val="center"/>
          </w:tcPr>
          <w:p w14:paraId="378E3179">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委托业务费</w:t>
            </w:r>
          </w:p>
        </w:tc>
        <w:tc>
          <w:tcPr>
            <w:tcW w:w="768" w:type="dxa"/>
            <w:vAlign w:val="center"/>
          </w:tcPr>
          <w:p w14:paraId="36E44016">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6.99</w:t>
            </w:r>
          </w:p>
        </w:tc>
        <w:tc>
          <w:tcPr>
            <w:tcW w:w="736" w:type="dxa"/>
            <w:vAlign w:val="center"/>
          </w:tcPr>
          <w:p w14:paraId="5E136CE1">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39907</w:t>
            </w:r>
          </w:p>
        </w:tc>
        <w:tc>
          <w:tcPr>
            <w:tcW w:w="2518" w:type="dxa"/>
            <w:vAlign w:val="center"/>
          </w:tcPr>
          <w:p w14:paraId="557D3775">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国家赔偿费用支出</w:t>
            </w:r>
          </w:p>
        </w:tc>
        <w:tc>
          <w:tcPr>
            <w:tcW w:w="991" w:type="dxa"/>
            <w:vAlign w:val="center"/>
          </w:tcPr>
          <w:p w14:paraId="5199033B">
            <w:pPr>
              <w:jc w:val="right"/>
              <w:rPr>
                <w:rFonts w:hint="default" w:ascii="Times New Roman" w:hAnsi="Times New Roman" w:cs="Times New Roman" w:eastAsiaTheme="minorEastAsia"/>
                <w:sz w:val="18"/>
                <w:szCs w:val="18"/>
                <w:u w:val="none" w:color="auto"/>
              </w:rPr>
            </w:pPr>
          </w:p>
        </w:tc>
      </w:tr>
      <w:tr w14:paraId="4A3B12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68C577E9">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30308</w:t>
            </w:r>
          </w:p>
        </w:tc>
        <w:tc>
          <w:tcPr>
            <w:tcW w:w="2256" w:type="dxa"/>
            <w:vAlign w:val="center"/>
          </w:tcPr>
          <w:p w14:paraId="789345F6">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助学金</w:t>
            </w:r>
          </w:p>
        </w:tc>
        <w:tc>
          <w:tcPr>
            <w:tcW w:w="803" w:type="dxa"/>
            <w:vAlign w:val="center"/>
          </w:tcPr>
          <w:p w14:paraId="08F27906">
            <w:pPr>
              <w:jc w:val="right"/>
              <w:rPr>
                <w:rFonts w:hint="default" w:ascii="Times New Roman" w:hAnsi="Times New Roman" w:cs="Times New Roman" w:eastAsiaTheme="minorEastAsia"/>
                <w:sz w:val="18"/>
                <w:szCs w:val="18"/>
                <w:u w:val="none" w:color="auto"/>
              </w:rPr>
            </w:pPr>
          </w:p>
        </w:tc>
        <w:tc>
          <w:tcPr>
            <w:tcW w:w="509" w:type="dxa"/>
            <w:vAlign w:val="center"/>
          </w:tcPr>
          <w:p w14:paraId="4BF753B1">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30228</w:t>
            </w:r>
          </w:p>
        </w:tc>
        <w:tc>
          <w:tcPr>
            <w:tcW w:w="1904" w:type="dxa"/>
            <w:vAlign w:val="center"/>
          </w:tcPr>
          <w:p w14:paraId="31245D15">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工会经费</w:t>
            </w:r>
          </w:p>
        </w:tc>
        <w:tc>
          <w:tcPr>
            <w:tcW w:w="768" w:type="dxa"/>
            <w:vAlign w:val="center"/>
          </w:tcPr>
          <w:p w14:paraId="4BDC3BE7">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11.17</w:t>
            </w:r>
          </w:p>
        </w:tc>
        <w:tc>
          <w:tcPr>
            <w:tcW w:w="736" w:type="dxa"/>
            <w:vAlign w:val="center"/>
          </w:tcPr>
          <w:p w14:paraId="1EE8D5A4">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39908</w:t>
            </w:r>
          </w:p>
        </w:tc>
        <w:tc>
          <w:tcPr>
            <w:tcW w:w="2518" w:type="dxa"/>
            <w:vAlign w:val="center"/>
          </w:tcPr>
          <w:p w14:paraId="47FB758C">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对民间非营利组织和群众性自治组织补贴</w:t>
            </w:r>
          </w:p>
        </w:tc>
        <w:tc>
          <w:tcPr>
            <w:tcW w:w="991" w:type="dxa"/>
            <w:vAlign w:val="center"/>
          </w:tcPr>
          <w:p w14:paraId="54775881">
            <w:pPr>
              <w:jc w:val="right"/>
              <w:rPr>
                <w:rFonts w:hint="default" w:ascii="Times New Roman" w:hAnsi="Times New Roman" w:cs="Times New Roman" w:eastAsiaTheme="minorEastAsia"/>
                <w:sz w:val="18"/>
                <w:szCs w:val="18"/>
                <w:u w:val="none" w:color="auto"/>
              </w:rPr>
            </w:pPr>
          </w:p>
        </w:tc>
      </w:tr>
      <w:tr w14:paraId="555A9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0B64DF7D">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30309</w:t>
            </w:r>
          </w:p>
        </w:tc>
        <w:tc>
          <w:tcPr>
            <w:tcW w:w="2256" w:type="dxa"/>
            <w:vAlign w:val="center"/>
          </w:tcPr>
          <w:p w14:paraId="303012C2">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奖励金</w:t>
            </w:r>
          </w:p>
        </w:tc>
        <w:tc>
          <w:tcPr>
            <w:tcW w:w="803" w:type="dxa"/>
            <w:vAlign w:val="center"/>
          </w:tcPr>
          <w:p w14:paraId="1FB66571">
            <w:pPr>
              <w:jc w:val="right"/>
              <w:rPr>
                <w:rFonts w:hint="default" w:ascii="Times New Roman" w:hAnsi="Times New Roman" w:cs="Times New Roman" w:eastAsiaTheme="minorEastAsia"/>
                <w:sz w:val="18"/>
                <w:szCs w:val="18"/>
                <w:u w:val="none" w:color="auto"/>
              </w:rPr>
            </w:pPr>
          </w:p>
        </w:tc>
        <w:tc>
          <w:tcPr>
            <w:tcW w:w="509" w:type="dxa"/>
            <w:vAlign w:val="center"/>
          </w:tcPr>
          <w:p w14:paraId="407D485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30229</w:t>
            </w:r>
          </w:p>
        </w:tc>
        <w:tc>
          <w:tcPr>
            <w:tcW w:w="1904" w:type="dxa"/>
            <w:vAlign w:val="center"/>
          </w:tcPr>
          <w:p w14:paraId="4F23855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福利费</w:t>
            </w:r>
          </w:p>
        </w:tc>
        <w:tc>
          <w:tcPr>
            <w:tcW w:w="768" w:type="dxa"/>
            <w:vAlign w:val="center"/>
          </w:tcPr>
          <w:p w14:paraId="25C7C644">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10.91</w:t>
            </w:r>
          </w:p>
        </w:tc>
        <w:tc>
          <w:tcPr>
            <w:tcW w:w="736" w:type="dxa"/>
            <w:vAlign w:val="center"/>
          </w:tcPr>
          <w:p w14:paraId="3C8B2EEF">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39909</w:t>
            </w:r>
          </w:p>
        </w:tc>
        <w:tc>
          <w:tcPr>
            <w:tcW w:w="2518" w:type="dxa"/>
            <w:vAlign w:val="center"/>
          </w:tcPr>
          <w:p w14:paraId="3ADC79B5">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经常性赠与</w:t>
            </w:r>
          </w:p>
        </w:tc>
        <w:tc>
          <w:tcPr>
            <w:tcW w:w="991" w:type="dxa"/>
            <w:vAlign w:val="center"/>
          </w:tcPr>
          <w:p w14:paraId="08436EAD">
            <w:pPr>
              <w:jc w:val="right"/>
              <w:rPr>
                <w:rFonts w:hint="default" w:ascii="Times New Roman" w:hAnsi="Times New Roman" w:cs="Times New Roman" w:eastAsiaTheme="minorEastAsia"/>
                <w:sz w:val="18"/>
                <w:szCs w:val="18"/>
                <w:u w:val="none" w:color="auto"/>
              </w:rPr>
            </w:pPr>
          </w:p>
        </w:tc>
      </w:tr>
      <w:tr w14:paraId="23CEF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2E09A64F">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30310</w:t>
            </w:r>
          </w:p>
        </w:tc>
        <w:tc>
          <w:tcPr>
            <w:tcW w:w="2256" w:type="dxa"/>
            <w:vAlign w:val="center"/>
          </w:tcPr>
          <w:p w14:paraId="786A9398">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个人农业生产补贴</w:t>
            </w:r>
          </w:p>
        </w:tc>
        <w:tc>
          <w:tcPr>
            <w:tcW w:w="803" w:type="dxa"/>
            <w:vAlign w:val="center"/>
          </w:tcPr>
          <w:p w14:paraId="3FF81418">
            <w:pPr>
              <w:jc w:val="right"/>
              <w:rPr>
                <w:rFonts w:hint="default" w:ascii="Times New Roman" w:hAnsi="Times New Roman" w:cs="Times New Roman" w:eastAsiaTheme="minorEastAsia"/>
                <w:sz w:val="18"/>
                <w:szCs w:val="18"/>
                <w:u w:val="none" w:color="auto"/>
              </w:rPr>
            </w:pPr>
          </w:p>
        </w:tc>
        <w:tc>
          <w:tcPr>
            <w:tcW w:w="509" w:type="dxa"/>
            <w:vAlign w:val="center"/>
          </w:tcPr>
          <w:p w14:paraId="44234D65">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30231</w:t>
            </w:r>
          </w:p>
        </w:tc>
        <w:tc>
          <w:tcPr>
            <w:tcW w:w="1904" w:type="dxa"/>
            <w:vAlign w:val="center"/>
          </w:tcPr>
          <w:p w14:paraId="208F3495">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公务用车运行维护费</w:t>
            </w:r>
          </w:p>
        </w:tc>
        <w:tc>
          <w:tcPr>
            <w:tcW w:w="768" w:type="dxa"/>
            <w:vAlign w:val="center"/>
          </w:tcPr>
          <w:p w14:paraId="218DF453">
            <w:pPr>
              <w:jc w:val="right"/>
              <w:rPr>
                <w:rFonts w:hint="default" w:ascii="Times New Roman" w:hAnsi="Times New Roman" w:cs="Times New Roman" w:eastAsiaTheme="minorEastAsia"/>
                <w:sz w:val="18"/>
                <w:szCs w:val="18"/>
                <w:u w:val="none" w:color="auto"/>
              </w:rPr>
            </w:pPr>
          </w:p>
        </w:tc>
        <w:tc>
          <w:tcPr>
            <w:tcW w:w="736" w:type="dxa"/>
            <w:vAlign w:val="center"/>
          </w:tcPr>
          <w:p w14:paraId="39943AB0">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39910</w:t>
            </w:r>
          </w:p>
        </w:tc>
        <w:tc>
          <w:tcPr>
            <w:tcW w:w="2518" w:type="dxa"/>
            <w:vAlign w:val="center"/>
          </w:tcPr>
          <w:p w14:paraId="0BBC9D52">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资本性赠与</w:t>
            </w:r>
          </w:p>
        </w:tc>
        <w:tc>
          <w:tcPr>
            <w:tcW w:w="991" w:type="dxa"/>
            <w:vAlign w:val="center"/>
          </w:tcPr>
          <w:p w14:paraId="6F766449">
            <w:pPr>
              <w:jc w:val="right"/>
              <w:rPr>
                <w:rFonts w:hint="default" w:ascii="Times New Roman" w:hAnsi="Times New Roman" w:cs="Times New Roman" w:eastAsiaTheme="minorEastAsia"/>
                <w:sz w:val="18"/>
                <w:szCs w:val="18"/>
                <w:u w:val="none" w:color="auto"/>
              </w:rPr>
            </w:pPr>
          </w:p>
        </w:tc>
      </w:tr>
      <w:tr w14:paraId="1DDC7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2F5BADBF">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30311</w:t>
            </w:r>
          </w:p>
        </w:tc>
        <w:tc>
          <w:tcPr>
            <w:tcW w:w="2256" w:type="dxa"/>
            <w:vAlign w:val="center"/>
          </w:tcPr>
          <w:p w14:paraId="3E4D6BE1">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代缴社会保险费</w:t>
            </w:r>
          </w:p>
        </w:tc>
        <w:tc>
          <w:tcPr>
            <w:tcW w:w="803" w:type="dxa"/>
            <w:vAlign w:val="center"/>
          </w:tcPr>
          <w:p w14:paraId="2A3F26B6">
            <w:pPr>
              <w:jc w:val="right"/>
              <w:rPr>
                <w:rFonts w:hint="default" w:ascii="Times New Roman" w:hAnsi="Times New Roman" w:cs="Times New Roman" w:eastAsiaTheme="minorEastAsia"/>
                <w:sz w:val="18"/>
                <w:szCs w:val="18"/>
                <w:u w:val="none" w:color="auto"/>
              </w:rPr>
            </w:pPr>
          </w:p>
        </w:tc>
        <w:tc>
          <w:tcPr>
            <w:tcW w:w="509" w:type="dxa"/>
            <w:vAlign w:val="center"/>
          </w:tcPr>
          <w:p w14:paraId="32C05EB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30239</w:t>
            </w:r>
          </w:p>
        </w:tc>
        <w:tc>
          <w:tcPr>
            <w:tcW w:w="1904" w:type="dxa"/>
            <w:vAlign w:val="center"/>
          </w:tcPr>
          <w:p w14:paraId="75A24F65">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其他交通费用</w:t>
            </w:r>
          </w:p>
        </w:tc>
        <w:tc>
          <w:tcPr>
            <w:tcW w:w="768" w:type="dxa"/>
            <w:vAlign w:val="center"/>
          </w:tcPr>
          <w:p w14:paraId="21D1D2C1">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2.60</w:t>
            </w:r>
          </w:p>
        </w:tc>
        <w:tc>
          <w:tcPr>
            <w:tcW w:w="736" w:type="dxa"/>
            <w:vAlign w:val="center"/>
          </w:tcPr>
          <w:p w14:paraId="5B6DC095">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39999</w:t>
            </w:r>
          </w:p>
        </w:tc>
        <w:tc>
          <w:tcPr>
            <w:tcW w:w="2518" w:type="dxa"/>
            <w:vAlign w:val="center"/>
          </w:tcPr>
          <w:p w14:paraId="22906956">
            <w:pPr>
              <w:keepNext w:val="0"/>
              <w:keepLines w:val="0"/>
              <w:widowControl/>
              <w:suppressLineNumbers w:val="0"/>
              <w:jc w:val="lef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其他支出</w:t>
            </w:r>
          </w:p>
        </w:tc>
        <w:tc>
          <w:tcPr>
            <w:tcW w:w="991" w:type="dxa"/>
            <w:vAlign w:val="center"/>
          </w:tcPr>
          <w:p w14:paraId="77BB0C7F">
            <w:pPr>
              <w:jc w:val="right"/>
              <w:rPr>
                <w:rFonts w:hint="default" w:ascii="Times New Roman" w:hAnsi="Times New Roman" w:cs="Times New Roman" w:eastAsiaTheme="minorEastAsia"/>
                <w:sz w:val="18"/>
                <w:szCs w:val="18"/>
                <w:u w:val="none" w:color="auto"/>
              </w:rPr>
            </w:pPr>
          </w:p>
        </w:tc>
      </w:tr>
      <w:tr w14:paraId="53285B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3B9B310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30399</w:t>
            </w:r>
          </w:p>
        </w:tc>
        <w:tc>
          <w:tcPr>
            <w:tcW w:w="2256" w:type="dxa"/>
            <w:vAlign w:val="center"/>
          </w:tcPr>
          <w:p w14:paraId="075D60B7">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其他对个人和家庭的补助</w:t>
            </w:r>
          </w:p>
        </w:tc>
        <w:tc>
          <w:tcPr>
            <w:tcW w:w="803" w:type="dxa"/>
            <w:vAlign w:val="center"/>
          </w:tcPr>
          <w:p w14:paraId="4EE17C71">
            <w:pPr>
              <w:jc w:val="right"/>
              <w:rPr>
                <w:rFonts w:hint="default" w:ascii="Times New Roman" w:hAnsi="Times New Roman" w:cs="Times New Roman" w:eastAsiaTheme="minorEastAsia"/>
                <w:sz w:val="18"/>
                <w:szCs w:val="18"/>
                <w:u w:val="none" w:color="auto"/>
              </w:rPr>
            </w:pPr>
          </w:p>
        </w:tc>
        <w:tc>
          <w:tcPr>
            <w:tcW w:w="509" w:type="dxa"/>
            <w:vAlign w:val="center"/>
          </w:tcPr>
          <w:p w14:paraId="25CED350">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30240</w:t>
            </w:r>
          </w:p>
        </w:tc>
        <w:tc>
          <w:tcPr>
            <w:tcW w:w="1904" w:type="dxa"/>
            <w:vAlign w:val="center"/>
          </w:tcPr>
          <w:p w14:paraId="22AA6C32">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税金及附加费用</w:t>
            </w:r>
          </w:p>
        </w:tc>
        <w:tc>
          <w:tcPr>
            <w:tcW w:w="768" w:type="dxa"/>
            <w:vAlign w:val="center"/>
          </w:tcPr>
          <w:p w14:paraId="385934B3">
            <w:pPr>
              <w:jc w:val="right"/>
              <w:rPr>
                <w:rFonts w:hint="default" w:ascii="Times New Roman" w:hAnsi="Times New Roman" w:cs="Times New Roman" w:eastAsiaTheme="minorEastAsia"/>
                <w:sz w:val="18"/>
                <w:szCs w:val="18"/>
                <w:u w:val="none" w:color="auto"/>
              </w:rPr>
            </w:pPr>
          </w:p>
        </w:tc>
        <w:tc>
          <w:tcPr>
            <w:tcW w:w="736" w:type="dxa"/>
            <w:vAlign w:val="center"/>
          </w:tcPr>
          <w:p w14:paraId="1197D618">
            <w:pPr>
              <w:jc w:val="left"/>
              <w:rPr>
                <w:rFonts w:hint="default" w:ascii="Times New Roman" w:hAnsi="Times New Roman" w:cs="Times New Roman" w:eastAsiaTheme="minorEastAsia"/>
                <w:sz w:val="18"/>
                <w:szCs w:val="18"/>
                <w:u w:val="none" w:color="auto"/>
              </w:rPr>
            </w:pPr>
          </w:p>
        </w:tc>
        <w:tc>
          <w:tcPr>
            <w:tcW w:w="2518" w:type="dxa"/>
            <w:vAlign w:val="center"/>
          </w:tcPr>
          <w:p w14:paraId="64EA63F3">
            <w:pPr>
              <w:jc w:val="left"/>
              <w:rPr>
                <w:rFonts w:hint="default" w:ascii="Times New Roman" w:hAnsi="Times New Roman" w:cs="Times New Roman" w:eastAsiaTheme="minorEastAsia"/>
                <w:sz w:val="18"/>
                <w:szCs w:val="18"/>
                <w:u w:val="none" w:color="auto"/>
              </w:rPr>
            </w:pPr>
          </w:p>
        </w:tc>
        <w:tc>
          <w:tcPr>
            <w:tcW w:w="991" w:type="dxa"/>
            <w:vAlign w:val="center"/>
          </w:tcPr>
          <w:p w14:paraId="2FA4E528">
            <w:pPr>
              <w:jc w:val="right"/>
              <w:rPr>
                <w:rFonts w:hint="default" w:ascii="Times New Roman" w:hAnsi="Times New Roman" w:cs="Times New Roman" w:eastAsiaTheme="minorEastAsia"/>
                <w:sz w:val="18"/>
                <w:szCs w:val="18"/>
                <w:u w:val="none" w:color="auto"/>
              </w:rPr>
            </w:pPr>
          </w:p>
        </w:tc>
      </w:tr>
      <w:tr w14:paraId="796FB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33" w:type="dxa"/>
            <w:vAlign w:val="center"/>
          </w:tcPr>
          <w:p w14:paraId="19DFF60D">
            <w:pPr>
              <w:jc w:val="left"/>
              <w:rPr>
                <w:rFonts w:hint="default" w:ascii="Times New Roman" w:hAnsi="Times New Roman" w:cs="Times New Roman" w:eastAsiaTheme="minorEastAsia"/>
                <w:sz w:val="18"/>
                <w:szCs w:val="18"/>
                <w:u w:val="none" w:color="auto"/>
              </w:rPr>
            </w:pPr>
          </w:p>
        </w:tc>
        <w:tc>
          <w:tcPr>
            <w:tcW w:w="2256" w:type="dxa"/>
            <w:vAlign w:val="center"/>
          </w:tcPr>
          <w:p w14:paraId="14F804BB">
            <w:pPr>
              <w:jc w:val="left"/>
              <w:rPr>
                <w:rFonts w:hint="default" w:ascii="Times New Roman" w:hAnsi="Times New Roman" w:cs="Times New Roman" w:eastAsiaTheme="minorEastAsia"/>
                <w:sz w:val="18"/>
                <w:szCs w:val="18"/>
                <w:u w:val="none" w:color="auto"/>
              </w:rPr>
            </w:pPr>
          </w:p>
        </w:tc>
        <w:tc>
          <w:tcPr>
            <w:tcW w:w="803" w:type="dxa"/>
            <w:vAlign w:val="center"/>
          </w:tcPr>
          <w:p w14:paraId="6EA3C380">
            <w:pPr>
              <w:jc w:val="right"/>
              <w:rPr>
                <w:rFonts w:hint="default" w:ascii="Times New Roman" w:hAnsi="Times New Roman" w:cs="Times New Roman" w:eastAsiaTheme="minorEastAsia"/>
                <w:sz w:val="18"/>
                <w:szCs w:val="18"/>
                <w:u w:val="none" w:color="auto"/>
              </w:rPr>
            </w:pPr>
          </w:p>
        </w:tc>
        <w:tc>
          <w:tcPr>
            <w:tcW w:w="509" w:type="dxa"/>
            <w:vAlign w:val="center"/>
          </w:tcPr>
          <w:p w14:paraId="48E08C0C">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30299</w:t>
            </w:r>
          </w:p>
        </w:tc>
        <w:tc>
          <w:tcPr>
            <w:tcW w:w="1904" w:type="dxa"/>
            <w:vAlign w:val="center"/>
          </w:tcPr>
          <w:p w14:paraId="54BA1833">
            <w:pPr>
              <w:keepNext w:val="0"/>
              <w:keepLines w:val="0"/>
              <w:widowControl/>
              <w:suppressLineNumbers w:val="0"/>
              <w:jc w:val="left"/>
              <w:textAlignment w:val="center"/>
              <w:rPr>
                <w:rFonts w:hint="default" w:ascii="Times New Roman" w:hAnsi="Times New Roman" w:eastAsia="宋体" w:cs="Times New Roman"/>
                <w:i w:val="0"/>
                <w:iCs w:val="0"/>
                <w:snapToGrid w:val="0"/>
                <w:color w:val="000000"/>
                <w:kern w:val="0"/>
                <w:sz w:val="18"/>
                <w:szCs w:val="18"/>
                <w:u w:val="none" w:color="auto"/>
                <w:lang w:val="en-US" w:eastAsia="zh-CN" w:bidi="ar"/>
              </w:rPr>
            </w:pPr>
            <w:r>
              <w:rPr>
                <w:rFonts w:hint="eastAsia" w:ascii="宋体" w:hAnsi="宋体" w:eastAsia="宋体" w:cs="宋体"/>
                <w:i w:val="0"/>
                <w:iCs w:val="0"/>
                <w:snapToGrid w:val="0"/>
                <w:color w:val="000000"/>
                <w:kern w:val="0"/>
                <w:sz w:val="18"/>
                <w:szCs w:val="18"/>
                <w:u w:val="none" w:color="auto"/>
                <w:lang w:val="en-US" w:eastAsia="zh-CN" w:bidi="ar"/>
              </w:rPr>
              <w:t>其他商品和服务支出</w:t>
            </w:r>
          </w:p>
        </w:tc>
        <w:tc>
          <w:tcPr>
            <w:tcW w:w="768" w:type="dxa"/>
            <w:vAlign w:val="center"/>
          </w:tcPr>
          <w:p w14:paraId="7933A81E">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36.94</w:t>
            </w:r>
          </w:p>
        </w:tc>
        <w:tc>
          <w:tcPr>
            <w:tcW w:w="736" w:type="dxa"/>
            <w:vAlign w:val="center"/>
          </w:tcPr>
          <w:p w14:paraId="4793DEC6">
            <w:pPr>
              <w:jc w:val="left"/>
              <w:rPr>
                <w:rFonts w:hint="default" w:ascii="Times New Roman" w:hAnsi="Times New Roman" w:cs="Times New Roman" w:eastAsiaTheme="minorEastAsia"/>
                <w:sz w:val="18"/>
                <w:szCs w:val="18"/>
                <w:u w:val="none" w:color="auto"/>
              </w:rPr>
            </w:pPr>
          </w:p>
        </w:tc>
        <w:tc>
          <w:tcPr>
            <w:tcW w:w="2518" w:type="dxa"/>
            <w:vAlign w:val="center"/>
          </w:tcPr>
          <w:p w14:paraId="4852670C">
            <w:pPr>
              <w:jc w:val="left"/>
              <w:rPr>
                <w:rFonts w:hint="default" w:ascii="Times New Roman" w:hAnsi="Times New Roman" w:cs="Times New Roman" w:eastAsiaTheme="minorEastAsia"/>
                <w:sz w:val="18"/>
                <w:szCs w:val="18"/>
                <w:u w:val="none" w:color="auto"/>
              </w:rPr>
            </w:pPr>
          </w:p>
        </w:tc>
        <w:tc>
          <w:tcPr>
            <w:tcW w:w="991" w:type="dxa"/>
            <w:vAlign w:val="center"/>
          </w:tcPr>
          <w:p w14:paraId="02DCFE33">
            <w:pPr>
              <w:jc w:val="right"/>
              <w:rPr>
                <w:rFonts w:hint="default" w:ascii="Times New Roman" w:hAnsi="Times New Roman" w:cs="Times New Roman" w:eastAsiaTheme="minorEastAsia"/>
                <w:sz w:val="18"/>
                <w:szCs w:val="18"/>
                <w:u w:val="none" w:color="auto"/>
              </w:rPr>
            </w:pPr>
          </w:p>
        </w:tc>
      </w:tr>
      <w:tr w14:paraId="32A1C1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789" w:type="dxa"/>
            <w:gridSpan w:val="2"/>
            <w:vAlign w:val="center"/>
          </w:tcPr>
          <w:p w14:paraId="7BA548FA">
            <w:pPr>
              <w:keepNext w:val="0"/>
              <w:keepLines w:val="0"/>
              <w:widowControl/>
              <w:suppressLineNumbers w:val="0"/>
              <w:jc w:val="center"/>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人员经费合计</w:t>
            </w:r>
          </w:p>
        </w:tc>
        <w:tc>
          <w:tcPr>
            <w:tcW w:w="803" w:type="dxa"/>
            <w:vAlign w:val="center"/>
          </w:tcPr>
          <w:p w14:paraId="143A005D">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2,435.05</w:t>
            </w:r>
          </w:p>
        </w:tc>
        <w:tc>
          <w:tcPr>
            <w:tcW w:w="6435" w:type="dxa"/>
            <w:gridSpan w:val="5"/>
            <w:vAlign w:val="center"/>
          </w:tcPr>
          <w:p w14:paraId="75A28F0D">
            <w:pPr>
              <w:keepNext w:val="0"/>
              <w:keepLines w:val="0"/>
              <w:widowControl/>
              <w:suppressLineNumbers w:val="0"/>
              <w:jc w:val="center"/>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公用经费合计</w:t>
            </w:r>
          </w:p>
        </w:tc>
        <w:tc>
          <w:tcPr>
            <w:tcW w:w="991" w:type="dxa"/>
            <w:vAlign w:val="center"/>
          </w:tcPr>
          <w:p w14:paraId="2343DBD5">
            <w:pPr>
              <w:keepNext w:val="0"/>
              <w:keepLines w:val="0"/>
              <w:widowControl/>
              <w:suppressLineNumbers w:val="0"/>
              <w:jc w:val="right"/>
              <w:textAlignment w:val="center"/>
              <w:rPr>
                <w:rFonts w:hint="default" w:ascii="Times New Roman" w:hAnsi="Times New Roman" w:cs="Times New Roman" w:eastAsiaTheme="minorEastAsia"/>
                <w:sz w:val="18"/>
                <w:szCs w:val="18"/>
                <w:u w:val="none" w:color="auto"/>
              </w:rPr>
            </w:pPr>
            <w:r>
              <w:rPr>
                <w:rFonts w:hint="eastAsia" w:ascii="宋体" w:hAnsi="宋体" w:eastAsia="宋体" w:cs="宋体"/>
                <w:i w:val="0"/>
                <w:iCs w:val="0"/>
                <w:snapToGrid w:val="0"/>
                <w:color w:val="000000"/>
                <w:kern w:val="0"/>
                <w:sz w:val="18"/>
                <w:szCs w:val="18"/>
                <w:u w:val="none" w:color="auto"/>
                <w:lang w:val="en-US" w:eastAsia="zh-CN" w:bidi="ar"/>
              </w:rPr>
              <w:t>164.05</w:t>
            </w:r>
          </w:p>
        </w:tc>
      </w:tr>
    </w:tbl>
    <w:p w14:paraId="7F44394C">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注：本表反映部门本年度一般公共预算财政拨款基本支出明细情况。</w:t>
      </w:r>
    </w:p>
    <w:p w14:paraId="28F4CAB5">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r>
        <w:rPr>
          <w:rFonts w:hint="default" w:ascii="Times New Roman" w:hAnsi="Times New Roman" w:eastAsia="黑体" w:cs="Times New Roman"/>
          <w:spacing w:val="0"/>
          <w:w w:val="100"/>
          <w:position w:val="0"/>
          <w:sz w:val="32"/>
          <w:szCs w:val="32"/>
          <w:u w:val="none" w:color="auto"/>
          <w:lang w:val="en-US" w:eastAsia="zh-CN"/>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lang w:val="en-US" w:eastAsia="zh-CN"/>
        </w:rPr>
        <w:t>年度政府性基金预算财政拨款收入支出决算表</w:t>
      </w:r>
    </w:p>
    <w:p w14:paraId="24450F55">
      <w:pPr>
        <w:pStyle w:val="7"/>
        <w:keepNext w:val="0"/>
        <w:keepLines w:val="0"/>
        <w:pageBreakBefore w:val="0"/>
        <w:widowControl/>
        <w:kinsoku w:val="0"/>
        <w:wordWrap/>
        <w:overflowPunct/>
        <w:topLinePunct w:val="0"/>
        <w:autoSpaceDE w:val="0"/>
        <w:autoSpaceDN w:val="0"/>
        <w:bidi w:val="0"/>
        <w:adjustRightInd/>
        <w:snapToGrid/>
        <w:spacing w:line="400" w:lineRule="exact"/>
        <w:jc w:val="right"/>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公开07表</w:t>
      </w:r>
    </w:p>
    <w:p w14:paraId="19249DE5">
      <w:pPr>
        <w:pStyle w:val="7"/>
        <w:keepNext w:val="0"/>
        <w:keepLines w:val="0"/>
        <w:pageBreakBefore w:val="0"/>
        <w:widowControl/>
        <w:kinsoku w:val="0"/>
        <w:wordWrap/>
        <w:overflowPunct/>
        <w:topLinePunct w:val="0"/>
        <w:autoSpaceDE w:val="0"/>
        <w:autoSpaceDN w:val="0"/>
        <w:bidi w:val="0"/>
        <w:adjustRightInd/>
        <w:snapToGrid/>
        <w:spacing w:line="400" w:lineRule="exact"/>
        <w:ind w:left="0" w:leftChars="0" w:firstLine="0" w:firstLineChars="0"/>
        <w:jc w:val="right"/>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部门：</w:t>
      </w:r>
      <w:r>
        <w:rPr>
          <w:rFonts w:hint="eastAsia" w:ascii="Times New Roman" w:hAnsi="Times New Roman" w:cs="Times New Roman"/>
          <w:bCs/>
          <w:snapToGrid w:val="0"/>
          <w:color w:val="000000"/>
          <w:spacing w:val="0"/>
          <w:w w:val="100"/>
          <w:kern w:val="0"/>
          <w:position w:val="0"/>
          <w:sz w:val="28"/>
          <w:szCs w:val="28"/>
          <w:u w:val="none" w:color="auto"/>
          <w:lang w:val="en-US" w:eastAsia="zh-CN" w:bidi="ar-SA"/>
        </w:rPr>
        <w:t>武汉市光谷第八初级中学</w:t>
      </w: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单位：万元</w:t>
      </w:r>
    </w:p>
    <w:tbl>
      <w:tblPr>
        <w:tblStyle w:val="8"/>
        <w:tblW w:w="9456" w:type="dxa"/>
        <w:tblInd w:w="-3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232"/>
        <w:gridCol w:w="1248"/>
        <w:gridCol w:w="1264"/>
        <w:gridCol w:w="1104"/>
        <w:gridCol w:w="857"/>
        <w:gridCol w:w="1173"/>
        <w:gridCol w:w="1296"/>
        <w:gridCol w:w="1282"/>
      </w:tblGrid>
      <w:tr w14:paraId="112B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16" w:hRule="atLeast"/>
        </w:trPr>
        <w:tc>
          <w:tcPr>
            <w:tcW w:w="2480" w:type="dxa"/>
            <w:gridSpan w:val="2"/>
            <w:shd w:val="clear" w:color="auto" w:fill="auto"/>
            <w:noWrap/>
            <w:vAlign w:val="center"/>
          </w:tcPr>
          <w:p w14:paraId="0A624CD5">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项目</w:t>
            </w:r>
          </w:p>
        </w:tc>
        <w:tc>
          <w:tcPr>
            <w:tcW w:w="1264" w:type="dxa"/>
            <w:vMerge w:val="restart"/>
            <w:shd w:val="clear" w:color="auto" w:fill="auto"/>
            <w:vAlign w:val="center"/>
          </w:tcPr>
          <w:p w14:paraId="3810C320">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年初结转和结余</w:t>
            </w:r>
          </w:p>
        </w:tc>
        <w:tc>
          <w:tcPr>
            <w:tcW w:w="1104" w:type="dxa"/>
            <w:vMerge w:val="restart"/>
            <w:shd w:val="clear" w:color="auto" w:fill="auto"/>
            <w:vAlign w:val="center"/>
          </w:tcPr>
          <w:p w14:paraId="38209596">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本年收入</w:t>
            </w:r>
          </w:p>
        </w:tc>
        <w:tc>
          <w:tcPr>
            <w:tcW w:w="3326" w:type="dxa"/>
            <w:gridSpan w:val="3"/>
            <w:shd w:val="clear" w:color="auto" w:fill="auto"/>
            <w:vAlign w:val="center"/>
          </w:tcPr>
          <w:p w14:paraId="26B387A9">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本年支出</w:t>
            </w:r>
          </w:p>
        </w:tc>
        <w:tc>
          <w:tcPr>
            <w:tcW w:w="1282" w:type="dxa"/>
            <w:vMerge w:val="restart"/>
            <w:shd w:val="clear" w:color="auto" w:fill="auto"/>
            <w:vAlign w:val="center"/>
          </w:tcPr>
          <w:p w14:paraId="3C325B2F">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年末结转和结余</w:t>
            </w:r>
          </w:p>
        </w:tc>
      </w:tr>
      <w:tr w14:paraId="6B77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32" w:type="dxa"/>
            <w:vMerge w:val="restart"/>
            <w:shd w:val="clear" w:color="auto" w:fill="auto"/>
            <w:vAlign w:val="center"/>
          </w:tcPr>
          <w:p w14:paraId="4D404674">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科目代码</w:t>
            </w:r>
          </w:p>
        </w:tc>
        <w:tc>
          <w:tcPr>
            <w:tcW w:w="1248" w:type="dxa"/>
            <w:vMerge w:val="restart"/>
            <w:shd w:val="clear" w:color="auto" w:fill="auto"/>
            <w:noWrap/>
            <w:vAlign w:val="center"/>
          </w:tcPr>
          <w:p w14:paraId="0C5A45AB">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科目名称</w:t>
            </w:r>
          </w:p>
        </w:tc>
        <w:tc>
          <w:tcPr>
            <w:tcW w:w="1264" w:type="dxa"/>
            <w:vMerge w:val="continue"/>
            <w:shd w:val="clear" w:color="auto" w:fill="auto"/>
            <w:vAlign w:val="center"/>
          </w:tcPr>
          <w:p w14:paraId="1B652E75">
            <w:pPr>
              <w:jc w:val="center"/>
              <w:rPr>
                <w:rFonts w:hint="eastAsia" w:ascii="宋体" w:hAnsi="宋体" w:eastAsia="宋体" w:cs="宋体"/>
                <w:i w:val="0"/>
                <w:iCs w:val="0"/>
                <w:color w:val="000000"/>
                <w:sz w:val="22"/>
                <w:szCs w:val="22"/>
                <w:u w:val="none" w:color="auto"/>
              </w:rPr>
            </w:pPr>
          </w:p>
        </w:tc>
        <w:tc>
          <w:tcPr>
            <w:tcW w:w="1104" w:type="dxa"/>
            <w:vMerge w:val="continue"/>
            <w:shd w:val="clear" w:color="auto" w:fill="auto"/>
            <w:vAlign w:val="center"/>
          </w:tcPr>
          <w:p w14:paraId="1ED8C77F">
            <w:pPr>
              <w:jc w:val="center"/>
              <w:rPr>
                <w:rFonts w:hint="eastAsia" w:ascii="宋体" w:hAnsi="宋体" w:eastAsia="宋体" w:cs="宋体"/>
                <w:i w:val="0"/>
                <w:iCs w:val="0"/>
                <w:color w:val="000000"/>
                <w:sz w:val="22"/>
                <w:szCs w:val="22"/>
                <w:u w:val="none" w:color="auto"/>
              </w:rPr>
            </w:pPr>
          </w:p>
        </w:tc>
        <w:tc>
          <w:tcPr>
            <w:tcW w:w="857" w:type="dxa"/>
            <w:vMerge w:val="restart"/>
            <w:shd w:val="clear" w:color="auto" w:fill="auto"/>
            <w:vAlign w:val="center"/>
          </w:tcPr>
          <w:p w14:paraId="66E79925">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小计</w:t>
            </w:r>
          </w:p>
        </w:tc>
        <w:tc>
          <w:tcPr>
            <w:tcW w:w="1173" w:type="dxa"/>
            <w:vMerge w:val="restart"/>
            <w:shd w:val="clear" w:color="auto" w:fill="auto"/>
            <w:vAlign w:val="center"/>
          </w:tcPr>
          <w:p w14:paraId="15BA41A4">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基本支出</w:t>
            </w:r>
          </w:p>
        </w:tc>
        <w:tc>
          <w:tcPr>
            <w:tcW w:w="1296" w:type="dxa"/>
            <w:vMerge w:val="restart"/>
            <w:shd w:val="clear" w:color="auto" w:fill="auto"/>
            <w:vAlign w:val="center"/>
          </w:tcPr>
          <w:p w14:paraId="20CDA008">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项目支出</w:t>
            </w:r>
          </w:p>
        </w:tc>
        <w:tc>
          <w:tcPr>
            <w:tcW w:w="1282" w:type="dxa"/>
            <w:vMerge w:val="continue"/>
            <w:shd w:val="clear" w:color="auto" w:fill="auto"/>
            <w:vAlign w:val="center"/>
          </w:tcPr>
          <w:p w14:paraId="6A33DAA8">
            <w:pPr>
              <w:jc w:val="center"/>
              <w:rPr>
                <w:rFonts w:hint="eastAsia" w:ascii="宋体" w:hAnsi="宋体" w:eastAsia="宋体" w:cs="宋体"/>
                <w:i w:val="0"/>
                <w:iCs w:val="0"/>
                <w:color w:val="000000"/>
                <w:sz w:val="22"/>
                <w:szCs w:val="22"/>
                <w:u w:val="none" w:color="auto"/>
              </w:rPr>
            </w:pPr>
          </w:p>
        </w:tc>
      </w:tr>
      <w:tr w14:paraId="6ACA6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232" w:type="dxa"/>
            <w:vMerge w:val="continue"/>
            <w:shd w:val="clear" w:color="auto" w:fill="auto"/>
            <w:vAlign w:val="center"/>
          </w:tcPr>
          <w:p w14:paraId="3AB06BA9">
            <w:pPr>
              <w:jc w:val="center"/>
              <w:rPr>
                <w:rFonts w:hint="eastAsia" w:ascii="宋体" w:hAnsi="宋体" w:eastAsia="宋体" w:cs="宋体"/>
                <w:i w:val="0"/>
                <w:iCs w:val="0"/>
                <w:color w:val="000000"/>
                <w:sz w:val="22"/>
                <w:szCs w:val="22"/>
                <w:u w:val="none" w:color="auto"/>
              </w:rPr>
            </w:pPr>
          </w:p>
        </w:tc>
        <w:tc>
          <w:tcPr>
            <w:tcW w:w="1248" w:type="dxa"/>
            <w:vMerge w:val="continue"/>
            <w:shd w:val="clear" w:color="auto" w:fill="auto"/>
            <w:noWrap/>
            <w:vAlign w:val="center"/>
          </w:tcPr>
          <w:p w14:paraId="3FB8B62E">
            <w:pPr>
              <w:jc w:val="center"/>
              <w:rPr>
                <w:rFonts w:hint="eastAsia" w:ascii="宋体" w:hAnsi="宋体" w:eastAsia="宋体" w:cs="宋体"/>
                <w:i w:val="0"/>
                <w:iCs w:val="0"/>
                <w:color w:val="000000"/>
                <w:sz w:val="22"/>
                <w:szCs w:val="22"/>
                <w:u w:val="none" w:color="auto"/>
              </w:rPr>
            </w:pPr>
          </w:p>
        </w:tc>
        <w:tc>
          <w:tcPr>
            <w:tcW w:w="1264" w:type="dxa"/>
            <w:vMerge w:val="continue"/>
            <w:shd w:val="clear" w:color="auto" w:fill="auto"/>
            <w:vAlign w:val="center"/>
          </w:tcPr>
          <w:p w14:paraId="221F3AD7">
            <w:pPr>
              <w:jc w:val="center"/>
              <w:rPr>
                <w:rFonts w:hint="eastAsia" w:ascii="宋体" w:hAnsi="宋体" w:eastAsia="宋体" w:cs="宋体"/>
                <w:i w:val="0"/>
                <w:iCs w:val="0"/>
                <w:color w:val="000000"/>
                <w:sz w:val="22"/>
                <w:szCs w:val="22"/>
                <w:u w:val="none" w:color="auto"/>
              </w:rPr>
            </w:pPr>
          </w:p>
        </w:tc>
        <w:tc>
          <w:tcPr>
            <w:tcW w:w="1104" w:type="dxa"/>
            <w:vMerge w:val="continue"/>
            <w:shd w:val="clear" w:color="auto" w:fill="auto"/>
            <w:vAlign w:val="center"/>
          </w:tcPr>
          <w:p w14:paraId="75BB1E3D">
            <w:pPr>
              <w:jc w:val="center"/>
              <w:rPr>
                <w:rFonts w:hint="eastAsia" w:ascii="宋体" w:hAnsi="宋体" w:eastAsia="宋体" w:cs="宋体"/>
                <w:i w:val="0"/>
                <w:iCs w:val="0"/>
                <w:color w:val="000000"/>
                <w:sz w:val="22"/>
                <w:szCs w:val="22"/>
                <w:u w:val="none" w:color="auto"/>
              </w:rPr>
            </w:pPr>
          </w:p>
        </w:tc>
        <w:tc>
          <w:tcPr>
            <w:tcW w:w="857" w:type="dxa"/>
            <w:vMerge w:val="continue"/>
            <w:shd w:val="clear" w:color="auto" w:fill="auto"/>
            <w:vAlign w:val="center"/>
          </w:tcPr>
          <w:p w14:paraId="727F357D">
            <w:pPr>
              <w:jc w:val="center"/>
              <w:rPr>
                <w:rFonts w:hint="eastAsia" w:ascii="宋体" w:hAnsi="宋体" w:eastAsia="宋体" w:cs="宋体"/>
                <w:i w:val="0"/>
                <w:iCs w:val="0"/>
                <w:color w:val="000000"/>
                <w:sz w:val="22"/>
                <w:szCs w:val="22"/>
                <w:u w:val="none" w:color="auto"/>
              </w:rPr>
            </w:pPr>
          </w:p>
        </w:tc>
        <w:tc>
          <w:tcPr>
            <w:tcW w:w="1173" w:type="dxa"/>
            <w:vMerge w:val="continue"/>
            <w:shd w:val="clear" w:color="auto" w:fill="auto"/>
            <w:vAlign w:val="center"/>
          </w:tcPr>
          <w:p w14:paraId="625FF1C5">
            <w:pPr>
              <w:jc w:val="center"/>
              <w:rPr>
                <w:rFonts w:hint="eastAsia" w:ascii="宋体" w:hAnsi="宋体" w:eastAsia="宋体" w:cs="宋体"/>
                <w:i w:val="0"/>
                <w:iCs w:val="0"/>
                <w:color w:val="000000"/>
                <w:sz w:val="22"/>
                <w:szCs w:val="22"/>
                <w:u w:val="none" w:color="auto"/>
              </w:rPr>
            </w:pPr>
          </w:p>
        </w:tc>
        <w:tc>
          <w:tcPr>
            <w:tcW w:w="1296" w:type="dxa"/>
            <w:vMerge w:val="continue"/>
            <w:shd w:val="clear" w:color="auto" w:fill="auto"/>
            <w:vAlign w:val="center"/>
          </w:tcPr>
          <w:p w14:paraId="58B3AACE">
            <w:pPr>
              <w:jc w:val="center"/>
              <w:rPr>
                <w:rFonts w:hint="eastAsia" w:ascii="宋体" w:hAnsi="宋体" w:eastAsia="宋体" w:cs="宋体"/>
                <w:i w:val="0"/>
                <w:iCs w:val="0"/>
                <w:color w:val="000000"/>
                <w:sz w:val="22"/>
                <w:szCs w:val="22"/>
                <w:u w:val="none" w:color="auto"/>
              </w:rPr>
            </w:pPr>
          </w:p>
        </w:tc>
        <w:tc>
          <w:tcPr>
            <w:tcW w:w="1282" w:type="dxa"/>
            <w:vMerge w:val="continue"/>
            <w:shd w:val="clear" w:color="auto" w:fill="auto"/>
            <w:vAlign w:val="center"/>
          </w:tcPr>
          <w:p w14:paraId="359E8363">
            <w:pPr>
              <w:jc w:val="center"/>
              <w:rPr>
                <w:rFonts w:hint="eastAsia" w:ascii="宋体" w:hAnsi="宋体" w:eastAsia="宋体" w:cs="宋体"/>
                <w:i w:val="0"/>
                <w:iCs w:val="0"/>
                <w:color w:val="000000"/>
                <w:sz w:val="22"/>
                <w:szCs w:val="22"/>
                <w:u w:val="none" w:color="auto"/>
              </w:rPr>
            </w:pPr>
          </w:p>
        </w:tc>
      </w:tr>
      <w:tr w14:paraId="3F37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32" w:type="dxa"/>
            <w:vMerge w:val="continue"/>
            <w:shd w:val="clear" w:color="auto" w:fill="auto"/>
            <w:vAlign w:val="center"/>
          </w:tcPr>
          <w:p w14:paraId="185A6101">
            <w:pPr>
              <w:jc w:val="center"/>
              <w:rPr>
                <w:rFonts w:hint="eastAsia" w:ascii="宋体" w:hAnsi="宋体" w:eastAsia="宋体" w:cs="宋体"/>
                <w:i w:val="0"/>
                <w:iCs w:val="0"/>
                <w:color w:val="000000"/>
                <w:sz w:val="22"/>
                <w:szCs w:val="22"/>
                <w:u w:val="none" w:color="auto"/>
              </w:rPr>
            </w:pPr>
          </w:p>
        </w:tc>
        <w:tc>
          <w:tcPr>
            <w:tcW w:w="1248" w:type="dxa"/>
            <w:vMerge w:val="continue"/>
            <w:shd w:val="clear" w:color="auto" w:fill="auto"/>
            <w:noWrap/>
            <w:vAlign w:val="center"/>
          </w:tcPr>
          <w:p w14:paraId="7289017E">
            <w:pPr>
              <w:jc w:val="center"/>
              <w:rPr>
                <w:rFonts w:hint="eastAsia" w:ascii="宋体" w:hAnsi="宋体" w:eastAsia="宋体" w:cs="宋体"/>
                <w:i w:val="0"/>
                <w:iCs w:val="0"/>
                <w:color w:val="000000"/>
                <w:sz w:val="22"/>
                <w:szCs w:val="22"/>
                <w:u w:val="none" w:color="auto"/>
              </w:rPr>
            </w:pPr>
          </w:p>
        </w:tc>
        <w:tc>
          <w:tcPr>
            <w:tcW w:w="1264" w:type="dxa"/>
            <w:vMerge w:val="continue"/>
            <w:shd w:val="clear" w:color="auto" w:fill="auto"/>
            <w:vAlign w:val="center"/>
          </w:tcPr>
          <w:p w14:paraId="4D0D0EC9">
            <w:pPr>
              <w:jc w:val="center"/>
              <w:rPr>
                <w:rFonts w:hint="eastAsia" w:ascii="宋体" w:hAnsi="宋体" w:eastAsia="宋体" w:cs="宋体"/>
                <w:i w:val="0"/>
                <w:iCs w:val="0"/>
                <w:color w:val="000000"/>
                <w:sz w:val="22"/>
                <w:szCs w:val="22"/>
                <w:u w:val="none" w:color="auto"/>
              </w:rPr>
            </w:pPr>
          </w:p>
        </w:tc>
        <w:tc>
          <w:tcPr>
            <w:tcW w:w="1104" w:type="dxa"/>
            <w:vMerge w:val="continue"/>
            <w:shd w:val="clear" w:color="auto" w:fill="auto"/>
            <w:vAlign w:val="center"/>
          </w:tcPr>
          <w:p w14:paraId="55275231">
            <w:pPr>
              <w:jc w:val="center"/>
              <w:rPr>
                <w:rFonts w:hint="eastAsia" w:ascii="宋体" w:hAnsi="宋体" w:eastAsia="宋体" w:cs="宋体"/>
                <w:i w:val="0"/>
                <w:iCs w:val="0"/>
                <w:color w:val="000000"/>
                <w:sz w:val="22"/>
                <w:szCs w:val="22"/>
                <w:u w:val="none" w:color="auto"/>
              </w:rPr>
            </w:pPr>
          </w:p>
        </w:tc>
        <w:tc>
          <w:tcPr>
            <w:tcW w:w="857" w:type="dxa"/>
            <w:vMerge w:val="continue"/>
            <w:shd w:val="clear" w:color="auto" w:fill="auto"/>
            <w:vAlign w:val="center"/>
          </w:tcPr>
          <w:p w14:paraId="2B0CA9A7">
            <w:pPr>
              <w:jc w:val="center"/>
              <w:rPr>
                <w:rFonts w:hint="eastAsia" w:ascii="宋体" w:hAnsi="宋体" w:eastAsia="宋体" w:cs="宋体"/>
                <w:i w:val="0"/>
                <w:iCs w:val="0"/>
                <w:color w:val="000000"/>
                <w:sz w:val="22"/>
                <w:szCs w:val="22"/>
                <w:u w:val="none" w:color="auto"/>
              </w:rPr>
            </w:pPr>
          </w:p>
        </w:tc>
        <w:tc>
          <w:tcPr>
            <w:tcW w:w="1173" w:type="dxa"/>
            <w:vMerge w:val="continue"/>
            <w:shd w:val="clear" w:color="auto" w:fill="auto"/>
            <w:vAlign w:val="center"/>
          </w:tcPr>
          <w:p w14:paraId="2C1D9A9F">
            <w:pPr>
              <w:jc w:val="center"/>
              <w:rPr>
                <w:rFonts w:hint="eastAsia" w:ascii="宋体" w:hAnsi="宋体" w:eastAsia="宋体" w:cs="宋体"/>
                <w:i w:val="0"/>
                <w:iCs w:val="0"/>
                <w:color w:val="000000"/>
                <w:sz w:val="22"/>
                <w:szCs w:val="22"/>
                <w:u w:val="none" w:color="auto"/>
              </w:rPr>
            </w:pPr>
          </w:p>
        </w:tc>
        <w:tc>
          <w:tcPr>
            <w:tcW w:w="1296" w:type="dxa"/>
            <w:vMerge w:val="continue"/>
            <w:shd w:val="clear" w:color="auto" w:fill="auto"/>
            <w:vAlign w:val="center"/>
          </w:tcPr>
          <w:p w14:paraId="31964FD5">
            <w:pPr>
              <w:jc w:val="center"/>
              <w:rPr>
                <w:rFonts w:hint="eastAsia" w:ascii="宋体" w:hAnsi="宋体" w:eastAsia="宋体" w:cs="宋体"/>
                <w:i w:val="0"/>
                <w:iCs w:val="0"/>
                <w:color w:val="000000"/>
                <w:sz w:val="22"/>
                <w:szCs w:val="22"/>
                <w:u w:val="none" w:color="auto"/>
              </w:rPr>
            </w:pPr>
          </w:p>
        </w:tc>
        <w:tc>
          <w:tcPr>
            <w:tcW w:w="1282" w:type="dxa"/>
            <w:vMerge w:val="continue"/>
            <w:shd w:val="clear" w:color="auto" w:fill="auto"/>
            <w:vAlign w:val="center"/>
          </w:tcPr>
          <w:p w14:paraId="2C154AB8">
            <w:pPr>
              <w:jc w:val="center"/>
              <w:rPr>
                <w:rFonts w:hint="eastAsia" w:ascii="宋体" w:hAnsi="宋体" w:eastAsia="宋体" w:cs="宋体"/>
                <w:i w:val="0"/>
                <w:iCs w:val="0"/>
                <w:color w:val="000000"/>
                <w:sz w:val="22"/>
                <w:szCs w:val="22"/>
                <w:u w:val="none" w:color="auto"/>
              </w:rPr>
            </w:pPr>
          </w:p>
        </w:tc>
      </w:tr>
      <w:tr w14:paraId="25ED9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0" w:type="dxa"/>
            <w:gridSpan w:val="2"/>
            <w:shd w:val="clear" w:color="auto" w:fill="auto"/>
            <w:noWrap/>
            <w:vAlign w:val="center"/>
          </w:tcPr>
          <w:p w14:paraId="3FAED4A3">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栏次</w:t>
            </w:r>
          </w:p>
        </w:tc>
        <w:tc>
          <w:tcPr>
            <w:tcW w:w="1264" w:type="dxa"/>
            <w:shd w:val="clear" w:color="auto" w:fill="auto"/>
            <w:noWrap/>
            <w:vAlign w:val="center"/>
          </w:tcPr>
          <w:p w14:paraId="256B8235">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1</w:t>
            </w:r>
          </w:p>
        </w:tc>
        <w:tc>
          <w:tcPr>
            <w:tcW w:w="1104" w:type="dxa"/>
            <w:shd w:val="clear" w:color="auto" w:fill="auto"/>
            <w:noWrap/>
            <w:vAlign w:val="center"/>
          </w:tcPr>
          <w:p w14:paraId="3837AF15">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2</w:t>
            </w:r>
          </w:p>
        </w:tc>
        <w:tc>
          <w:tcPr>
            <w:tcW w:w="857" w:type="dxa"/>
            <w:shd w:val="clear" w:color="auto" w:fill="auto"/>
            <w:noWrap/>
            <w:vAlign w:val="center"/>
          </w:tcPr>
          <w:p w14:paraId="7C18B969">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3</w:t>
            </w:r>
          </w:p>
        </w:tc>
        <w:tc>
          <w:tcPr>
            <w:tcW w:w="1173" w:type="dxa"/>
            <w:shd w:val="clear" w:color="auto" w:fill="auto"/>
            <w:noWrap/>
            <w:vAlign w:val="center"/>
          </w:tcPr>
          <w:p w14:paraId="547B0E94">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4</w:t>
            </w:r>
          </w:p>
        </w:tc>
        <w:tc>
          <w:tcPr>
            <w:tcW w:w="1296" w:type="dxa"/>
            <w:shd w:val="clear" w:color="auto" w:fill="auto"/>
            <w:noWrap/>
            <w:vAlign w:val="center"/>
          </w:tcPr>
          <w:p w14:paraId="2AAED583">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5</w:t>
            </w:r>
          </w:p>
        </w:tc>
        <w:tc>
          <w:tcPr>
            <w:tcW w:w="1282" w:type="dxa"/>
            <w:shd w:val="clear" w:color="auto" w:fill="auto"/>
            <w:noWrap/>
            <w:vAlign w:val="center"/>
          </w:tcPr>
          <w:p w14:paraId="382F2553">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6</w:t>
            </w:r>
          </w:p>
        </w:tc>
      </w:tr>
      <w:tr w14:paraId="1AB5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480" w:type="dxa"/>
            <w:gridSpan w:val="2"/>
            <w:shd w:val="clear" w:color="auto" w:fill="auto"/>
            <w:noWrap/>
            <w:vAlign w:val="center"/>
          </w:tcPr>
          <w:p w14:paraId="0B2BCAA0">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合计</w:t>
            </w:r>
          </w:p>
        </w:tc>
        <w:tc>
          <w:tcPr>
            <w:tcW w:w="1264" w:type="dxa"/>
            <w:shd w:val="clear" w:color="auto" w:fill="auto"/>
            <w:noWrap/>
            <w:vAlign w:val="center"/>
          </w:tcPr>
          <w:p w14:paraId="208EEE77">
            <w:pPr>
              <w:jc w:val="right"/>
              <w:rPr>
                <w:rFonts w:hint="eastAsia" w:ascii="宋体" w:hAnsi="宋体" w:eastAsia="宋体" w:cs="宋体"/>
                <w:b/>
                <w:bCs/>
                <w:i w:val="0"/>
                <w:iCs w:val="0"/>
                <w:color w:val="000000"/>
                <w:sz w:val="22"/>
                <w:szCs w:val="22"/>
                <w:u w:val="none" w:color="auto"/>
              </w:rPr>
            </w:pPr>
          </w:p>
        </w:tc>
        <w:tc>
          <w:tcPr>
            <w:tcW w:w="1104" w:type="dxa"/>
            <w:shd w:val="clear" w:color="auto" w:fill="auto"/>
            <w:noWrap/>
            <w:vAlign w:val="center"/>
          </w:tcPr>
          <w:p w14:paraId="57054A76">
            <w:pPr>
              <w:jc w:val="right"/>
              <w:rPr>
                <w:rFonts w:hint="eastAsia" w:ascii="宋体" w:hAnsi="宋体" w:eastAsia="宋体" w:cs="宋体"/>
                <w:b/>
                <w:bCs/>
                <w:i w:val="0"/>
                <w:iCs w:val="0"/>
                <w:color w:val="000000"/>
                <w:sz w:val="22"/>
                <w:szCs w:val="22"/>
                <w:u w:val="none" w:color="auto"/>
              </w:rPr>
            </w:pPr>
          </w:p>
        </w:tc>
        <w:tc>
          <w:tcPr>
            <w:tcW w:w="857" w:type="dxa"/>
            <w:shd w:val="clear" w:color="auto" w:fill="auto"/>
            <w:noWrap/>
            <w:vAlign w:val="center"/>
          </w:tcPr>
          <w:p w14:paraId="651B791F">
            <w:pPr>
              <w:jc w:val="right"/>
              <w:rPr>
                <w:rFonts w:hint="eastAsia" w:ascii="宋体" w:hAnsi="宋体" w:eastAsia="宋体" w:cs="宋体"/>
                <w:b/>
                <w:bCs/>
                <w:i w:val="0"/>
                <w:iCs w:val="0"/>
                <w:color w:val="000000"/>
                <w:sz w:val="22"/>
                <w:szCs w:val="22"/>
                <w:u w:val="none" w:color="auto"/>
              </w:rPr>
            </w:pPr>
          </w:p>
        </w:tc>
        <w:tc>
          <w:tcPr>
            <w:tcW w:w="1173" w:type="dxa"/>
            <w:shd w:val="clear" w:color="auto" w:fill="auto"/>
            <w:noWrap/>
            <w:vAlign w:val="center"/>
          </w:tcPr>
          <w:p w14:paraId="776D210A">
            <w:pPr>
              <w:jc w:val="right"/>
              <w:rPr>
                <w:rFonts w:hint="eastAsia" w:ascii="宋体" w:hAnsi="宋体" w:eastAsia="宋体" w:cs="宋体"/>
                <w:b/>
                <w:bCs/>
                <w:i w:val="0"/>
                <w:iCs w:val="0"/>
                <w:color w:val="000000"/>
                <w:sz w:val="22"/>
                <w:szCs w:val="22"/>
                <w:u w:val="none" w:color="auto"/>
              </w:rPr>
            </w:pPr>
          </w:p>
        </w:tc>
        <w:tc>
          <w:tcPr>
            <w:tcW w:w="1296" w:type="dxa"/>
            <w:shd w:val="clear" w:color="auto" w:fill="auto"/>
            <w:noWrap/>
            <w:vAlign w:val="center"/>
          </w:tcPr>
          <w:p w14:paraId="581C1A26">
            <w:pPr>
              <w:jc w:val="right"/>
              <w:rPr>
                <w:rFonts w:hint="eastAsia" w:ascii="宋体" w:hAnsi="宋体" w:eastAsia="宋体" w:cs="宋体"/>
                <w:b/>
                <w:bCs/>
                <w:i w:val="0"/>
                <w:iCs w:val="0"/>
                <w:color w:val="000000"/>
                <w:sz w:val="22"/>
                <w:szCs w:val="22"/>
                <w:u w:val="none" w:color="auto"/>
              </w:rPr>
            </w:pPr>
          </w:p>
        </w:tc>
        <w:tc>
          <w:tcPr>
            <w:tcW w:w="1282" w:type="dxa"/>
            <w:shd w:val="clear" w:color="auto" w:fill="auto"/>
            <w:noWrap/>
            <w:vAlign w:val="center"/>
          </w:tcPr>
          <w:p w14:paraId="2D37C720">
            <w:pPr>
              <w:jc w:val="right"/>
              <w:rPr>
                <w:rFonts w:hint="eastAsia" w:ascii="宋体" w:hAnsi="宋体" w:eastAsia="宋体" w:cs="宋体"/>
                <w:b/>
                <w:bCs/>
                <w:i w:val="0"/>
                <w:iCs w:val="0"/>
                <w:color w:val="000000"/>
                <w:sz w:val="22"/>
                <w:szCs w:val="22"/>
                <w:u w:val="none" w:color="auto"/>
              </w:rPr>
            </w:pPr>
          </w:p>
        </w:tc>
      </w:tr>
      <w:tr w14:paraId="26BA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232" w:type="dxa"/>
            <w:shd w:val="clear" w:color="auto" w:fill="auto"/>
            <w:noWrap/>
            <w:vAlign w:val="center"/>
          </w:tcPr>
          <w:p w14:paraId="573F8B7C">
            <w:pPr>
              <w:jc w:val="left"/>
              <w:rPr>
                <w:rFonts w:hint="eastAsia" w:ascii="宋体" w:hAnsi="宋体" w:eastAsia="宋体" w:cs="宋体"/>
                <w:i w:val="0"/>
                <w:iCs w:val="0"/>
                <w:color w:val="000000"/>
                <w:sz w:val="22"/>
                <w:szCs w:val="22"/>
                <w:u w:val="none" w:color="auto"/>
              </w:rPr>
            </w:pPr>
          </w:p>
        </w:tc>
        <w:tc>
          <w:tcPr>
            <w:tcW w:w="1248" w:type="dxa"/>
            <w:shd w:val="clear" w:color="auto" w:fill="auto"/>
            <w:noWrap/>
            <w:vAlign w:val="center"/>
          </w:tcPr>
          <w:p w14:paraId="1BF25A87">
            <w:pPr>
              <w:jc w:val="left"/>
              <w:rPr>
                <w:rFonts w:hint="eastAsia" w:ascii="宋体" w:hAnsi="宋体" w:eastAsia="宋体" w:cs="宋体"/>
                <w:i w:val="0"/>
                <w:iCs w:val="0"/>
                <w:color w:val="000000"/>
                <w:sz w:val="22"/>
                <w:szCs w:val="22"/>
                <w:u w:val="none" w:color="auto"/>
              </w:rPr>
            </w:pPr>
          </w:p>
        </w:tc>
        <w:tc>
          <w:tcPr>
            <w:tcW w:w="1264" w:type="dxa"/>
            <w:shd w:val="clear" w:color="auto" w:fill="auto"/>
            <w:noWrap/>
            <w:vAlign w:val="center"/>
          </w:tcPr>
          <w:p w14:paraId="3163CE76">
            <w:pPr>
              <w:jc w:val="right"/>
              <w:rPr>
                <w:rFonts w:hint="eastAsia" w:ascii="宋体" w:hAnsi="宋体" w:eastAsia="宋体" w:cs="宋体"/>
                <w:i w:val="0"/>
                <w:iCs w:val="0"/>
                <w:color w:val="000000"/>
                <w:sz w:val="22"/>
                <w:szCs w:val="22"/>
                <w:u w:val="none" w:color="auto"/>
              </w:rPr>
            </w:pPr>
          </w:p>
        </w:tc>
        <w:tc>
          <w:tcPr>
            <w:tcW w:w="1104" w:type="dxa"/>
            <w:shd w:val="clear" w:color="auto" w:fill="auto"/>
            <w:noWrap/>
            <w:vAlign w:val="center"/>
          </w:tcPr>
          <w:p w14:paraId="38D881E5">
            <w:pPr>
              <w:jc w:val="right"/>
              <w:rPr>
                <w:rFonts w:hint="eastAsia" w:ascii="宋体" w:hAnsi="宋体" w:eastAsia="宋体" w:cs="宋体"/>
                <w:i w:val="0"/>
                <w:iCs w:val="0"/>
                <w:color w:val="000000"/>
                <w:sz w:val="22"/>
                <w:szCs w:val="22"/>
                <w:u w:val="none" w:color="auto"/>
              </w:rPr>
            </w:pPr>
          </w:p>
        </w:tc>
        <w:tc>
          <w:tcPr>
            <w:tcW w:w="857" w:type="dxa"/>
            <w:shd w:val="clear" w:color="auto" w:fill="auto"/>
            <w:noWrap/>
            <w:vAlign w:val="center"/>
          </w:tcPr>
          <w:p w14:paraId="75A1565D">
            <w:pPr>
              <w:jc w:val="right"/>
              <w:rPr>
                <w:rFonts w:hint="eastAsia" w:ascii="宋体" w:hAnsi="宋体" w:eastAsia="宋体" w:cs="宋体"/>
                <w:i w:val="0"/>
                <w:iCs w:val="0"/>
                <w:color w:val="000000"/>
                <w:sz w:val="22"/>
                <w:szCs w:val="22"/>
                <w:u w:val="none" w:color="auto"/>
              </w:rPr>
            </w:pPr>
          </w:p>
        </w:tc>
        <w:tc>
          <w:tcPr>
            <w:tcW w:w="1173" w:type="dxa"/>
            <w:shd w:val="clear" w:color="auto" w:fill="auto"/>
            <w:noWrap/>
            <w:vAlign w:val="center"/>
          </w:tcPr>
          <w:p w14:paraId="634EED63">
            <w:pPr>
              <w:jc w:val="right"/>
              <w:rPr>
                <w:rFonts w:hint="eastAsia" w:ascii="宋体" w:hAnsi="宋体" w:eastAsia="宋体" w:cs="宋体"/>
                <w:i w:val="0"/>
                <w:iCs w:val="0"/>
                <w:color w:val="000000"/>
                <w:sz w:val="22"/>
                <w:szCs w:val="22"/>
                <w:u w:val="none" w:color="auto"/>
              </w:rPr>
            </w:pPr>
          </w:p>
        </w:tc>
        <w:tc>
          <w:tcPr>
            <w:tcW w:w="1296" w:type="dxa"/>
            <w:shd w:val="clear" w:color="auto" w:fill="auto"/>
            <w:noWrap/>
            <w:vAlign w:val="center"/>
          </w:tcPr>
          <w:p w14:paraId="54DA7B30">
            <w:pPr>
              <w:jc w:val="right"/>
              <w:rPr>
                <w:rFonts w:hint="eastAsia" w:ascii="宋体" w:hAnsi="宋体" w:eastAsia="宋体" w:cs="宋体"/>
                <w:i w:val="0"/>
                <w:iCs w:val="0"/>
                <w:color w:val="000000"/>
                <w:sz w:val="22"/>
                <w:szCs w:val="22"/>
                <w:u w:val="none" w:color="auto"/>
              </w:rPr>
            </w:pPr>
          </w:p>
        </w:tc>
        <w:tc>
          <w:tcPr>
            <w:tcW w:w="1282" w:type="dxa"/>
            <w:shd w:val="clear" w:color="auto" w:fill="auto"/>
            <w:noWrap/>
            <w:vAlign w:val="center"/>
          </w:tcPr>
          <w:p w14:paraId="361FDE8E">
            <w:pPr>
              <w:jc w:val="right"/>
              <w:rPr>
                <w:rFonts w:hint="eastAsia" w:ascii="宋体" w:hAnsi="宋体" w:eastAsia="宋体" w:cs="宋体"/>
                <w:i w:val="0"/>
                <w:iCs w:val="0"/>
                <w:color w:val="000000"/>
                <w:sz w:val="22"/>
                <w:szCs w:val="22"/>
                <w:u w:val="none" w:color="auto"/>
              </w:rPr>
            </w:pPr>
          </w:p>
        </w:tc>
      </w:tr>
    </w:tbl>
    <w:p w14:paraId="018D917B">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注：本表反映部门本年度政府性基金预算财政拨款收入、支出及结转和结余情况。</w:t>
      </w:r>
    </w:p>
    <w:p w14:paraId="0B122FB5">
      <w:pPr>
        <w:rPr>
          <w:rFonts w:hint="default" w:ascii="Times New Roman" w:hAnsi="Times New Roman" w:eastAsia="黑体" w:cs="Times New Roman"/>
          <w:spacing w:val="0"/>
          <w:w w:val="100"/>
          <w:position w:val="0"/>
          <w:sz w:val="32"/>
          <w:szCs w:val="32"/>
          <w:u w:val="none" w:color="auto"/>
          <w:lang w:val="en-US" w:eastAsia="zh-CN"/>
        </w:rPr>
      </w:pPr>
      <w:r>
        <w:rPr>
          <w:rFonts w:hint="default" w:ascii="Times New Roman" w:hAnsi="Times New Roman" w:eastAsia="黑体" w:cs="Times New Roman"/>
          <w:spacing w:val="0"/>
          <w:w w:val="100"/>
          <w:position w:val="0"/>
          <w:sz w:val="32"/>
          <w:szCs w:val="32"/>
          <w:u w:val="none" w:color="auto"/>
          <w:lang w:val="en-US" w:eastAsia="zh-CN"/>
        </w:rPr>
        <w:br w:type="page"/>
      </w:r>
    </w:p>
    <w:p w14:paraId="7D10A65D">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r>
        <w:rPr>
          <w:rFonts w:hint="default" w:ascii="Times New Roman" w:hAnsi="Times New Roman" w:eastAsia="黑体" w:cs="Times New Roman"/>
          <w:spacing w:val="0"/>
          <w:w w:val="100"/>
          <w:position w:val="0"/>
          <w:sz w:val="32"/>
          <w:szCs w:val="32"/>
          <w:u w:val="none" w:color="auto"/>
          <w:lang w:val="en-US" w:eastAsia="zh-CN"/>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lang w:val="en-US" w:eastAsia="zh-CN"/>
        </w:rPr>
        <w:t>年度国有资本经营预算财政拨款支出决算表</w:t>
      </w:r>
    </w:p>
    <w:p w14:paraId="03AA02FB">
      <w:pPr>
        <w:pStyle w:val="7"/>
        <w:keepNext w:val="0"/>
        <w:keepLines w:val="0"/>
        <w:pageBreakBefore w:val="0"/>
        <w:widowControl/>
        <w:kinsoku w:val="0"/>
        <w:wordWrap/>
        <w:overflowPunct/>
        <w:topLinePunct w:val="0"/>
        <w:autoSpaceDE w:val="0"/>
        <w:autoSpaceDN w:val="0"/>
        <w:bidi w:val="0"/>
        <w:adjustRightInd/>
        <w:snapToGrid/>
        <w:spacing w:line="400" w:lineRule="exact"/>
        <w:jc w:val="right"/>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公开08表</w:t>
      </w:r>
    </w:p>
    <w:p w14:paraId="25465D11">
      <w:pPr>
        <w:pStyle w:val="7"/>
        <w:keepNext w:val="0"/>
        <w:keepLines w:val="0"/>
        <w:pageBreakBefore w:val="0"/>
        <w:widowControl/>
        <w:kinsoku w:val="0"/>
        <w:wordWrap/>
        <w:overflowPunct/>
        <w:topLinePunct w:val="0"/>
        <w:autoSpaceDE w:val="0"/>
        <w:autoSpaceDN w:val="0"/>
        <w:bidi w:val="0"/>
        <w:adjustRightInd/>
        <w:snapToGrid/>
        <w:spacing w:line="400" w:lineRule="exact"/>
        <w:ind w:left="0" w:leftChars="0" w:firstLine="0" w:firstLineChars="0"/>
        <w:jc w:val="right"/>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部门：</w:t>
      </w:r>
      <w:r>
        <w:rPr>
          <w:rFonts w:hint="eastAsia" w:ascii="Times New Roman" w:hAnsi="Times New Roman" w:cs="Times New Roman"/>
          <w:bCs/>
          <w:snapToGrid w:val="0"/>
          <w:color w:val="000000"/>
          <w:spacing w:val="0"/>
          <w:w w:val="100"/>
          <w:kern w:val="0"/>
          <w:position w:val="0"/>
          <w:sz w:val="28"/>
          <w:szCs w:val="28"/>
          <w:u w:val="none" w:color="auto"/>
          <w:lang w:val="en-US" w:eastAsia="zh-CN" w:bidi="ar-SA"/>
        </w:rPr>
        <w:t>武汉市光谷第八初级中学</w:t>
      </w: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单位：万元</w:t>
      </w:r>
    </w:p>
    <w:tbl>
      <w:tblPr>
        <w:tblStyle w:val="8"/>
        <w:tblW w:w="9219" w:type="dxa"/>
        <w:tblInd w:w="-15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45"/>
        <w:gridCol w:w="3537"/>
        <w:gridCol w:w="1512"/>
        <w:gridCol w:w="1512"/>
        <w:gridCol w:w="1513"/>
      </w:tblGrid>
      <w:tr w14:paraId="3BEBB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68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6F23FF0">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项目</w:t>
            </w:r>
          </w:p>
        </w:tc>
        <w:tc>
          <w:tcPr>
            <w:tcW w:w="453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A0E5C61">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本年支出</w:t>
            </w:r>
          </w:p>
        </w:tc>
      </w:tr>
      <w:tr w14:paraId="43991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9992AD1">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科目代码</w:t>
            </w:r>
          </w:p>
        </w:tc>
        <w:tc>
          <w:tcPr>
            <w:tcW w:w="3537"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CB1F24">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科目名称</w:t>
            </w:r>
          </w:p>
        </w:tc>
        <w:tc>
          <w:tcPr>
            <w:tcW w:w="15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B9E36D">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合计</w:t>
            </w:r>
          </w:p>
        </w:tc>
        <w:tc>
          <w:tcPr>
            <w:tcW w:w="15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53BCBA4">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基本支出</w:t>
            </w:r>
          </w:p>
        </w:tc>
        <w:tc>
          <w:tcPr>
            <w:tcW w:w="151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523FFD">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项目支出</w:t>
            </w:r>
          </w:p>
        </w:tc>
      </w:tr>
      <w:tr w14:paraId="6EBD0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75E6EC">
            <w:pPr>
              <w:jc w:val="center"/>
              <w:rPr>
                <w:rFonts w:hint="eastAsia" w:ascii="宋体" w:hAnsi="宋体" w:eastAsia="宋体" w:cs="宋体"/>
                <w:i w:val="0"/>
                <w:iCs w:val="0"/>
                <w:color w:val="000000"/>
                <w:sz w:val="22"/>
                <w:szCs w:val="22"/>
                <w:u w:val="none" w:color="auto"/>
              </w:rPr>
            </w:pPr>
          </w:p>
        </w:tc>
        <w:tc>
          <w:tcPr>
            <w:tcW w:w="353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2DB5AEF8">
            <w:pPr>
              <w:jc w:val="center"/>
              <w:rPr>
                <w:rFonts w:hint="eastAsia" w:ascii="宋体" w:hAnsi="宋体" w:eastAsia="宋体" w:cs="宋体"/>
                <w:i w:val="0"/>
                <w:iCs w:val="0"/>
                <w:color w:val="000000"/>
                <w:sz w:val="22"/>
                <w:szCs w:val="22"/>
                <w:u w:val="none" w:color="auto"/>
              </w:rPr>
            </w:pPr>
          </w:p>
        </w:tc>
        <w:tc>
          <w:tcPr>
            <w:tcW w:w="15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999707">
            <w:pPr>
              <w:jc w:val="center"/>
              <w:rPr>
                <w:rFonts w:hint="eastAsia" w:ascii="宋体" w:hAnsi="宋体" w:eastAsia="宋体" w:cs="宋体"/>
                <w:i w:val="0"/>
                <w:iCs w:val="0"/>
                <w:color w:val="000000"/>
                <w:sz w:val="22"/>
                <w:szCs w:val="22"/>
                <w:u w:val="none" w:color="auto"/>
              </w:rPr>
            </w:pPr>
          </w:p>
        </w:tc>
        <w:tc>
          <w:tcPr>
            <w:tcW w:w="15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E9C21F">
            <w:pPr>
              <w:jc w:val="center"/>
              <w:rPr>
                <w:rFonts w:hint="eastAsia" w:ascii="宋体" w:hAnsi="宋体" w:eastAsia="宋体" w:cs="宋体"/>
                <w:i w:val="0"/>
                <w:iCs w:val="0"/>
                <w:color w:val="000000"/>
                <w:sz w:val="22"/>
                <w:szCs w:val="22"/>
                <w:u w:val="none" w:color="auto"/>
              </w:rPr>
            </w:pPr>
          </w:p>
        </w:tc>
        <w:tc>
          <w:tcPr>
            <w:tcW w:w="15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C6912D7">
            <w:pPr>
              <w:jc w:val="center"/>
              <w:rPr>
                <w:rFonts w:hint="eastAsia" w:ascii="宋体" w:hAnsi="宋体" w:eastAsia="宋体" w:cs="宋体"/>
                <w:i w:val="0"/>
                <w:iCs w:val="0"/>
                <w:color w:val="000000"/>
                <w:sz w:val="22"/>
                <w:szCs w:val="22"/>
                <w:u w:val="none" w:color="auto"/>
              </w:rPr>
            </w:pPr>
          </w:p>
        </w:tc>
      </w:tr>
      <w:tr w14:paraId="7696E6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14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451955">
            <w:pPr>
              <w:jc w:val="center"/>
              <w:rPr>
                <w:rFonts w:hint="eastAsia" w:ascii="宋体" w:hAnsi="宋体" w:eastAsia="宋体" w:cs="宋体"/>
                <w:i w:val="0"/>
                <w:iCs w:val="0"/>
                <w:color w:val="000000"/>
                <w:sz w:val="22"/>
                <w:szCs w:val="22"/>
                <w:u w:val="none" w:color="auto"/>
              </w:rPr>
            </w:pPr>
          </w:p>
        </w:tc>
        <w:tc>
          <w:tcPr>
            <w:tcW w:w="3537"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14:paraId="1E0F6AE5">
            <w:pPr>
              <w:jc w:val="center"/>
              <w:rPr>
                <w:rFonts w:hint="eastAsia" w:ascii="宋体" w:hAnsi="宋体" w:eastAsia="宋体" w:cs="宋体"/>
                <w:i w:val="0"/>
                <w:iCs w:val="0"/>
                <w:color w:val="000000"/>
                <w:sz w:val="22"/>
                <w:szCs w:val="22"/>
                <w:u w:val="none" w:color="auto"/>
              </w:rPr>
            </w:pPr>
          </w:p>
        </w:tc>
        <w:tc>
          <w:tcPr>
            <w:tcW w:w="15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C6357F">
            <w:pPr>
              <w:jc w:val="center"/>
              <w:rPr>
                <w:rFonts w:hint="eastAsia" w:ascii="宋体" w:hAnsi="宋体" w:eastAsia="宋体" w:cs="宋体"/>
                <w:i w:val="0"/>
                <w:iCs w:val="0"/>
                <w:color w:val="000000"/>
                <w:sz w:val="22"/>
                <w:szCs w:val="22"/>
                <w:u w:val="none" w:color="auto"/>
              </w:rPr>
            </w:pPr>
          </w:p>
        </w:tc>
        <w:tc>
          <w:tcPr>
            <w:tcW w:w="151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1D5367">
            <w:pPr>
              <w:jc w:val="center"/>
              <w:rPr>
                <w:rFonts w:hint="eastAsia" w:ascii="宋体" w:hAnsi="宋体" w:eastAsia="宋体" w:cs="宋体"/>
                <w:i w:val="0"/>
                <w:iCs w:val="0"/>
                <w:color w:val="000000"/>
                <w:sz w:val="22"/>
                <w:szCs w:val="22"/>
                <w:u w:val="none" w:color="auto"/>
              </w:rPr>
            </w:pPr>
          </w:p>
        </w:tc>
        <w:tc>
          <w:tcPr>
            <w:tcW w:w="151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5C37E3">
            <w:pPr>
              <w:jc w:val="center"/>
              <w:rPr>
                <w:rFonts w:hint="eastAsia" w:ascii="宋体" w:hAnsi="宋体" w:eastAsia="宋体" w:cs="宋体"/>
                <w:i w:val="0"/>
                <w:iCs w:val="0"/>
                <w:color w:val="000000"/>
                <w:sz w:val="22"/>
                <w:szCs w:val="22"/>
                <w:u w:val="none" w:color="auto"/>
              </w:rPr>
            </w:pPr>
          </w:p>
        </w:tc>
      </w:tr>
      <w:tr w14:paraId="05647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8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BA516E0">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栏次</w:t>
            </w:r>
          </w:p>
        </w:tc>
        <w:tc>
          <w:tcPr>
            <w:tcW w:w="1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B5D7FA">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1</w:t>
            </w:r>
          </w:p>
        </w:tc>
        <w:tc>
          <w:tcPr>
            <w:tcW w:w="1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D7848A">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2</w:t>
            </w:r>
          </w:p>
        </w:tc>
        <w:tc>
          <w:tcPr>
            <w:tcW w:w="15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8D0090">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3</w:t>
            </w:r>
          </w:p>
        </w:tc>
      </w:tr>
      <w:tr w14:paraId="5E692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682"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686F341B">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合计</w:t>
            </w:r>
          </w:p>
        </w:tc>
        <w:tc>
          <w:tcPr>
            <w:tcW w:w="1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521E40">
            <w:pPr>
              <w:jc w:val="right"/>
              <w:rPr>
                <w:rFonts w:hint="eastAsia" w:ascii="宋体" w:hAnsi="宋体" w:eastAsia="宋体" w:cs="宋体"/>
                <w:b/>
                <w:bCs/>
                <w:i w:val="0"/>
                <w:iCs w:val="0"/>
                <w:color w:val="000000"/>
                <w:sz w:val="22"/>
                <w:szCs w:val="22"/>
                <w:u w:val="none" w:color="auto"/>
              </w:rPr>
            </w:pPr>
          </w:p>
        </w:tc>
        <w:tc>
          <w:tcPr>
            <w:tcW w:w="1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B8EBE23">
            <w:pPr>
              <w:jc w:val="right"/>
              <w:rPr>
                <w:rFonts w:hint="eastAsia" w:ascii="宋体" w:hAnsi="宋体" w:eastAsia="宋体" w:cs="宋体"/>
                <w:b/>
                <w:bCs/>
                <w:i w:val="0"/>
                <w:iCs w:val="0"/>
                <w:color w:val="000000"/>
                <w:sz w:val="22"/>
                <w:szCs w:val="22"/>
                <w:u w:val="none" w:color="auto"/>
              </w:rPr>
            </w:pPr>
          </w:p>
        </w:tc>
        <w:tc>
          <w:tcPr>
            <w:tcW w:w="15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2BDC91">
            <w:pPr>
              <w:jc w:val="right"/>
              <w:rPr>
                <w:rFonts w:hint="eastAsia" w:ascii="宋体" w:hAnsi="宋体" w:eastAsia="宋体" w:cs="宋体"/>
                <w:b/>
                <w:bCs/>
                <w:i w:val="0"/>
                <w:iCs w:val="0"/>
                <w:color w:val="000000"/>
                <w:sz w:val="22"/>
                <w:szCs w:val="22"/>
                <w:u w:val="none" w:color="auto"/>
              </w:rPr>
            </w:pPr>
          </w:p>
        </w:tc>
      </w:tr>
      <w:tr w14:paraId="6830D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4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845EE1">
            <w:pPr>
              <w:jc w:val="left"/>
              <w:rPr>
                <w:rFonts w:hint="eastAsia" w:ascii="宋体" w:hAnsi="宋体" w:eastAsia="宋体" w:cs="宋体"/>
                <w:i w:val="0"/>
                <w:iCs w:val="0"/>
                <w:color w:val="000000"/>
                <w:sz w:val="22"/>
                <w:szCs w:val="22"/>
                <w:u w:val="none" w:color="auto"/>
              </w:rPr>
            </w:pPr>
          </w:p>
        </w:tc>
        <w:tc>
          <w:tcPr>
            <w:tcW w:w="3537"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868364">
            <w:pPr>
              <w:jc w:val="left"/>
              <w:rPr>
                <w:rFonts w:hint="eastAsia" w:ascii="宋体" w:hAnsi="宋体" w:eastAsia="宋体" w:cs="宋体"/>
                <w:i w:val="0"/>
                <w:iCs w:val="0"/>
                <w:color w:val="000000"/>
                <w:sz w:val="22"/>
                <w:szCs w:val="22"/>
                <w:u w:val="none" w:color="auto"/>
              </w:rPr>
            </w:pPr>
          </w:p>
        </w:tc>
        <w:tc>
          <w:tcPr>
            <w:tcW w:w="1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B2E7CD">
            <w:pPr>
              <w:jc w:val="right"/>
              <w:rPr>
                <w:rFonts w:hint="eastAsia" w:ascii="宋体" w:hAnsi="宋体" w:eastAsia="宋体" w:cs="宋体"/>
                <w:i w:val="0"/>
                <w:iCs w:val="0"/>
                <w:color w:val="000000"/>
                <w:sz w:val="22"/>
                <w:szCs w:val="22"/>
                <w:u w:val="none" w:color="auto"/>
              </w:rPr>
            </w:pPr>
          </w:p>
        </w:tc>
        <w:tc>
          <w:tcPr>
            <w:tcW w:w="151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DAE105">
            <w:pPr>
              <w:jc w:val="right"/>
              <w:rPr>
                <w:rFonts w:hint="eastAsia" w:ascii="宋体" w:hAnsi="宋体" w:eastAsia="宋体" w:cs="宋体"/>
                <w:i w:val="0"/>
                <w:iCs w:val="0"/>
                <w:color w:val="000000"/>
                <w:sz w:val="22"/>
                <w:szCs w:val="22"/>
                <w:u w:val="none" w:color="auto"/>
              </w:rPr>
            </w:pPr>
          </w:p>
        </w:tc>
        <w:tc>
          <w:tcPr>
            <w:tcW w:w="151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420C35">
            <w:pPr>
              <w:jc w:val="right"/>
              <w:rPr>
                <w:rFonts w:hint="eastAsia" w:ascii="宋体" w:hAnsi="宋体" w:eastAsia="宋体" w:cs="宋体"/>
                <w:i w:val="0"/>
                <w:iCs w:val="0"/>
                <w:color w:val="000000"/>
                <w:sz w:val="22"/>
                <w:szCs w:val="22"/>
                <w:u w:val="none" w:color="auto"/>
              </w:rPr>
            </w:pPr>
          </w:p>
        </w:tc>
      </w:tr>
    </w:tbl>
    <w:p w14:paraId="7459FA8F">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注：本表反映部门本年度国有资本经营预算财政拨款支出情况。</w:t>
      </w:r>
    </w:p>
    <w:p w14:paraId="50B6E533">
      <w:pPr>
        <w:pStyle w:val="7"/>
        <w:keepNext w:val="0"/>
        <w:keepLines w:val="0"/>
        <w:pageBreakBefore w:val="0"/>
        <w:widowControl/>
        <w:kinsoku w:val="0"/>
        <w:wordWrap/>
        <w:overflowPunct/>
        <w:topLinePunct w:val="0"/>
        <w:autoSpaceDE w:val="0"/>
        <w:autoSpaceDN w:val="0"/>
        <w:bidi w:val="0"/>
        <w:adjustRightInd/>
        <w:snapToGrid/>
        <w:spacing w:line="400" w:lineRule="exact"/>
        <w:ind w:left="0" w:leftChars="0" w:firstLine="0" w:firstLineChars="0"/>
        <w:jc w:val="both"/>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p>
    <w:p w14:paraId="00F9D7E8">
      <w:pPr>
        <w:rPr>
          <w:rFonts w:hint="default" w:ascii="Times New Roman" w:hAnsi="Times New Roman" w:eastAsia="微软雅黑" w:cs="Times New Roman"/>
          <w:b/>
          <w:bCs/>
          <w:spacing w:val="-13"/>
          <w:w w:val="96"/>
          <w:sz w:val="33"/>
          <w:szCs w:val="33"/>
          <w:u w:val="none" w:color="auto"/>
        </w:rPr>
      </w:pPr>
      <w:r>
        <w:rPr>
          <w:rFonts w:hint="default" w:ascii="Times New Roman" w:hAnsi="Times New Roman" w:eastAsia="微软雅黑" w:cs="Times New Roman"/>
          <w:b/>
          <w:bCs/>
          <w:spacing w:val="-13"/>
          <w:w w:val="96"/>
          <w:sz w:val="33"/>
          <w:szCs w:val="33"/>
          <w:u w:val="none" w:color="auto"/>
        </w:rPr>
        <w:br w:type="page"/>
      </w:r>
    </w:p>
    <w:p w14:paraId="587C8A36">
      <w:pPr>
        <w:keepNext w:val="0"/>
        <w:keepLines w:val="0"/>
        <w:pageBreakBefore w:val="0"/>
        <w:widowControl/>
        <w:kinsoku w:val="0"/>
        <w:wordWrap/>
        <w:overflowPunct/>
        <w:topLinePunct w:val="0"/>
        <w:autoSpaceDE w:val="0"/>
        <w:autoSpaceDN w:val="0"/>
        <w:bidi w:val="0"/>
        <w:adjustRightInd w:val="0"/>
        <w:snapToGrid w:val="0"/>
        <w:spacing w:line="400" w:lineRule="exact"/>
        <w:jc w:val="center"/>
        <w:textAlignment w:val="baseline"/>
        <w:rPr>
          <w:rFonts w:hint="default" w:ascii="Times New Roman" w:hAnsi="Times New Roman" w:eastAsia="黑体" w:cs="Times New Roman"/>
          <w:spacing w:val="0"/>
          <w:w w:val="100"/>
          <w:position w:val="0"/>
          <w:sz w:val="32"/>
          <w:szCs w:val="32"/>
          <w:u w:val="none" w:color="auto"/>
          <w:lang w:val="en-US" w:eastAsia="zh-CN"/>
        </w:rPr>
      </w:pPr>
      <w:r>
        <w:rPr>
          <w:rFonts w:hint="default" w:ascii="Times New Roman" w:hAnsi="Times New Roman" w:eastAsia="黑体" w:cs="Times New Roman"/>
          <w:spacing w:val="0"/>
          <w:w w:val="100"/>
          <w:position w:val="0"/>
          <w:sz w:val="32"/>
          <w:szCs w:val="32"/>
          <w:u w:val="none" w:color="auto"/>
          <w:lang w:val="en-US" w:eastAsia="zh-CN"/>
        </w:rPr>
        <w:t>202</w:t>
      </w:r>
      <w:r>
        <w:rPr>
          <w:rFonts w:hint="eastAsia" w:ascii="Times New Roman" w:hAnsi="Times New Roman" w:eastAsia="黑体" w:cs="Times New Roman"/>
          <w:spacing w:val="0"/>
          <w:w w:val="100"/>
          <w:position w:val="0"/>
          <w:sz w:val="32"/>
          <w:szCs w:val="32"/>
          <w:u w:val="none" w:color="auto"/>
          <w:lang w:val="en-US" w:eastAsia="zh-CN"/>
        </w:rPr>
        <w:t>4</w:t>
      </w:r>
      <w:r>
        <w:rPr>
          <w:rFonts w:hint="default" w:ascii="Times New Roman" w:hAnsi="Times New Roman" w:eastAsia="黑体" w:cs="Times New Roman"/>
          <w:spacing w:val="0"/>
          <w:w w:val="100"/>
          <w:position w:val="0"/>
          <w:sz w:val="32"/>
          <w:szCs w:val="32"/>
          <w:u w:val="none" w:color="auto"/>
          <w:lang w:val="en-US" w:eastAsia="zh-CN"/>
        </w:rPr>
        <w:t>年度财政拨款“三公”经费支出决算表</w:t>
      </w:r>
    </w:p>
    <w:p w14:paraId="19BE5A35">
      <w:pPr>
        <w:pStyle w:val="7"/>
        <w:keepNext w:val="0"/>
        <w:keepLines w:val="0"/>
        <w:pageBreakBefore w:val="0"/>
        <w:widowControl/>
        <w:kinsoku w:val="0"/>
        <w:wordWrap/>
        <w:overflowPunct/>
        <w:topLinePunct w:val="0"/>
        <w:autoSpaceDE w:val="0"/>
        <w:autoSpaceDN w:val="0"/>
        <w:bidi w:val="0"/>
        <w:adjustRightInd/>
        <w:snapToGrid/>
        <w:spacing w:line="400" w:lineRule="exact"/>
        <w:jc w:val="right"/>
        <w:textAlignment w:val="baseline"/>
        <w:rPr>
          <w:rFonts w:hint="default" w:ascii="Times New Roman" w:hAnsi="Times New Roman" w:eastAsia="黑体" w:cs="Times New Roman"/>
          <w:spacing w:val="0"/>
          <w:w w:val="100"/>
          <w:position w:val="0"/>
          <w:sz w:val="32"/>
          <w:szCs w:val="32"/>
          <w:u w:val="none" w:color="auto"/>
          <w:lang w:val="en-US" w:eastAsia="zh-CN"/>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公开09表</w:t>
      </w:r>
    </w:p>
    <w:p w14:paraId="3302ECB5">
      <w:pPr>
        <w:pStyle w:val="7"/>
        <w:keepNext w:val="0"/>
        <w:keepLines w:val="0"/>
        <w:pageBreakBefore w:val="0"/>
        <w:widowControl/>
        <w:kinsoku w:val="0"/>
        <w:wordWrap/>
        <w:overflowPunct/>
        <w:topLinePunct w:val="0"/>
        <w:autoSpaceDE w:val="0"/>
        <w:autoSpaceDN w:val="0"/>
        <w:bidi w:val="0"/>
        <w:adjustRightInd/>
        <w:snapToGrid/>
        <w:spacing w:line="400" w:lineRule="exact"/>
        <w:jc w:val="right"/>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部门：</w:t>
      </w:r>
      <w:r>
        <w:rPr>
          <w:rFonts w:hint="eastAsia" w:ascii="Times New Roman" w:hAnsi="Times New Roman" w:cs="Times New Roman"/>
          <w:bCs/>
          <w:snapToGrid w:val="0"/>
          <w:color w:val="000000"/>
          <w:spacing w:val="0"/>
          <w:w w:val="100"/>
          <w:kern w:val="0"/>
          <w:position w:val="0"/>
          <w:sz w:val="28"/>
          <w:szCs w:val="28"/>
          <w:u w:val="none" w:color="auto"/>
          <w:lang w:val="en-US" w:eastAsia="zh-CN" w:bidi="ar-SA"/>
        </w:rPr>
        <w:t>武汉市光谷第八初级中学</w:t>
      </w: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单位：万元</w:t>
      </w:r>
    </w:p>
    <w:tbl>
      <w:tblPr>
        <w:tblStyle w:val="8"/>
        <w:tblW w:w="11299" w:type="dxa"/>
        <w:tblInd w:w="-10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36"/>
        <w:gridCol w:w="992"/>
        <w:gridCol w:w="832"/>
        <w:gridCol w:w="1152"/>
        <w:gridCol w:w="1440"/>
        <w:gridCol w:w="960"/>
        <w:gridCol w:w="809"/>
        <w:gridCol w:w="927"/>
        <w:gridCol w:w="715"/>
        <w:gridCol w:w="884"/>
        <w:gridCol w:w="1114"/>
        <w:gridCol w:w="738"/>
      </w:tblGrid>
      <w:tr w14:paraId="3505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52" w:hRule="atLeast"/>
        </w:trPr>
        <w:tc>
          <w:tcPr>
            <w:tcW w:w="6112" w:type="dxa"/>
            <w:gridSpan w:val="6"/>
            <w:shd w:val="clear" w:color="auto" w:fill="auto"/>
            <w:vAlign w:val="center"/>
          </w:tcPr>
          <w:p w14:paraId="3EBB9BCB">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预算数</w:t>
            </w:r>
          </w:p>
        </w:tc>
        <w:tc>
          <w:tcPr>
            <w:tcW w:w="5187" w:type="dxa"/>
            <w:gridSpan w:val="6"/>
            <w:shd w:val="clear" w:color="auto" w:fill="auto"/>
            <w:vAlign w:val="center"/>
          </w:tcPr>
          <w:p w14:paraId="045D8C05">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决算数</w:t>
            </w:r>
          </w:p>
        </w:tc>
      </w:tr>
      <w:tr w14:paraId="5F59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36" w:type="dxa"/>
            <w:vMerge w:val="restart"/>
            <w:shd w:val="clear" w:color="auto" w:fill="auto"/>
            <w:vAlign w:val="center"/>
          </w:tcPr>
          <w:p w14:paraId="443C28C3">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合计</w:t>
            </w:r>
          </w:p>
        </w:tc>
        <w:tc>
          <w:tcPr>
            <w:tcW w:w="992" w:type="dxa"/>
            <w:vMerge w:val="restart"/>
            <w:shd w:val="clear" w:color="auto" w:fill="auto"/>
            <w:vAlign w:val="center"/>
          </w:tcPr>
          <w:p w14:paraId="4C6C4041">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因公出国（境）费</w:t>
            </w:r>
          </w:p>
        </w:tc>
        <w:tc>
          <w:tcPr>
            <w:tcW w:w="3424" w:type="dxa"/>
            <w:gridSpan w:val="3"/>
            <w:shd w:val="clear" w:color="auto" w:fill="auto"/>
            <w:vAlign w:val="center"/>
          </w:tcPr>
          <w:p w14:paraId="7BA00CBA">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公务用车购置及运行维护费</w:t>
            </w:r>
          </w:p>
        </w:tc>
        <w:tc>
          <w:tcPr>
            <w:tcW w:w="960" w:type="dxa"/>
            <w:vMerge w:val="restart"/>
            <w:shd w:val="clear" w:color="auto" w:fill="auto"/>
            <w:vAlign w:val="center"/>
          </w:tcPr>
          <w:p w14:paraId="1F19F50F">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公务接待费</w:t>
            </w:r>
          </w:p>
        </w:tc>
        <w:tc>
          <w:tcPr>
            <w:tcW w:w="809" w:type="dxa"/>
            <w:vMerge w:val="restart"/>
            <w:shd w:val="clear" w:color="auto" w:fill="auto"/>
            <w:vAlign w:val="center"/>
          </w:tcPr>
          <w:p w14:paraId="7B17A56D">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合计</w:t>
            </w:r>
          </w:p>
        </w:tc>
        <w:tc>
          <w:tcPr>
            <w:tcW w:w="927" w:type="dxa"/>
            <w:vMerge w:val="restart"/>
            <w:shd w:val="clear" w:color="auto" w:fill="auto"/>
            <w:vAlign w:val="center"/>
          </w:tcPr>
          <w:p w14:paraId="60523EDE">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因公出国（境）费</w:t>
            </w:r>
          </w:p>
        </w:tc>
        <w:tc>
          <w:tcPr>
            <w:tcW w:w="2713" w:type="dxa"/>
            <w:gridSpan w:val="3"/>
            <w:shd w:val="clear" w:color="auto" w:fill="auto"/>
            <w:vAlign w:val="center"/>
          </w:tcPr>
          <w:p w14:paraId="207EB0A6">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公务用车购置及运行维护费</w:t>
            </w:r>
          </w:p>
        </w:tc>
        <w:tc>
          <w:tcPr>
            <w:tcW w:w="738" w:type="dxa"/>
            <w:vMerge w:val="restart"/>
            <w:shd w:val="clear" w:color="auto" w:fill="auto"/>
            <w:vAlign w:val="center"/>
          </w:tcPr>
          <w:p w14:paraId="244D6076">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公务接待费</w:t>
            </w:r>
          </w:p>
        </w:tc>
      </w:tr>
      <w:tr w14:paraId="0415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736" w:type="dxa"/>
            <w:vMerge w:val="continue"/>
            <w:shd w:val="clear" w:color="auto" w:fill="auto"/>
            <w:vAlign w:val="center"/>
          </w:tcPr>
          <w:p w14:paraId="63EA01EA">
            <w:pPr>
              <w:jc w:val="center"/>
              <w:rPr>
                <w:rFonts w:hint="eastAsia" w:ascii="宋体" w:hAnsi="宋体" w:eastAsia="宋体" w:cs="宋体"/>
                <w:i w:val="0"/>
                <w:iCs w:val="0"/>
                <w:color w:val="000000"/>
                <w:sz w:val="22"/>
                <w:szCs w:val="22"/>
                <w:u w:val="none" w:color="auto"/>
              </w:rPr>
            </w:pPr>
          </w:p>
        </w:tc>
        <w:tc>
          <w:tcPr>
            <w:tcW w:w="992" w:type="dxa"/>
            <w:vMerge w:val="continue"/>
            <w:shd w:val="clear" w:color="auto" w:fill="auto"/>
            <w:vAlign w:val="center"/>
          </w:tcPr>
          <w:p w14:paraId="526AB31D">
            <w:pPr>
              <w:jc w:val="center"/>
              <w:rPr>
                <w:rFonts w:hint="eastAsia" w:ascii="宋体" w:hAnsi="宋体" w:eastAsia="宋体" w:cs="宋体"/>
                <w:i w:val="0"/>
                <w:iCs w:val="0"/>
                <w:color w:val="000000"/>
                <w:sz w:val="22"/>
                <w:szCs w:val="22"/>
                <w:u w:val="none" w:color="auto"/>
              </w:rPr>
            </w:pPr>
          </w:p>
        </w:tc>
        <w:tc>
          <w:tcPr>
            <w:tcW w:w="832" w:type="dxa"/>
            <w:shd w:val="clear" w:color="auto" w:fill="auto"/>
            <w:vAlign w:val="center"/>
          </w:tcPr>
          <w:p w14:paraId="5ED15016">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小计</w:t>
            </w:r>
          </w:p>
        </w:tc>
        <w:tc>
          <w:tcPr>
            <w:tcW w:w="1152" w:type="dxa"/>
            <w:shd w:val="clear" w:color="auto" w:fill="auto"/>
            <w:vAlign w:val="center"/>
          </w:tcPr>
          <w:p w14:paraId="603E3D22">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公务用车购置费</w:t>
            </w:r>
          </w:p>
        </w:tc>
        <w:tc>
          <w:tcPr>
            <w:tcW w:w="1440" w:type="dxa"/>
            <w:shd w:val="clear" w:color="auto" w:fill="auto"/>
            <w:vAlign w:val="center"/>
          </w:tcPr>
          <w:p w14:paraId="05557802">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公务用车运行维护费</w:t>
            </w:r>
          </w:p>
        </w:tc>
        <w:tc>
          <w:tcPr>
            <w:tcW w:w="960" w:type="dxa"/>
            <w:vMerge w:val="continue"/>
            <w:shd w:val="clear" w:color="auto" w:fill="auto"/>
            <w:vAlign w:val="center"/>
          </w:tcPr>
          <w:p w14:paraId="240E2F5E">
            <w:pPr>
              <w:jc w:val="center"/>
              <w:rPr>
                <w:rFonts w:hint="eastAsia" w:ascii="宋体" w:hAnsi="宋体" w:eastAsia="宋体" w:cs="宋体"/>
                <w:i w:val="0"/>
                <w:iCs w:val="0"/>
                <w:color w:val="000000"/>
                <w:sz w:val="22"/>
                <w:szCs w:val="22"/>
                <w:u w:val="none" w:color="auto"/>
              </w:rPr>
            </w:pPr>
          </w:p>
        </w:tc>
        <w:tc>
          <w:tcPr>
            <w:tcW w:w="809" w:type="dxa"/>
            <w:vMerge w:val="continue"/>
            <w:shd w:val="clear" w:color="auto" w:fill="auto"/>
            <w:vAlign w:val="center"/>
          </w:tcPr>
          <w:p w14:paraId="26ABA07D">
            <w:pPr>
              <w:jc w:val="center"/>
              <w:rPr>
                <w:rFonts w:hint="eastAsia" w:ascii="宋体" w:hAnsi="宋体" w:eastAsia="宋体" w:cs="宋体"/>
                <w:i w:val="0"/>
                <w:iCs w:val="0"/>
                <w:color w:val="000000"/>
                <w:sz w:val="22"/>
                <w:szCs w:val="22"/>
                <w:u w:val="none" w:color="auto"/>
              </w:rPr>
            </w:pPr>
          </w:p>
        </w:tc>
        <w:tc>
          <w:tcPr>
            <w:tcW w:w="927" w:type="dxa"/>
            <w:vMerge w:val="continue"/>
            <w:shd w:val="clear" w:color="auto" w:fill="auto"/>
            <w:vAlign w:val="center"/>
          </w:tcPr>
          <w:p w14:paraId="198F3702">
            <w:pPr>
              <w:jc w:val="center"/>
              <w:rPr>
                <w:rFonts w:hint="eastAsia" w:ascii="宋体" w:hAnsi="宋体" w:eastAsia="宋体" w:cs="宋体"/>
                <w:i w:val="0"/>
                <w:iCs w:val="0"/>
                <w:color w:val="000000"/>
                <w:sz w:val="22"/>
                <w:szCs w:val="22"/>
                <w:u w:val="none" w:color="auto"/>
              </w:rPr>
            </w:pPr>
          </w:p>
        </w:tc>
        <w:tc>
          <w:tcPr>
            <w:tcW w:w="715" w:type="dxa"/>
            <w:shd w:val="clear" w:color="auto" w:fill="auto"/>
            <w:vAlign w:val="center"/>
          </w:tcPr>
          <w:p w14:paraId="743F2D8D">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小计</w:t>
            </w:r>
          </w:p>
        </w:tc>
        <w:tc>
          <w:tcPr>
            <w:tcW w:w="884" w:type="dxa"/>
            <w:shd w:val="clear" w:color="auto" w:fill="auto"/>
            <w:vAlign w:val="center"/>
          </w:tcPr>
          <w:p w14:paraId="795ABA44">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公务用车购置费</w:t>
            </w:r>
          </w:p>
        </w:tc>
        <w:tc>
          <w:tcPr>
            <w:tcW w:w="1114" w:type="dxa"/>
            <w:shd w:val="clear" w:color="auto" w:fill="auto"/>
            <w:vAlign w:val="center"/>
          </w:tcPr>
          <w:p w14:paraId="144E0E27">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公务用车运行维护费</w:t>
            </w:r>
          </w:p>
        </w:tc>
        <w:tc>
          <w:tcPr>
            <w:tcW w:w="738" w:type="dxa"/>
            <w:vMerge w:val="continue"/>
            <w:shd w:val="clear" w:color="auto" w:fill="auto"/>
            <w:vAlign w:val="center"/>
          </w:tcPr>
          <w:p w14:paraId="74BB9773">
            <w:pPr>
              <w:jc w:val="center"/>
              <w:rPr>
                <w:rFonts w:hint="eastAsia" w:ascii="宋体" w:hAnsi="宋体" w:eastAsia="宋体" w:cs="宋体"/>
                <w:i w:val="0"/>
                <w:iCs w:val="0"/>
                <w:color w:val="000000"/>
                <w:sz w:val="22"/>
                <w:szCs w:val="22"/>
                <w:u w:val="none" w:color="auto"/>
              </w:rPr>
            </w:pPr>
          </w:p>
        </w:tc>
      </w:tr>
      <w:tr w14:paraId="44BD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736" w:type="dxa"/>
            <w:shd w:val="clear" w:color="auto" w:fill="auto"/>
            <w:vAlign w:val="center"/>
          </w:tcPr>
          <w:p w14:paraId="38AA6FFE">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1</w:t>
            </w:r>
          </w:p>
        </w:tc>
        <w:tc>
          <w:tcPr>
            <w:tcW w:w="992" w:type="dxa"/>
            <w:shd w:val="clear" w:color="auto" w:fill="auto"/>
            <w:vAlign w:val="center"/>
          </w:tcPr>
          <w:p w14:paraId="27ED86C4">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2</w:t>
            </w:r>
          </w:p>
        </w:tc>
        <w:tc>
          <w:tcPr>
            <w:tcW w:w="832" w:type="dxa"/>
            <w:shd w:val="clear" w:color="auto" w:fill="auto"/>
            <w:vAlign w:val="center"/>
          </w:tcPr>
          <w:p w14:paraId="1CEABE5B">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3</w:t>
            </w:r>
          </w:p>
        </w:tc>
        <w:tc>
          <w:tcPr>
            <w:tcW w:w="1152" w:type="dxa"/>
            <w:shd w:val="clear" w:color="auto" w:fill="auto"/>
            <w:vAlign w:val="center"/>
          </w:tcPr>
          <w:p w14:paraId="5123BA9F">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4</w:t>
            </w:r>
          </w:p>
        </w:tc>
        <w:tc>
          <w:tcPr>
            <w:tcW w:w="1440" w:type="dxa"/>
            <w:shd w:val="clear" w:color="auto" w:fill="auto"/>
            <w:vAlign w:val="center"/>
          </w:tcPr>
          <w:p w14:paraId="653ED846">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5</w:t>
            </w:r>
          </w:p>
        </w:tc>
        <w:tc>
          <w:tcPr>
            <w:tcW w:w="960" w:type="dxa"/>
            <w:shd w:val="clear" w:color="auto" w:fill="auto"/>
            <w:vAlign w:val="center"/>
          </w:tcPr>
          <w:p w14:paraId="3272BFA6">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6</w:t>
            </w:r>
          </w:p>
        </w:tc>
        <w:tc>
          <w:tcPr>
            <w:tcW w:w="809" w:type="dxa"/>
            <w:shd w:val="clear" w:color="auto" w:fill="auto"/>
            <w:vAlign w:val="center"/>
          </w:tcPr>
          <w:p w14:paraId="4A0222D8">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7</w:t>
            </w:r>
          </w:p>
        </w:tc>
        <w:tc>
          <w:tcPr>
            <w:tcW w:w="927" w:type="dxa"/>
            <w:shd w:val="clear" w:color="auto" w:fill="auto"/>
            <w:vAlign w:val="center"/>
          </w:tcPr>
          <w:p w14:paraId="48EA6E5A">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8</w:t>
            </w:r>
          </w:p>
        </w:tc>
        <w:tc>
          <w:tcPr>
            <w:tcW w:w="715" w:type="dxa"/>
            <w:shd w:val="clear" w:color="auto" w:fill="auto"/>
            <w:vAlign w:val="center"/>
          </w:tcPr>
          <w:p w14:paraId="41E5E47D">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9</w:t>
            </w:r>
          </w:p>
        </w:tc>
        <w:tc>
          <w:tcPr>
            <w:tcW w:w="884" w:type="dxa"/>
            <w:shd w:val="clear" w:color="auto" w:fill="auto"/>
            <w:vAlign w:val="center"/>
          </w:tcPr>
          <w:p w14:paraId="009E12C5">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10</w:t>
            </w:r>
          </w:p>
        </w:tc>
        <w:tc>
          <w:tcPr>
            <w:tcW w:w="1114" w:type="dxa"/>
            <w:shd w:val="clear" w:color="auto" w:fill="auto"/>
            <w:vAlign w:val="center"/>
          </w:tcPr>
          <w:p w14:paraId="0D7B0BAB">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11</w:t>
            </w:r>
          </w:p>
        </w:tc>
        <w:tc>
          <w:tcPr>
            <w:tcW w:w="738" w:type="dxa"/>
            <w:shd w:val="clear" w:color="auto" w:fill="auto"/>
            <w:vAlign w:val="center"/>
          </w:tcPr>
          <w:p w14:paraId="390A79BE">
            <w:pPr>
              <w:keepNext w:val="0"/>
              <w:keepLines w:val="0"/>
              <w:widowControl/>
              <w:suppressLineNumbers w:val="0"/>
              <w:jc w:val="center"/>
              <w:textAlignment w:val="center"/>
              <w:rPr>
                <w:rFonts w:hint="eastAsia" w:ascii="宋体" w:hAnsi="宋体" w:eastAsia="宋体" w:cs="宋体"/>
                <w:i w:val="0"/>
                <w:iCs w:val="0"/>
                <w:color w:val="000000"/>
                <w:sz w:val="22"/>
                <w:szCs w:val="22"/>
                <w:u w:val="none" w:color="auto"/>
              </w:rPr>
            </w:pPr>
            <w:r>
              <w:rPr>
                <w:rFonts w:hint="eastAsia" w:ascii="宋体" w:hAnsi="宋体" w:eastAsia="宋体" w:cs="宋体"/>
                <w:i w:val="0"/>
                <w:iCs w:val="0"/>
                <w:snapToGrid w:val="0"/>
                <w:color w:val="000000"/>
                <w:kern w:val="0"/>
                <w:sz w:val="22"/>
                <w:szCs w:val="22"/>
                <w:u w:val="none" w:color="auto"/>
                <w:lang w:val="en-US" w:eastAsia="zh-CN" w:bidi="ar"/>
              </w:rPr>
              <w:t>12</w:t>
            </w:r>
          </w:p>
        </w:tc>
      </w:tr>
      <w:tr w14:paraId="03EE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736" w:type="dxa"/>
            <w:shd w:val="clear" w:color="auto" w:fill="auto"/>
            <w:noWrap/>
            <w:vAlign w:val="center"/>
          </w:tcPr>
          <w:p w14:paraId="7873128C">
            <w:pPr>
              <w:jc w:val="right"/>
              <w:rPr>
                <w:rFonts w:hint="eastAsia" w:ascii="宋体" w:hAnsi="宋体" w:eastAsia="宋体" w:cs="宋体"/>
                <w:i w:val="0"/>
                <w:iCs w:val="0"/>
                <w:color w:val="000000"/>
                <w:sz w:val="22"/>
                <w:szCs w:val="22"/>
                <w:u w:val="none" w:color="auto"/>
              </w:rPr>
            </w:pPr>
          </w:p>
        </w:tc>
        <w:tc>
          <w:tcPr>
            <w:tcW w:w="992" w:type="dxa"/>
            <w:shd w:val="clear" w:color="auto" w:fill="auto"/>
            <w:noWrap/>
            <w:vAlign w:val="center"/>
          </w:tcPr>
          <w:p w14:paraId="34461C55">
            <w:pPr>
              <w:jc w:val="right"/>
              <w:rPr>
                <w:rFonts w:hint="eastAsia" w:ascii="宋体" w:hAnsi="宋体" w:eastAsia="宋体" w:cs="宋体"/>
                <w:i w:val="0"/>
                <w:iCs w:val="0"/>
                <w:color w:val="000000"/>
                <w:sz w:val="22"/>
                <w:szCs w:val="22"/>
                <w:u w:val="none" w:color="auto"/>
              </w:rPr>
            </w:pPr>
          </w:p>
        </w:tc>
        <w:tc>
          <w:tcPr>
            <w:tcW w:w="832" w:type="dxa"/>
            <w:shd w:val="clear" w:color="auto" w:fill="auto"/>
            <w:noWrap/>
            <w:vAlign w:val="center"/>
          </w:tcPr>
          <w:p w14:paraId="72B6683A">
            <w:pPr>
              <w:jc w:val="right"/>
              <w:rPr>
                <w:rFonts w:hint="eastAsia" w:ascii="宋体" w:hAnsi="宋体" w:eastAsia="宋体" w:cs="宋体"/>
                <w:i w:val="0"/>
                <w:iCs w:val="0"/>
                <w:color w:val="000000"/>
                <w:sz w:val="22"/>
                <w:szCs w:val="22"/>
                <w:u w:val="none" w:color="auto"/>
              </w:rPr>
            </w:pPr>
          </w:p>
        </w:tc>
        <w:tc>
          <w:tcPr>
            <w:tcW w:w="1152" w:type="dxa"/>
            <w:shd w:val="clear" w:color="auto" w:fill="auto"/>
            <w:noWrap/>
            <w:vAlign w:val="center"/>
          </w:tcPr>
          <w:p w14:paraId="50622F8C">
            <w:pPr>
              <w:jc w:val="right"/>
              <w:rPr>
                <w:rFonts w:hint="eastAsia" w:ascii="宋体" w:hAnsi="宋体" w:eastAsia="宋体" w:cs="宋体"/>
                <w:i w:val="0"/>
                <w:iCs w:val="0"/>
                <w:color w:val="000000"/>
                <w:sz w:val="22"/>
                <w:szCs w:val="22"/>
                <w:u w:val="none" w:color="auto"/>
              </w:rPr>
            </w:pPr>
          </w:p>
        </w:tc>
        <w:tc>
          <w:tcPr>
            <w:tcW w:w="1440" w:type="dxa"/>
            <w:shd w:val="clear" w:color="auto" w:fill="auto"/>
            <w:noWrap/>
            <w:vAlign w:val="center"/>
          </w:tcPr>
          <w:p w14:paraId="6D152987">
            <w:pPr>
              <w:jc w:val="right"/>
              <w:rPr>
                <w:rFonts w:hint="eastAsia" w:ascii="宋体" w:hAnsi="宋体" w:eastAsia="宋体" w:cs="宋体"/>
                <w:i w:val="0"/>
                <w:iCs w:val="0"/>
                <w:color w:val="000000"/>
                <w:sz w:val="22"/>
                <w:szCs w:val="22"/>
                <w:u w:val="none" w:color="auto"/>
              </w:rPr>
            </w:pPr>
          </w:p>
        </w:tc>
        <w:tc>
          <w:tcPr>
            <w:tcW w:w="960" w:type="dxa"/>
            <w:shd w:val="clear" w:color="auto" w:fill="auto"/>
            <w:noWrap/>
            <w:vAlign w:val="center"/>
          </w:tcPr>
          <w:p w14:paraId="2A42E37B">
            <w:pPr>
              <w:jc w:val="right"/>
              <w:rPr>
                <w:rFonts w:hint="eastAsia" w:ascii="宋体" w:hAnsi="宋体" w:eastAsia="宋体" w:cs="宋体"/>
                <w:i w:val="0"/>
                <w:iCs w:val="0"/>
                <w:color w:val="000000"/>
                <w:sz w:val="22"/>
                <w:szCs w:val="22"/>
                <w:u w:val="none" w:color="auto"/>
              </w:rPr>
            </w:pPr>
          </w:p>
        </w:tc>
        <w:tc>
          <w:tcPr>
            <w:tcW w:w="809" w:type="dxa"/>
            <w:shd w:val="clear" w:color="auto" w:fill="auto"/>
            <w:noWrap/>
            <w:vAlign w:val="center"/>
          </w:tcPr>
          <w:p w14:paraId="23A73C98">
            <w:pPr>
              <w:jc w:val="right"/>
              <w:rPr>
                <w:rFonts w:hint="eastAsia" w:ascii="宋体" w:hAnsi="宋体" w:eastAsia="宋体" w:cs="宋体"/>
                <w:i w:val="0"/>
                <w:iCs w:val="0"/>
                <w:color w:val="000000"/>
                <w:sz w:val="22"/>
                <w:szCs w:val="22"/>
                <w:u w:val="none" w:color="auto"/>
              </w:rPr>
            </w:pPr>
          </w:p>
        </w:tc>
        <w:tc>
          <w:tcPr>
            <w:tcW w:w="927" w:type="dxa"/>
            <w:shd w:val="clear" w:color="auto" w:fill="auto"/>
            <w:noWrap/>
            <w:vAlign w:val="center"/>
          </w:tcPr>
          <w:p w14:paraId="7590EACB">
            <w:pPr>
              <w:jc w:val="right"/>
              <w:rPr>
                <w:rFonts w:hint="eastAsia" w:ascii="宋体" w:hAnsi="宋体" w:eastAsia="宋体" w:cs="宋体"/>
                <w:i w:val="0"/>
                <w:iCs w:val="0"/>
                <w:color w:val="000000"/>
                <w:sz w:val="22"/>
                <w:szCs w:val="22"/>
                <w:u w:val="none" w:color="auto"/>
              </w:rPr>
            </w:pPr>
          </w:p>
        </w:tc>
        <w:tc>
          <w:tcPr>
            <w:tcW w:w="715" w:type="dxa"/>
            <w:shd w:val="clear" w:color="auto" w:fill="auto"/>
            <w:noWrap/>
            <w:vAlign w:val="center"/>
          </w:tcPr>
          <w:p w14:paraId="41959A5D">
            <w:pPr>
              <w:jc w:val="right"/>
              <w:rPr>
                <w:rFonts w:hint="eastAsia" w:ascii="宋体" w:hAnsi="宋体" w:eastAsia="宋体" w:cs="宋体"/>
                <w:i w:val="0"/>
                <w:iCs w:val="0"/>
                <w:color w:val="000000"/>
                <w:sz w:val="22"/>
                <w:szCs w:val="22"/>
                <w:u w:val="none" w:color="auto"/>
              </w:rPr>
            </w:pPr>
          </w:p>
        </w:tc>
        <w:tc>
          <w:tcPr>
            <w:tcW w:w="884" w:type="dxa"/>
            <w:shd w:val="clear" w:color="auto" w:fill="auto"/>
            <w:noWrap/>
            <w:vAlign w:val="center"/>
          </w:tcPr>
          <w:p w14:paraId="1AE20682">
            <w:pPr>
              <w:jc w:val="right"/>
              <w:rPr>
                <w:rFonts w:hint="eastAsia" w:ascii="宋体" w:hAnsi="宋体" w:eastAsia="宋体" w:cs="宋体"/>
                <w:i w:val="0"/>
                <w:iCs w:val="0"/>
                <w:color w:val="000000"/>
                <w:sz w:val="22"/>
                <w:szCs w:val="22"/>
                <w:u w:val="none" w:color="auto"/>
              </w:rPr>
            </w:pPr>
          </w:p>
        </w:tc>
        <w:tc>
          <w:tcPr>
            <w:tcW w:w="1114" w:type="dxa"/>
            <w:shd w:val="clear" w:color="auto" w:fill="auto"/>
            <w:noWrap/>
            <w:vAlign w:val="center"/>
          </w:tcPr>
          <w:p w14:paraId="75340BAC">
            <w:pPr>
              <w:jc w:val="right"/>
              <w:rPr>
                <w:rFonts w:hint="eastAsia" w:ascii="宋体" w:hAnsi="宋体" w:eastAsia="宋体" w:cs="宋体"/>
                <w:i w:val="0"/>
                <w:iCs w:val="0"/>
                <w:color w:val="000000"/>
                <w:sz w:val="22"/>
                <w:szCs w:val="22"/>
                <w:u w:val="none" w:color="auto"/>
              </w:rPr>
            </w:pPr>
          </w:p>
        </w:tc>
        <w:tc>
          <w:tcPr>
            <w:tcW w:w="738" w:type="dxa"/>
            <w:shd w:val="clear" w:color="auto" w:fill="auto"/>
            <w:noWrap/>
            <w:vAlign w:val="center"/>
          </w:tcPr>
          <w:p w14:paraId="16F658EF">
            <w:pPr>
              <w:jc w:val="right"/>
              <w:rPr>
                <w:rFonts w:hint="eastAsia" w:ascii="宋体" w:hAnsi="宋体" w:eastAsia="宋体" w:cs="宋体"/>
                <w:i w:val="0"/>
                <w:iCs w:val="0"/>
                <w:color w:val="000000"/>
                <w:sz w:val="22"/>
                <w:szCs w:val="22"/>
                <w:u w:val="none" w:color="auto"/>
              </w:rPr>
            </w:pPr>
          </w:p>
        </w:tc>
      </w:tr>
    </w:tbl>
    <w:p w14:paraId="5EEA353F">
      <w:pPr>
        <w:pStyle w:val="7"/>
        <w:keepNext w:val="0"/>
        <w:keepLines w:val="0"/>
        <w:pageBreakBefore w:val="0"/>
        <w:widowControl/>
        <w:kinsoku w:val="0"/>
        <w:wordWrap/>
        <w:overflowPunct/>
        <w:topLinePunct w:val="0"/>
        <w:autoSpaceDE w:val="0"/>
        <w:autoSpaceDN w:val="0"/>
        <w:bidi w:val="0"/>
        <w:adjustRightInd w:val="0"/>
        <w:snapToGrid w:val="0"/>
        <w:spacing w:line="400" w:lineRule="exact"/>
        <w:ind w:left="0" w:leftChars="0" w:firstLine="0" w:firstLineChars="0"/>
        <w:textAlignment w:val="baseline"/>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t>注：本表反映部门本年度财政拨款“三公”经费支出预决算情况。其中，预算数为“三公”经费全年预算数，反映按规定程序调整后的预算数；决算数是包括当年财政拨款和以前年度结转资金安排的实际支出。</w:t>
      </w:r>
    </w:p>
    <w:p w14:paraId="79CDD02C">
      <w:pP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pPr>
      <w:r>
        <w:rPr>
          <w:rFonts w:hint="default" w:ascii="Times New Roman" w:hAnsi="Times New Roman" w:eastAsia="仿宋_GB2312" w:cs="Times New Roman"/>
          <w:bCs/>
          <w:snapToGrid w:val="0"/>
          <w:color w:val="000000"/>
          <w:spacing w:val="0"/>
          <w:w w:val="100"/>
          <w:kern w:val="0"/>
          <w:position w:val="0"/>
          <w:sz w:val="28"/>
          <w:szCs w:val="28"/>
          <w:u w:val="none" w:color="auto"/>
          <w:lang w:val="en-US" w:eastAsia="zh-CN" w:bidi="ar-SA"/>
        </w:rPr>
        <w:br w:type="page"/>
      </w:r>
    </w:p>
    <w:p w14:paraId="35AF72B7">
      <w:pPr>
        <w:keepNext w:val="0"/>
        <w:keepLines w:val="0"/>
        <w:pageBreakBefore w:val="0"/>
        <w:widowControl/>
        <w:numPr>
          <w:ilvl w:val="0"/>
          <w:numId w:val="1"/>
        </w:numPr>
        <w:kinsoku w:val="0"/>
        <w:wordWrap/>
        <w:overflowPunct/>
        <w:topLinePunct w:val="0"/>
        <w:autoSpaceDE w:val="0"/>
        <w:autoSpaceDN w:val="0"/>
        <w:bidi w:val="0"/>
        <w:adjustRightInd w:val="0"/>
        <w:snapToGrid w:val="0"/>
        <w:spacing w:line="240" w:lineRule="auto"/>
        <w:ind w:left="1225" w:right="0" w:hanging="1225"/>
        <w:jc w:val="center"/>
        <w:textAlignment w:val="baseline"/>
        <w:rPr>
          <w:rFonts w:hint="default" w:ascii="Times New Roman" w:hAnsi="Times New Roman" w:eastAsia="方正小标宋_GBK" w:cs="Times New Roman"/>
          <w:spacing w:val="-23"/>
          <w:sz w:val="44"/>
          <w:szCs w:val="44"/>
          <w:u w:val="none" w:color="auto"/>
        </w:rPr>
      </w:pPr>
      <w:r>
        <w:rPr>
          <w:rFonts w:hint="eastAsia" w:ascii="Times New Roman" w:hAnsi="Times New Roman" w:eastAsia="方正小标宋_GBK" w:cs="Times New Roman"/>
          <w:spacing w:val="-23"/>
          <w:sz w:val="44"/>
          <w:szCs w:val="44"/>
          <w:u w:val="none" w:color="auto"/>
          <w:lang w:val="en-US" w:eastAsia="zh-CN"/>
        </w:rPr>
        <w:t>武汉市光谷第八初级中学</w:t>
      </w:r>
      <w:r>
        <w:rPr>
          <w:rFonts w:hint="default" w:ascii="Times New Roman" w:hAnsi="Times New Roman" w:eastAsia="方正小标宋_GBK" w:cs="Times New Roman"/>
          <w:spacing w:val="-23"/>
          <w:sz w:val="44"/>
          <w:szCs w:val="44"/>
          <w:u w:val="none" w:color="auto"/>
        </w:rPr>
        <w:t>202</w:t>
      </w:r>
      <w:r>
        <w:rPr>
          <w:rFonts w:hint="eastAsia" w:ascii="Times New Roman" w:hAnsi="Times New Roman" w:eastAsia="方正小标宋_GBK" w:cs="Times New Roman"/>
          <w:spacing w:val="-23"/>
          <w:sz w:val="44"/>
          <w:szCs w:val="44"/>
          <w:u w:val="none" w:color="auto"/>
          <w:lang w:val="en-US" w:eastAsia="zh-CN"/>
        </w:rPr>
        <w:t>4</w:t>
      </w:r>
      <w:r>
        <w:rPr>
          <w:rFonts w:hint="default" w:ascii="Times New Roman" w:hAnsi="Times New Roman" w:eastAsia="方正小标宋_GBK" w:cs="Times New Roman"/>
          <w:spacing w:val="-23"/>
          <w:sz w:val="44"/>
          <w:szCs w:val="44"/>
          <w:u w:val="none" w:color="auto"/>
        </w:rPr>
        <w:t>年度部门决算情况说明</w:t>
      </w:r>
    </w:p>
    <w:p w14:paraId="5D311B88">
      <w:pPr>
        <w:rPr>
          <w:rFonts w:hint="default" w:ascii="Times New Roman" w:hAnsi="Times New Roman" w:cs="Times New Roman"/>
          <w:u w:val="none" w:color="auto"/>
        </w:rPr>
      </w:pPr>
    </w:p>
    <w:p w14:paraId="6BE2FE47">
      <w:pPr>
        <w:rPr>
          <w:rFonts w:hint="default" w:ascii="Times New Roman" w:hAnsi="Times New Roman" w:cs="Times New Roman"/>
          <w:u w:val="none" w:color="auto"/>
          <w:lang w:val="en-US" w:eastAsia="zh-CN"/>
        </w:rPr>
      </w:pPr>
    </w:p>
    <w:p w14:paraId="0C2C3045">
      <w:pPr>
        <w:spacing w:before="104" w:line="222" w:lineRule="auto"/>
        <w:ind w:left="643"/>
        <w:rPr>
          <w:rFonts w:hint="default" w:ascii="Times New Roman" w:hAnsi="Times New Roman" w:eastAsia="黑体" w:cs="Times New Roman"/>
          <w:sz w:val="32"/>
          <w:szCs w:val="32"/>
          <w:u w:val="none" w:color="auto"/>
        </w:rPr>
      </w:pPr>
      <w:r>
        <w:rPr>
          <w:rFonts w:hint="default" w:ascii="Times New Roman" w:hAnsi="Times New Roman" w:eastAsia="黑体" w:cs="Times New Roman"/>
          <w:spacing w:val="-1"/>
          <w:sz w:val="32"/>
          <w:szCs w:val="32"/>
          <w:u w:val="none" w:color="auto"/>
        </w:rPr>
        <w:t>一、收入支出决算总体情况说明</w:t>
      </w:r>
    </w:p>
    <w:p w14:paraId="36610687">
      <w:pPr>
        <w:pStyle w:val="2"/>
        <w:keepNext w:val="0"/>
        <w:keepLines w:val="0"/>
        <w:pageBreakBefore w:val="0"/>
        <w:widowControl/>
        <w:kinsoku w:val="0"/>
        <w:wordWrap/>
        <w:overflowPunct/>
        <w:topLinePunct w:val="0"/>
        <w:autoSpaceDE w:val="0"/>
        <w:autoSpaceDN w:val="0"/>
        <w:bidi w:val="0"/>
        <w:adjustRightInd w:val="0"/>
        <w:snapToGrid w:val="0"/>
        <w:spacing w:line="580" w:lineRule="exact"/>
        <w:ind w:left="0" w:right="0" w:firstLine="640" w:firstLineChars="200"/>
        <w:textAlignment w:val="baseline"/>
        <w:rPr>
          <w:rFonts w:hint="default" w:ascii="仿宋_GB2312" w:hAnsi="仿宋_GB2312" w:eastAsia="仿宋_GB2312" w:cs="仿宋_GB2312"/>
          <w:bCs/>
          <w:snapToGrid w:val="0"/>
          <w:color w:val="000000"/>
          <w:kern w:val="44"/>
          <w:sz w:val="32"/>
          <w:szCs w:val="32"/>
          <w:highlight w:val="none"/>
          <w:u w:val="none" w:color="auto"/>
          <w:lang w:val="en-US" w:eastAsia="en-US" w:bidi="ar-SA"/>
        </w:rPr>
      </w:pPr>
      <w:r>
        <w:rPr>
          <w:rFonts w:hint="default" w:ascii="仿宋_GB2312" w:hAnsi="仿宋_GB2312" w:eastAsia="仿宋_GB2312" w:cs="仿宋_GB2312"/>
          <w:bCs/>
          <w:snapToGrid w:val="0"/>
          <w:color w:val="000000"/>
          <w:kern w:val="44"/>
          <w:sz w:val="32"/>
          <w:szCs w:val="32"/>
          <w:highlight w:val="none"/>
          <w:u w:val="none" w:color="auto"/>
          <w:lang w:val="en-US" w:eastAsia="en-US" w:bidi="ar-SA"/>
        </w:rPr>
        <w:t>202</w:t>
      </w:r>
      <w:r>
        <w:rPr>
          <w:rFonts w:hint="eastAsia" w:ascii="仿宋_GB2312" w:hAnsi="仿宋_GB2312" w:eastAsia="仿宋_GB2312" w:cs="仿宋_GB2312"/>
          <w:bCs/>
          <w:snapToGrid w:val="0"/>
          <w:color w:val="000000"/>
          <w:kern w:val="44"/>
          <w:sz w:val="32"/>
          <w:szCs w:val="32"/>
          <w:highlight w:val="none"/>
          <w:u w:val="none" w:color="auto"/>
          <w:lang w:val="en-US" w:eastAsia="zh-CN" w:bidi="ar-SA"/>
        </w:rPr>
        <w:t>4</w:t>
      </w:r>
      <w:r>
        <w:rPr>
          <w:rFonts w:hint="default" w:ascii="仿宋_GB2312" w:hAnsi="仿宋_GB2312" w:eastAsia="仿宋_GB2312" w:cs="仿宋_GB2312"/>
          <w:bCs/>
          <w:snapToGrid w:val="0"/>
          <w:color w:val="000000"/>
          <w:kern w:val="44"/>
          <w:sz w:val="32"/>
          <w:szCs w:val="32"/>
          <w:highlight w:val="none"/>
          <w:u w:val="none" w:color="auto"/>
          <w:lang w:val="en-US" w:eastAsia="en-US" w:bidi="ar-SA"/>
        </w:rPr>
        <w:t>年度收、支总计</w:t>
      </w:r>
      <w:r>
        <w:rPr>
          <w:rFonts w:hint="eastAsia" w:ascii="仿宋_GB2312" w:hAnsi="仿宋_GB2312" w:eastAsia="仿宋_GB2312" w:cs="仿宋_GB2312"/>
          <w:bCs/>
          <w:snapToGrid w:val="0"/>
          <w:color w:val="000000"/>
          <w:kern w:val="44"/>
          <w:sz w:val="32"/>
          <w:szCs w:val="32"/>
          <w:highlight w:val="none"/>
          <w:u w:val="none" w:color="auto"/>
          <w:lang w:val="en-US" w:eastAsia="zh-CN" w:bidi="ar-SA"/>
        </w:rPr>
        <w:t>2742.94</w:t>
      </w:r>
      <w:r>
        <w:rPr>
          <w:rFonts w:hint="default" w:ascii="仿宋_GB2312" w:hAnsi="仿宋_GB2312" w:eastAsia="仿宋_GB2312" w:cs="仿宋_GB2312"/>
          <w:bCs/>
          <w:snapToGrid w:val="0"/>
          <w:color w:val="000000"/>
          <w:kern w:val="44"/>
          <w:sz w:val="32"/>
          <w:szCs w:val="32"/>
          <w:highlight w:val="none"/>
          <w:u w:val="none" w:color="auto"/>
          <w:lang w:val="en-US" w:eastAsia="en-US" w:bidi="ar-SA"/>
        </w:rPr>
        <w:t>万元。与</w:t>
      </w:r>
      <w:r>
        <w:rPr>
          <w:rFonts w:hint="eastAsia" w:ascii="仿宋_GB2312" w:hAnsi="仿宋_GB2312" w:eastAsia="仿宋_GB2312" w:cs="仿宋_GB2312"/>
          <w:bCs/>
          <w:snapToGrid w:val="0"/>
          <w:color w:val="000000"/>
          <w:kern w:val="44"/>
          <w:sz w:val="32"/>
          <w:szCs w:val="32"/>
          <w:highlight w:val="none"/>
          <w:u w:val="none" w:color="auto"/>
          <w:lang w:val="en-US" w:eastAsia="zh-CN" w:bidi="ar-SA"/>
        </w:rPr>
        <w:t>2024</w:t>
      </w:r>
      <w:r>
        <w:rPr>
          <w:rFonts w:hint="default" w:ascii="仿宋_GB2312" w:hAnsi="仿宋_GB2312" w:eastAsia="仿宋_GB2312" w:cs="仿宋_GB2312"/>
          <w:bCs/>
          <w:snapToGrid w:val="0"/>
          <w:color w:val="000000"/>
          <w:kern w:val="44"/>
          <w:sz w:val="32"/>
          <w:szCs w:val="32"/>
          <w:highlight w:val="none"/>
          <w:u w:val="none" w:color="auto"/>
          <w:lang w:val="en-US" w:eastAsia="en-US" w:bidi="ar-SA"/>
        </w:rPr>
        <w:t>年度相比，收、支总计各增加</w:t>
      </w:r>
      <w:r>
        <w:rPr>
          <w:rFonts w:hint="eastAsia" w:ascii="仿宋_GB2312" w:hAnsi="仿宋_GB2312" w:eastAsia="仿宋_GB2312" w:cs="仿宋_GB2312"/>
          <w:bCs/>
          <w:snapToGrid w:val="0"/>
          <w:color w:val="000000"/>
          <w:kern w:val="44"/>
          <w:sz w:val="32"/>
          <w:szCs w:val="32"/>
          <w:highlight w:val="none"/>
          <w:u w:val="none" w:color="auto"/>
          <w:lang w:val="en-US" w:eastAsia="zh-CN" w:bidi="ar-SA"/>
        </w:rPr>
        <w:t>129.86</w:t>
      </w:r>
      <w:r>
        <w:rPr>
          <w:rFonts w:hint="default" w:ascii="仿宋_GB2312" w:hAnsi="仿宋_GB2312" w:eastAsia="仿宋_GB2312" w:cs="仿宋_GB2312"/>
          <w:bCs/>
          <w:snapToGrid w:val="0"/>
          <w:color w:val="000000"/>
          <w:kern w:val="44"/>
          <w:sz w:val="32"/>
          <w:szCs w:val="32"/>
          <w:highlight w:val="none"/>
          <w:u w:val="none" w:color="auto"/>
          <w:lang w:val="en-US" w:eastAsia="en-US" w:bidi="ar-SA"/>
        </w:rPr>
        <w:t>万元，增长</w:t>
      </w:r>
      <w:r>
        <w:rPr>
          <w:rFonts w:hint="eastAsia" w:ascii="仿宋_GB2312" w:hAnsi="仿宋_GB2312" w:eastAsia="仿宋_GB2312" w:cs="仿宋_GB2312"/>
          <w:bCs/>
          <w:snapToGrid w:val="0"/>
          <w:color w:val="000000"/>
          <w:kern w:val="44"/>
          <w:sz w:val="32"/>
          <w:szCs w:val="32"/>
          <w:highlight w:val="none"/>
          <w:u w:val="none" w:color="auto"/>
          <w:lang w:val="en-US" w:eastAsia="zh-CN" w:bidi="ar-SA"/>
        </w:rPr>
        <w:t>5.0</w:t>
      </w:r>
      <w:r>
        <w:rPr>
          <w:rFonts w:hint="default" w:ascii="仿宋_GB2312" w:hAnsi="仿宋_GB2312" w:eastAsia="仿宋_GB2312" w:cs="仿宋_GB2312"/>
          <w:bCs/>
          <w:snapToGrid w:val="0"/>
          <w:color w:val="000000"/>
          <w:kern w:val="44"/>
          <w:sz w:val="32"/>
          <w:szCs w:val="32"/>
          <w:highlight w:val="none"/>
          <w:u w:val="none" w:color="auto"/>
          <w:lang w:val="en-US" w:eastAsia="en-US" w:bidi="ar-SA"/>
        </w:rPr>
        <w:t>%，主要原因是</w:t>
      </w:r>
      <w:r>
        <w:rPr>
          <w:rFonts w:hint="eastAsia" w:ascii="仿宋_GB2312" w:hAnsi="仿宋_GB2312" w:eastAsia="仿宋_GB2312" w:cs="仿宋_GB2312"/>
          <w:bCs/>
          <w:snapToGrid w:val="0"/>
          <w:color w:val="000000"/>
          <w:kern w:val="44"/>
          <w:sz w:val="32"/>
          <w:szCs w:val="32"/>
          <w:highlight w:val="none"/>
          <w:u w:val="none" w:color="auto"/>
          <w:lang w:val="en-US" w:eastAsia="zh-CN" w:bidi="ar-SA"/>
        </w:rPr>
        <w:t>学生人数、教师人数增长</w:t>
      </w:r>
      <w:r>
        <w:rPr>
          <w:rFonts w:hint="default" w:ascii="仿宋_GB2312" w:hAnsi="仿宋_GB2312" w:eastAsia="仿宋_GB2312" w:cs="仿宋_GB2312"/>
          <w:bCs/>
          <w:snapToGrid w:val="0"/>
          <w:color w:val="000000"/>
          <w:kern w:val="44"/>
          <w:sz w:val="32"/>
          <w:szCs w:val="32"/>
          <w:highlight w:val="none"/>
          <w:u w:val="none" w:color="auto"/>
          <w:lang w:val="en-US" w:eastAsia="en-US" w:bidi="ar-SA"/>
        </w:rPr>
        <w:t>。</w:t>
      </w:r>
    </w:p>
    <w:p w14:paraId="391CB3CA">
      <w:pPr>
        <w:pStyle w:val="2"/>
        <w:spacing w:before="74" w:line="224" w:lineRule="auto"/>
        <w:jc w:val="center"/>
        <w:rPr>
          <w:rFonts w:hint="default" w:ascii="Times New Roman" w:hAnsi="Times New Roman" w:eastAsia="楷体_GB2312" w:cs="Times New Roman"/>
          <w:spacing w:val="3"/>
          <w:sz w:val="32"/>
          <w:szCs w:val="32"/>
          <w:u w:val="none" w:color="auto"/>
        </w:rPr>
      </w:pPr>
    </w:p>
    <w:p w14:paraId="580FDCB5">
      <w:pPr>
        <w:pStyle w:val="2"/>
        <w:spacing w:before="74" w:line="224" w:lineRule="auto"/>
        <w:jc w:val="center"/>
        <w:rPr>
          <w:rFonts w:hint="default" w:ascii="Times New Roman" w:hAnsi="Times New Roman" w:eastAsia="楷体_GB2312" w:cs="Times New Roman"/>
          <w:spacing w:val="3"/>
          <w:sz w:val="32"/>
          <w:szCs w:val="32"/>
          <w:u w:val="none" w:color="auto"/>
        </w:rPr>
      </w:pPr>
      <w:r>
        <w:rPr>
          <w:rFonts w:hint="default" w:ascii="Times New Roman" w:hAnsi="Times New Roman" w:eastAsia="楷体_GB2312" w:cs="Times New Roman"/>
          <w:spacing w:val="3"/>
          <w:sz w:val="32"/>
          <w:szCs w:val="32"/>
          <w:u w:val="none" w:color="auto"/>
        </w:rPr>
        <w:t>图1：收、支决算总计变动情况</w:t>
      </w:r>
    </w:p>
    <w:p w14:paraId="00F197A9">
      <w:pPr>
        <w:pStyle w:val="2"/>
        <w:spacing w:before="74" w:line="224" w:lineRule="auto"/>
        <w:jc w:val="center"/>
        <w:rPr>
          <w:rFonts w:hint="default" w:ascii="Times New Roman" w:hAnsi="Times New Roman" w:eastAsia="楷体_GB2312" w:cs="Times New Roman"/>
          <w:spacing w:val="3"/>
          <w:sz w:val="32"/>
          <w:szCs w:val="32"/>
          <w:u w:val="none" w:color="auto"/>
        </w:rPr>
      </w:pPr>
    </w:p>
    <w:p w14:paraId="68A6491A">
      <w:pPr>
        <w:pStyle w:val="2"/>
        <w:spacing w:before="74" w:line="224" w:lineRule="auto"/>
        <w:jc w:val="center"/>
        <w:rPr>
          <w:rFonts w:hint="eastAsia" w:ascii="Times New Roman" w:hAnsi="Times New Roman" w:eastAsia="楷体_GB2312" w:cs="Times New Roman"/>
          <w:spacing w:val="3"/>
          <w:sz w:val="32"/>
          <w:szCs w:val="32"/>
          <w:u w:val="none" w:color="auto"/>
          <w:lang w:val="en-US" w:eastAsia="zh-CN"/>
        </w:rPr>
      </w:pPr>
    </w:p>
    <w:p w14:paraId="2D66CE30">
      <w:pPr>
        <w:spacing w:before="60" w:line="3586" w:lineRule="exact"/>
        <w:jc w:val="center"/>
        <w:rPr>
          <w:rFonts w:hint="default" w:ascii="Times New Roman" w:hAnsi="Times New Roman" w:cs="Times New Roman"/>
          <w:u w:val="none" w:color="auto"/>
        </w:rPr>
      </w:pPr>
      <w:r>
        <w:drawing>
          <wp:inline distT="0" distB="0" distL="114300" distR="114300">
            <wp:extent cx="4572000" cy="3000375"/>
            <wp:effectExtent l="4445" t="4445" r="10795" b="12700"/>
            <wp:docPr id="103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F3A439C">
      <w:pPr>
        <w:spacing w:before="294" w:line="222" w:lineRule="auto"/>
        <w:ind w:left="643"/>
        <w:rPr>
          <w:rFonts w:hint="default" w:ascii="Times New Roman" w:hAnsi="Times New Roman" w:eastAsia="黑体" w:cs="Times New Roman"/>
          <w:sz w:val="32"/>
          <w:szCs w:val="32"/>
          <w:u w:val="none" w:color="auto"/>
        </w:rPr>
      </w:pPr>
      <w:r>
        <w:rPr>
          <w:rFonts w:hint="default" w:ascii="Times New Roman" w:hAnsi="Times New Roman" w:eastAsia="黑体" w:cs="Times New Roman"/>
          <w:spacing w:val="-2"/>
          <w:sz w:val="32"/>
          <w:szCs w:val="32"/>
          <w:u w:val="none" w:color="auto"/>
        </w:rPr>
        <w:t>二、收入决算情况说明</w:t>
      </w:r>
    </w:p>
    <w:p w14:paraId="07B5A3FA">
      <w:pPr>
        <w:pageBreakBefore w:val="0"/>
        <w:widowControl w:val="0"/>
        <w:kinsoku/>
        <w:wordWrap/>
        <w:overflowPunct/>
        <w:topLinePunct w:val="0"/>
        <w:bidi w:val="0"/>
        <w:spacing w:line="600" w:lineRule="exact"/>
        <w:ind w:firstLine="640" w:firstLineChars="200"/>
        <w:textAlignment w:val="auto"/>
        <w:rPr>
          <w:rFonts w:hint="eastAsia" w:ascii="仿宋_GB2312" w:hAnsi="仿宋_GB2312" w:eastAsia="仿宋_GB2312" w:cs="仿宋_GB2312"/>
          <w:bCs/>
          <w:kern w:val="44"/>
          <w:sz w:val="32"/>
          <w:szCs w:val="32"/>
          <w:highlight w:val="none"/>
          <w:u w:val="none" w:color="auto"/>
        </w:rPr>
      </w:pPr>
      <w:r>
        <w:rPr>
          <w:rFonts w:hint="eastAsia" w:ascii="仿宋_GB2312" w:hAnsi="仿宋_GB2312" w:eastAsia="仿宋_GB2312" w:cs="仿宋_GB2312"/>
          <w:bCs/>
          <w:kern w:val="44"/>
          <w:sz w:val="32"/>
          <w:szCs w:val="32"/>
          <w:highlight w:val="none"/>
          <w:u w:val="none" w:color="auto"/>
        </w:rPr>
        <w:t>20</w:t>
      </w:r>
      <w:r>
        <w:rPr>
          <w:rFonts w:hint="eastAsia" w:ascii="仿宋_GB2312" w:hAnsi="仿宋_GB2312" w:eastAsia="仿宋_GB2312" w:cs="仿宋_GB2312"/>
          <w:bCs/>
          <w:kern w:val="44"/>
          <w:sz w:val="32"/>
          <w:szCs w:val="32"/>
          <w:highlight w:val="none"/>
          <w:u w:val="none" w:color="auto"/>
          <w:lang w:val="en-US" w:eastAsia="zh-CN"/>
        </w:rPr>
        <w:t>24</w:t>
      </w:r>
      <w:r>
        <w:rPr>
          <w:rFonts w:hint="eastAsia" w:ascii="仿宋_GB2312" w:hAnsi="仿宋_GB2312" w:eastAsia="仿宋_GB2312" w:cs="仿宋_GB2312"/>
          <w:bCs/>
          <w:kern w:val="44"/>
          <w:sz w:val="32"/>
          <w:szCs w:val="32"/>
          <w:highlight w:val="none"/>
          <w:u w:val="none" w:color="auto"/>
        </w:rPr>
        <w:t>年度收入合计</w:t>
      </w:r>
      <w:r>
        <w:rPr>
          <w:rFonts w:hint="eastAsia" w:ascii="仿宋_GB2312" w:hAnsi="仿宋_GB2312" w:eastAsia="仿宋_GB2312" w:cs="仿宋_GB2312"/>
          <w:bCs/>
          <w:kern w:val="44"/>
          <w:sz w:val="32"/>
          <w:szCs w:val="32"/>
          <w:highlight w:val="none"/>
          <w:u w:val="none" w:color="auto"/>
          <w:lang w:val="en-US" w:eastAsia="zh-CN"/>
        </w:rPr>
        <w:t>2719.58</w:t>
      </w:r>
      <w:r>
        <w:rPr>
          <w:rFonts w:hint="eastAsia" w:ascii="仿宋_GB2312" w:hAnsi="仿宋_GB2312" w:eastAsia="仿宋_GB2312" w:cs="仿宋_GB2312"/>
          <w:bCs/>
          <w:kern w:val="44"/>
          <w:sz w:val="32"/>
          <w:szCs w:val="32"/>
          <w:highlight w:val="none"/>
          <w:u w:val="none" w:color="auto"/>
        </w:rPr>
        <w:t>万元</w:t>
      </w:r>
      <w:r>
        <w:rPr>
          <w:rFonts w:hint="eastAsia" w:ascii="仿宋_GB2312" w:hAnsi="仿宋_GB2312" w:eastAsia="仿宋_GB2312" w:cs="仿宋_GB2312"/>
          <w:bCs/>
          <w:kern w:val="44"/>
          <w:sz w:val="32"/>
          <w:szCs w:val="32"/>
          <w:highlight w:val="none"/>
          <w:u w:val="none" w:color="auto"/>
          <w:lang w:eastAsia="zh-CN"/>
        </w:rPr>
        <w:t>，</w:t>
      </w:r>
      <w:r>
        <w:rPr>
          <w:rFonts w:hint="eastAsia" w:ascii="仿宋_GB2312" w:hAnsi="仿宋_GB2312" w:eastAsia="仿宋_GB2312" w:cs="仿宋_GB2312"/>
          <w:bCs/>
          <w:sz w:val="32"/>
          <w:szCs w:val="32"/>
          <w:highlight w:val="none"/>
          <w:u w:val="none" w:color="auto"/>
          <w:lang w:val="en-US" w:eastAsia="zh-CN"/>
        </w:rPr>
        <w:t>与2024年度相比，收入合计增加125.22万元，增长4.8%，主要原因是</w:t>
      </w:r>
      <w:r>
        <w:rPr>
          <w:rFonts w:hint="eastAsia" w:ascii="仿宋_GB2312" w:hAnsi="仿宋_GB2312" w:eastAsia="仿宋_GB2312" w:cs="仿宋_GB2312"/>
          <w:bCs/>
          <w:snapToGrid w:val="0"/>
          <w:color w:val="000000"/>
          <w:kern w:val="44"/>
          <w:sz w:val="32"/>
          <w:szCs w:val="32"/>
          <w:highlight w:val="none"/>
          <w:u w:val="none" w:color="auto"/>
          <w:lang w:val="en-US" w:eastAsia="zh-CN" w:bidi="ar-SA"/>
        </w:rPr>
        <w:t>学生人数、教师人数增长</w:t>
      </w:r>
      <w:r>
        <w:rPr>
          <w:rFonts w:hint="eastAsia" w:ascii="仿宋_GB2312" w:hAnsi="仿宋_GB2312" w:eastAsia="仿宋_GB2312" w:cs="仿宋_GB2312"/>
          <w:bCs/>
          <w:sz w:val="32"/>
          <w:szCs w:val="32"/>
          <w:highlight w:val="none"/>
          <w:u w:val="none" w:color="auto"/>
          <w:lang w:val="en-US" w:eastAsia="zh-CN"/>
        </w:rPr>
        <w:t>。</w:t>
      </w:r>
      <w:r>
        <w:rPr>
          <w:rFonts w:hint="eastAsia" w:ascii="仿宋_GB2312" w:hAnsi="仿宋_GB2312" w:eastAsia="仿宋_GB2312" w:cs="仿宋_GB2312"/>
          <w:bCs/>
          <w:kern w:val="44"/>
          <w:sz w:val="32"/>
          <w:szCs w:val="32"/>
          <w:highlight w:val="none"/>
          <w:u w:val="none" w:color="auto"/>
        </w:rPr>
        <w:t>其中：财政拨款收入</w:t>
      </w:r>
      <w:r>
        <w:rPr>
          <w:rFonts w:hint="eastAsia" w:ascii="仿宋_GB2312" w:hAnsi="仿宋_GB2312" w:eastAsia="仿宋_GB2312" w:cs="仿宋_GB2312"/>
          <w:bCs/>
          <w:kern w:val="44"/>
          <w:sz w:val="32"/>
          <w:szCs w:val="32"/>
          <w:highlight w:val="none"/>
          <w:u w:val="none" w:color="auto"/>
          <w:lang w:val="en-US" w:eastAsia="zh-CN"/>
        </w:rPr>
        <w:t>2647.60</w:t>
      </w:r>
      <w:r>
        <w:rPr>
          <w:rFonts w:hint="eastAsia" w:ascii="仿宋_GB2312" w:hAnsi="仿宋_GB2312" w:eastAsia="仿宋_GB2312" w:cs="仿宋_GB2312"/>
          <w:bCs/>
          <w:kern w:val="44"/>
          <w:sz w:val="32"/>
          <w:szCs w:val="32"/>
          <w:highlight w:val="none"/>
          <w:u w:val="none" w:color="auto"/>
        </w:rPr>
        <w:t>万元，占本年收入</w:t>
      </w:r>
      <w:r>
        <w:rPr>
          <w:rFonts w:hint="eastAsia" w:ascii="仿宋_GB2312" w:hAnsi="仿宋_GB2312" w:eastAsia="仿宋_GB2312" w:cs="仿宋_GB2312"/>
          <w:bCs/>
          <w:kern w:val="44"/>
          <w:sz w:val="32"/>
          <w:szCs w:val="32"/>
          <w:highlight w:val="none"/>
          <w:u w:val="none" w:color="auto"/>
          <w:lang w:val="en-US" w:eastAsia="zh-CN"/>
        </w:rPr>
        <w:t>97.4</w:t>
      </w:r>
      <w:r>
        <w:rPr>
          <w:rFonts w:hint="eastAsia" w:ascii="仿宋_GB2312" w:hAnsi="仿宋_GB2312" w:eastAsia="仿宋_GB2312" w:cs="仿宋_GB2312"/>
          <w:bCs/>
          <w:kern w:val="44"/>
          <w:sz w:val="32"/>
          <w:szCs w:val="32"/>
          <w:highlight w:val="none"/>
          <w:u w:val="none" w:color="auto"/>
        </w:rPr>
        <w:t>%；其他收入</w:t>
      </w:r>
      <w:r>
        <w:rPr>
          <w:rFonts w:hint="eastAsia" w:ascii="仿宋_GB2312" w:hAnsi="仿宋_GB2312" w:eastAsia="仿宋_GB2312" w:cs="仿宋_GB2312"/>
          <w:bCs/>
          <w:kern w:val="44"/>
          <w:sz w:val="32"/>
          <w:szCs w:val="32"/>
          <w:highlight w:val="none"/>
          <w:u w:val="none" w:color="auto"/>
          <w:lang w:val="en-US" w:eastAsia="zh-CN"/>
        </w:rPr>
        <w:t>71.98</w:t>
      </w:r>
      <w:r>
        <w:rPr>
          <w:rFonts w:hint="eastAsia" w:ascii="仿宋_GB2312" w:hAnsi="仿宋_GB2312" w:eastAsia="仿宋_GB2312" w:cs="仿宋_GB2312"/>
          <w:bCs/>
          <w:kern w:val="44"/>
          <w:sz w:val="32"/>
          <w:szCs w:val="32"/>
          <w:highlight w:val="none"/>
          <w:u w:val="none" w:color="auto"/>
        </w:rPr>
        <w:t>万元，占本年收入</w:t>
      </w:r>
      <w:r>
        <w:rPr>
          <w:rFonts w:hint="eastAsia" w:ascii="仿宋_GB2312" w:hAnsi="仿宋_GB2312" w:eastAsia="仿宋_GB2312" w:cs="仿宋_GB2312"/>
          <w:bCs/>
          <w:kern w:val="44"/>
          <w:sz w:val="32"/>
          <w:szCs w:val="32"/>
          <w:highlight w:val="none"/>
          <w:u w:val="none" w:color="auto"/>
          <w:lang w:val="en-US" w:eastAsia="zh-CN"/>
        </w:rPr>
        <w:t>2.6</w:t>
      </w:r>
      <w:r>
        <w:rPr>
          <w:rFonts w:hint="eastAsia" w:ascii="仿宋_GB2312" w:hAnsi="仿宋_GB2312" w:eastAsia="仿宋_GB2312" w:cs="仿宋_GB2312"/>
          <w:bCs/>
          <w:kern w:val="44"/>
          <w:sz w:val="32"/>
          <w:szCs w:val="32"/>
          <w:highlight w:val="none"/>
          <w:u w:val="none" w:color="auto"/>
        </w:rPr>
        <w:t>%。</w:t>
      </w:r>
    </w:p>
    <w:p w14:paraId="73B15FD2">
      <w:pPr>
        <w:pStyle w:val="2"/>
        <w:keepNext w:val="0"/>
        <w:keepLines w:val="0"/>
        <w:pageBreakBefore w:val="0"/>
        <w:widowControl/>
        <w:kinsoku w:val="0"/>
        <w:wordWrap/>
        <w:overflowPunct/>
        <w:topLinePunct w:val="0"/>
        <w:autoSpaceDE w:val="0"/>
        <w:autoSpaceDN w:val="0"/>
        <w:bidi w:val="0"/>
        <w:adjustRightInd w:val="0"/>
        <w:snapToGrid w:val="0"/>
        <w:spacing w:line="580" w:lineRule="exact"/>
        <w:jc w:val="center"/>
        <w:textAlignment w:val="baseline"/>
        <w:rPr>
          <w:rFonts w:hint="default" w:ascii="Times New Roman" w:hAnsi="Times New Roman" w:eastAsia="楷体_GB2312" w:cs="Times New Roman"/>
          <w:spacing w:val="3"/>
          <w:sz w:val="32"/>
          <w:szCs w:val="32"/>
          <w:u w:val="none" w:color="auto"/>
        </w:rPr>
      </w:pPr>
      <w:r>
        <w:rPr>
          <w:rFonts w:hint="default" w:ascii="Times New Roman" w:hAnsi="Times New Roman" w:eastAsia="楷体_GB2312" w:cs="Times New Roman"/>
          <w:spacing w:val="3"/>
          <w:sz w:val="32"/>
          <w:szCs w:val="32"/>
          <w:u w:val="none" w:color="auto"/>
        </w:rPr>
        <w:t>图2：收入决算结构</w:t>
      </w:r>
    </w:p>
    <w:p w14:paraId="5789A810">
      <w:pPr>
        <w:pStyle w:val="2"/>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楷体_GB2312" w:cs="Times New Roman"/>
          <w:spacing w:val="3"/>
          <w:sz w:val="32"/>
          <w:szCs w:val="32"/>
          <w:u w:val="none" w:color="auto"/>
          <w:lang w:eastAsia="zh-CN"/>
        </w:rPr>
      </w:pPr>
      <w:r>
        <w:rPr>
          <w:rFonts w:hint="eastAsia" w:ascii="Times New Roman" w:hAnsi="Times New Roman" w:eastAsia="楷体_GB2312" w:cs="Times New Roman"/>
          <w:spacing w:val="3"/>
          <w:sz w:val="32"/>
          <w:szCs w:val="32"/>
          <w:u w:val="none" w:color="auto"/>
          <w:lang w:eastAsia="zh-CN"/>
        </w:rPr>
        <w:drawing>
          <wp:inline distT="0" distB="0" distL="114300" distR="114300">
            <wp:extent cx="4438650" cy="2520315"/>
            <wp:effectExtent l="0" t="0" r="11430" b="9525"/>
            <wp:docPr id="3" name="图片 3"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1"/>
                    <pic:cNvPicPr>
                      <a:picLocks noChangeAspect="1"/>
                    </pic:cNvPicPr>
                  </pic:nvPicPr>
                  <pic:blipFill>
                    <a:blip r:embed="rId8"/>
                    <a:stretch>
                      <a:fillRect/>
                    </a:stretch>
                  </pic:blipFill>
                  <pic:spPr>
                    <a:xfrm>
                      <a:off x="0" y="0"/>
                      <a:ext cx="4438650" cy="2520315"/>
                    </a:xfrm>
                    <a:prstGeom prst="rect">
                      <a:avLst/>
                    </a:prstGeom>
                  </pic:spPr>
                </pic:pic>
              </a:graphicData>
            </a:graphic>
          </wp:inline>
        </w:drawing>
      </w:r>
    </w:p>
    <w:p w14:paraId="693C6002">
      <w:pPr>
        <w:pageBreakBefore w:val="0"/>
        <w:widowControl w:val="0"/>
        <w:kinsoku/>
        <w:wordWrap/>
        <w:overflowPunct/>
        <w:topLinePunct w:val="0"/>
        <w:bidi w:val="0"/>
        <w:spacing w:line="600" w:lineRule="exact"/>
        <w:ind w:firstLine="632" w:firstLineChars="200"/>
        <w:textAlignment w:val="auto"/>
        <w:rPr>
          <w:rFonts w:hint="default" w:ascii="Times New Roman" w:hAnsi="Times New Roman" w:eastAsia="黑体" w:cs="Times New Roman"/>
          <w:sz w:val="32"/>
          <w:szCs w:val="32"/>
          <w:u w:val="none" w:color="auto"/>
        </w:rPr>
      </w:pPr>
      <w:r>
        <w:rPr>
          <w:rFonts w:hint="default" w:ascii="Times New Roman" w:hAnsi="Times New Roman" w:eastAsia="黑体" w:cs="Times New Roman"/>
          <w:spacing w:val="-2"/>
          <w:sz w:val="32"/>
          <w:szCs w:val="32"/>
          <w:u w:val="none" w:color="auto"/>
        </w:rPr>
        <w:t>三、支出决算情况说明</w:t>
      </w:r>
    </w:p>
    <w:p w14:paraId="26BF0709">
      <w:pPr>
        <w:pageBreakBefore w:val="0"/>
        <w:widowControl w:val="0"/>
        <w:kinsoku/>
        <w:wordWrap/>
        <w:overflowPunct/>
        <w:topLinePunct w:val="0"/>
        <w:bidi w:val="0"/>
        <w:spacing w:line="600" w:lineRule="exact"/>
        <w:ind w:firstLine="640" w:firstLineChars="200"/>
        <w:textAlignment w:val="auto"/>
        <w:rPr>
          <w:rFonts w:hint="default" w:ascii="Times New Roman" w:hAnsi="Times New Roman" w:eastAsia="仿宋_GB2312" w:cs="Times New Roman"/>
          <w:spacing w:val="0"/>
          <w:sz w:val="32"/>
          <w:u w:val="none" w:color="auto"/>
        </w:rPr>
      </w:pPr>
      <w:r>
        <w:rPr>
          <w:rFonts w:hint="eastAsia" w:ascii="仿宋_GB2312" w:hAnsi="仿宋_GB2312" w:eastAsia="仿宋_GB2312" w:cs="仿宋_GB2312"/>
          <w:bCs/>
          <w:kern w:val="44"/>
          <w:sz w:val="32"/>
          <w:szCs w:val="32"/>
          <w:highlight w:val="none"/>
          <w:u w:val="none" w:color="auto"/>
        </w:rPr>
        <w:t>20</w:t>
      </w:r>
      <w:r>
        <w:rPr>
          <w:rFonts w:hint="eastAsia" w:ascii="仿宋_GB2312" w:hAnsi="仿宋_GB2312" w:eastAsia="仿宋_GB2312" w:cs="仿宋_GB2312"/>
          <w:bCs/>
          <w:kern w:val="44"/>
          <w:sz w:val="32"/>
          <w:szCs w:val="32"/>
          <w:highlight w:val="none"/>
          <w:u w:val="none" w:color="auto"/>
          <w:lang w:val="en-US" w:eastAsia="zh-CN"/>
        </w:rPr>
        <w:t>24</w:t>
      </w:r>
      <w:r>
        <w:rPr>
          <w:rFonts w:hint="eastAsia" w:ascii="仿宋_GB2312" w:hAnsi="仿宋_GB2312" w:eastAsia="仿宋_GB2312" w:cs="仿宋_GB2312"/>
          <w:bCs/>
          <w:kern w:val="44"/>
          <w:sz w:val="32"/>
          <w:szCs w:val="32"/>
          <w:highlight w:val="none"/>
          <w:u w:val="none" w:color="auto"/>
        </w:rPr>
        <w:t>年度支出合计</w:t>
      </w:r>
      <w:r>
        <w:rPr>
          <w:rFonts w:hint="eastAsia" w:ascii="仿宋_GB2312" w:hAnsi="仿宋_GB2312" w:eastAsia="仿宋_GB2312" w:cs="仿宋_GB2312"/>
          <w:bCs/>
          <w:kern w:val="44"/>
          <w:sz w:val="32"/>
          <w:szCs w:val="32"/>
          <w:highlight w:val="none"/>
          <w:u w:val="none" w:color="auto"/>
          <w:lang w:val="en-US" w:eastAsia="zh-CN"/>
        </w:rPr>
        <w:t>2742.94</w:t>
      </w:r>
      <w:r>
        <w:rPr>
          <w:rFonts w:hint="eastAsia" w:ascii="仿宋_GB2312" w:hAnsi="仿宋_GB2312" w:eastAsia="仿宋_GB2312" w:cs="仿宋_GB2312"/>
          <w:bCs/>
          <w:kern w:val="44"/>
          <w:sz w:val="32"/>
          <w:szCs w:val="32"/>
          <w:highlight w:val="none"/>
          <w:u w:val="none" w:color="auto"/>
        </w:rPr>
        <w:t>万元</w:t>
      </w:r>
      <w:r>
        <w:rPr>
          <w:rFonts w:hint="eastAsia" w:ascii="仿宋_GB2312" w:hAnsi="仿宋_GB2312" w:eastAsia="仿宋_GB2312" w:cs="仿宋_GB2312"/>
          <w:bCs/>
          <w:kern w:val="44"/>
          <w:sz w:val="32"/>
          <w:szCs w:val="32"/>
          <w:highlight w:val="none"/>
          <w:u w:val="none" w:color="auto"/>
          <w:lang w:eastAsia="zh-CN"/>
        </w:rPr>
        <w:t>，</w:t>
      </w:r>
      <w:r>
        <w:rPr>
          <w:rFonts w:hint="eastAsia" w:ascii="仿宋_GB2312" w:hAnsi="仿宋_GB2312" w:eastAsia="仿宋_GB2312" w:cs="仿宋_GB2312"/>
          <w:sz w:val="32"/>
          <w:szCs w:val="32"/>
          <w:u w:val="none" w:color="auto"/>
          <w:lang w:val="en-US" w:eastAsia="zh-CN"/>
        </w:rPr>
        <w:t>与2024年度相比，支出合计增加153.22万元，增长5.9%，主要原因是学生人数、教师人数增长。</w:t>
      </w:r>
      <w:r>
        <w:rPr>
          <w:rFonts w:hint="eastAsia" w:ascii="仿宋_GB2312" w:hAnsi="仿宋_GB2312" w:eastAsia="仿宋_GB2312" w:cs="仿宋_GB2312"/>
          <w:bCs/>
          <w:kern w:val="44"/>
          <w:sz w:val="32"/>
          <w:szCs w:val="32"/>
          <w:highlight w:val="none"/>
          <w:u w:val="none" w:color="auto"/>
        </w:rPr>
        <w:t>其中：基本支出</w:t>
      </w:r>
      <w:r>
        <w:rPr>
          <w:rFonts w:hint="eastAsia" w:ascii="仿宋_GB2312" w:hAnsi="仿宋_GB2312" w:eastAsia="仿宋_GB2312" w:cs="仿宋_GB2312"/>
          <w:bCs/>
          <w:kern w:val="44"/>
          <w:sz w:val="32"/>
          <w:szCs w:val="32"/>
          <w:highlight w:val="none"/>
          <w:u w:val="none" w:color="auto"/>
          <w:lang w:val="en-US" w:eastAsia="zh-CN"/>
        </w:rPr>
        <w:t>2665.88</w:t>
      </w:r>
      <w:r>
        <w:rPr>
          <w:rFonts w:hint="eastAsia" w:ascii="仿宋_GB2312" w:hAnsi="仿宋_GB2312" w:eastAsia="仿宋_GB2312" w:cs="仿宋_GB2312"/>
          <w:bCs/>
          <w:kern w:val="44"/>
          <w:sz w:val="32"/>
          <w:szCs w:val="32"/>
          <w:highlight w:val="none"/>
          <w:u w:val="none" w:color="auto"/>
        </w:rPr>
        <w:t>万元，占本年支出</w:t>
      </w:r>
      <w:r>
        <w:rPr>
          <w:rFonts w:hint="eastAsia" w:ascii="仿宋_GB2312" w:hAnsi="仿宋_GB2312" w:eastAsia="仿宋_GB2312" w:cs="仿宋_GB2312"/>
          <w:bCs/>
          <w:kern w:val="44"/>
          <w:sz w:val="32"/>
          <w:szCs w:val="32"/>
          <w:highlight w:val="none"/>
          <w:u w:val="none" w:color="auto"/>
          <w:lang w:val="en-US" w:eastAsia="zh-CN"/>
        </w:rPr>
        <w:t>97.2</w:t>
      </w:r>
      <w:r>
        <w:rPr>
          <w:rFonts w:hint="eastAsia" w:ascii="仿宋_GB2312" w:hAnsi="仿宋_GB2312" w:eastAsia="仿宋_GB2312" w:cs="仿宋_GB2312"/>
          <w:bCs/>
          <w:kern w:val="44"/>
          <w:sz w:val="32"/>
          <w:szCs w:val="32"/>
          <w:highlight w:val="none"/>
          <w:u w:val="none" w:color="auto"/>
        </w:rPr>
        <w:t>%；项目支出</w:t>
      </w:r>
      <w:r>
        <w:rPr>
          <w:rFonts w:hint="eastAsia" w:ascii="仿宋_GB2312" w:hAnsi="仿宋_GB2312" w:eastAsia="仿宋_GB2312" w:cs="仿宋_GB2312"/>
          <w:bCs/>
          <w:kern w:val="44"/>
          <w:sz w:val="32"/>
          <w:szCs w:val="32"/>
          <w:highlight w:val="none"/>
          <w:u w:val="none" w:color="auto"/>
          <w:lang w:val="en-US" w:eastAsia="zh-CN"/>
        </w:rPr>
        <w:t>77.06</w:t>
      </w:r>
      <w:r>
        <w:rPr>
          <w:rFonts w:hint="eastAsia" w:ascii="仿宋_GB2312" w:hAnsi="仿宋_GB2312" w:eastAsia="仿宋_GB2312" w:cs="仿宋_GB2312"/>
          <w:bCs/>
          <w:kern w:val="44"/>
          <w:sz w:val="32"/>
          <w:szCs w:val="32"/>
          <w:highlight w:val="none"/>
          <w:u w:val="none" w:color="auto"/>
        </w:rPr>
        <w:t>万元，占本年支出</w:t>
      </w:r>
      <w:r>
        <w:rPr>
          <w:rFonts w:hint="eastAsia" w:ascii="仿宋_GB2312" w:hAnsi="仿宋_GB2312" w:eastAsia="仿宋_GB2312" w:cs="仿宋_GB2312"/>
          <w:bCs/>
          <w:kern w:val="44"/>
          <w:sz w:val="32"/>
          <w:szCs w:val="32"/>
          <w:highlight w:val="none"/>
          <w:u w:val="none" w:color="auto"/>
          <w:lang w:val="en-US" w:eastAsia="zh-CN"/>
        </w:rPr>
        <w:t>2.8</w:t>
      </w:r>
      <w:r>
        <w:rPr>
          <w:rFonts w:hint="eastAsia" w:ascii="仿宋_GB2312" w:hAnsi="仿宋_GB2312" w:eastAsia="仿宋_GB2312" w:cs="仿宋_GB2312"/>
          <w:bCs/>
          <w:kern w:val="44"/>
          <w:sz w:val="32"/>
          <w:szCs w:val="32"/>
          <w:highlight w:val="none"/>
          <w:u w:val="none" w:color="auto"/>
        </w:rPr>
        <w:t>%。</w:t>
      </w:r>
    </w:p>
    <w:p w14:paraId="56D118B9">
      <w:pPr>
        <w:rPr>
          <w:rFonts w:hint="default" w:ascii="Times New Roman" w:hAnsi="Times New Roman" w:cs="Times New Roman"/>
          <w:u w:val="none" w:color="auto"/>
          <w:lang w:val="en-US" w:eastAsia="zh-CN"/>
        </w:rPr>
      </w:pPr>
    </w:p>
    <w:p w14:paraId="5C06E916">
      <w:pPr>
        <w:pStyle w:val="2"/>
        <w:keepNext w:val="0"/>
        <w:keepLines w:val="0"/>
        <w:pageBreakBefore w:val="0"/>
        <w:widowControl/>
        <w:kinsoku w:val="0"/>
        <w:wordWrap/>
        <w:overflowPunct/>
        <w:topLinePunct w:val="0"/>
        <w:autoSpaceDE w:val="0"/>
        <w:autoSpaceDN w:val="0"/>
        <w:bidi w:val="0"/>
        <w:adjustRightInd w:val="0"/>
        <w:snapToGrid w:val="0"/>
        <w:spacing w:line="580" w:lineRule="exact"/>
        <w:jc w:val="center"/>
        <w:textAlignment w:val="baseline"/>
        <w:rPr>
          <w:rFonts w:hint="default" w:ascii="Times New Roman" w:hAnsi="Times New Roman" w:eastAsia="楷体_GB2312" w:cs="Times New Roman"/>
          <w:spacing w:val="3"/>
          <w:sz w:val="32"/>
          <w:szCs w:val="32"/>
          <w:u w:val="none" w:color="auto"/>
        </w:rPr>
      </w:pPr>
      <w:r>
        <w:rPr>
          <w:rFonts w:hint="default" w:ascii="Times New Roman" w:hAnsi="Times New Roman" w:eastAsia="楷体_GB2312" w:cs="Times New Roman"/>
          <w:spacing w:val="3"/>
          <w:sz w:val="32"/>
          <w:szCs w:val="32"/>
          <w:u w:val="none" w:color="auto"/>
        </w:rPr>
        <w:t>图3：支出决算结构</w:t>
      </w:r>
    </w:p>
    <w:p w14:paraId="79F0398C">
      <w:pPr>
        <w:pStyle w:val="2"/>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楷体_GB2312" w:cs="Times New Roman"/>
          <w:spacing w:val="3"/>
          <w:sz w:val="32"/>
          <w:szCs w:val="32"/>
          <w:u w:val="none" w:color="auto"/>
          <w:lang w:eastAsia="zh-CN"/>
        </w:rPr>
      </w:pPr>
      <w:r>
        <w:rPr>
          <w:rFonts w:hint="eastAsia" w:ascii="Times New Roman" w:hAnsi="Times New Roman" w:eastAsia="楷体_GB2312" w:cs="Times New Roman"/>
          <w:spacing w:val="3"/>
          <w:sz w:val="32"/>
          <w:szCs w:val="32"/>
          <w:u w:val="none" w:color="auto"/>
          <w:lang w:eastAsia="zh-CN"/>
        </w:rPr>
        <w:drawing>
          <wp:inline distT="0" distB="0" distL="114300" distR="114300">
            <wp:extent cx="4438650" cy="2520315"/>
            <wp:effectExtent l="0" t="0" r="11430" b="9525"/>
            <wp:docPr id="4" name="图片 4"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2"/>
                    <pic:cNvPicPr>
                      <a:picLocks noChangeAspect="1"/>
                    </pic:cNvPicPr>
                  </pic:nvPicPr>
                  <pic:blipFill>
                    <a:blip r:embed="rId9"/>
                    <a:stretch>
                      <a:fillRect/>
                    </a:stretch>
                  </pic:blipFill>
                  <pic:spPr>
                    <a:xfrm>
                      <a:off x="0" y="0"/>
                      <a:ext cx="4438650" cy="2520315"/>
                    </a:xfrm>
                    <a:prstGeom prst="rect">
                      <a:avLst/>
                    </a:prstGeom>
                  </pic:spPr>
                </pic:pic>
              </a:graphicData>
            </a:graphic>
          </wp:inline>
        </w:drawing>
      </w:r>
    </w:p>
    <w:p w14:paraId="364B0319">
      <w:pPr>
        <w:rPr>
          <w:rFonts w:hint="default" w:ascii="Times New Roman" w:hAnsi="Times New Roman" w:cs="Times New Roman"/>
          <w:u w:val="none" w:color="auto"/>
        </w:rPr>
      </w:pPr>
    </w:p>
    <w:p w14:paraId="1F8B0465">
      <w:pPr>
        <w:keepNext w:val="0"/>
        <w:keepLines w:val="0"/>
        <w:pageBreakBefore w:val="0"/>
        <w:widowControl/>
        <w:kinsoku w:val="0"/>
        <w:wordWrap/>
        <w:overflowPunct/>
        <w:topLinePunct w:val="0"/>
        <w:autoSpaceDE w:val="0"/>
        <w:autoSpaceDN w:val="0"/>
        <w:bidi w:val="0"/>
        <w:adjustRightInd w:val="0"/>
        <w:snapToGrid w:val="0"/>
        <w:spacing w:line="580" w:lineRule="exact"/>
        <w:ind w:left="0" w:right="0" w:firstLine="632" w:firstLineChars="200"/>
        <w:textAlignment w:val="baseline"/>
        <w:rPr>
          <w:rFonts w:hint="default" w:ascii="Times New Roman" w:hAnsi="Times New Roman" w:eastAsia="黑体" w:cs="Times New Roman"/>
          <w:sz w:val="32"/>
          <w:szCs w:val="32"/>
          <w:u w:val="none" w:color="auto"/>
        </w:rPr>
      </w:pPr>
      <w:r>
        <w:rPr>
          <w:rFonts w:hint="default" w:ascii="Times New Roman" w:hAnsi="Times New Roman" w:eastAsia="黑体" w:cs="Times New Roman"/>
          <w:spacing w:val="-2"/>
          <w:sz w:val="32"/>
          <w:szCs w:val="32"/>
          <w:u w:val="none" w:color="auto"/>
        </w:rPr>
        <w:t>四、财政拨款收入支出决算总体情况说明</w:t>
      </w:r>
    </w:p>
    <w:p w14:paraId="02243375">
      <w:pPr>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bCs/>
          <w:kern w:val="44"/>
          <w:sz w:val="32"/>
          <w:szCs w:val="32"/>
          <w:highlight w:val="none"/>
          <w:u w:val="none" w:color="auto"/>
        </w:rPr>
      </w:pPr>
      <w:r>
        <w:rPr>
          <w:rFonts w:hint="eastAsia" w:ascii="仿宋_GB2312" w:hAnsi="仿宋_GB2312" w:eastAsia="仿宋_GB2312" w:cs="仿宋_GB2312"/>
          <w:bCs/>
          <w:kern w:val="44"/>
          <w:sz w:val="32"/>
          <w:szCs w:val="32"/>
          <w:highlight w:val="none"/>
          <w:u w:val="none" w:color="auto"/>
        </w:rPr>
        <w:t>20</w:t>
      </w:r>
      <w:r>
        <w:rPr>
          <w:rFonts w:hint="eastAsia" w:ascii="仿宋_GB2312" w:hAnsi="仿宋_GB2312" w:eastAsia="仿宋_GB2312" w:cs="仿宋_GB2312"/>
          <w:bCs/>
          <w:kern w:val="44"/>
          <w:sz w:val="32"/>
          <w:szCs w:val="32"/>
          <w:highlight w:val="none"/>
          <w:u w:val="none" w:color="auto"/>
          <w:lang w:val="en-US" w:eastAsia="zh-CN"/>
        </w:rPr>
        <w:t>24</w:t>
      </w:r>
      <w:r>
        <w:rPr>
          <w:rFonts w:hint="eastAsia" w:ascii="仿宋_GB2312" w:hAnsi="仿宋_GB2312" w:eastAsia="仿宋_GB2312" w:cs="仿宋_GB2312"/>
          <w:bCs/>
          <w:kern w:val="44"/>
          <w:sz w:val="32"/>
          <w:szCs w:val="32"/>
          <w:highlight w:val="none"/>
          <w:u w:val="none" w:color="auto"/>
        </w:rPr>
        <w:t>年度财政拨款收、支总计</w:t>
      </w:r>
      <w:r>
        <w:rPr>
          <w:rFonts w:hint="eastAsia" w:ascii="仿宋_GB2312" w:hAnsi="仿宋_GB2312" w:eastAsia="仿宋_GB2312" w:cs="仿宋_GB2312"/>
          <w:bCs/>
          <w:kern w:val="44"/>
          <w:sz w:val="32"/>
          <w:szCs w:val="32"/>
          <w:highlight w:val="none"/>
          <w:u w:val="none" w:color="auto"/>
          <w:lang w:val="en-US" w:eastAsia="zh-CN"/>
        </w:rPr>
        <w:t>2647.60</w:t>
      </w:r>
      <w:r>
        <w:rPr>
          <w:rFonts w:hint="eastAsia" w:ascii="仿宋_GB2312" w:hAnsi="仿宋_GB2312" w:eastAsia="仿宋_GB2312" w:cs="仿宋_GB2312"/>
          <w:bCs/>
          <w:kern w:val="44"/>
          <w:sz w:val="32"/>
          <w:szCs w:val="32"/>
          <w:highlight w:val="none"/>
          <w:u w:val="none" w:color="auto"/>
        </w:rPr>
        <w:t>万元。与</w:t>
      </w:r>
      <w:r>
        <w:rPr>
          <w:rFonts w:hint="eastAsia" w:ascii="仿宋_GB2312" w:hAnsi="仿宋_GB2312" w:eastAsia="仿宋_GB2312" w:cs="仿宋_GB2312"/>
          <w:bCs/>
          <w:kern w:val="44"/>
          <w:sz w:val="32"/>
          <w:szCs w:val="32"/>
          <w:highlight w:val="none"/>
          <w:u w:val="none" w:color="auto"/>
          <w:lang w:eastAsia="zh-CN"/>
        </w:rPr>
        <w:t>2024</w:t>
      </w:r>
      <w:r>
        <w:rPr>
          <w:rFonts w:hint="eastAsia" w:ascii="仿宋_GB2312" w:hAnsi="仿宋_GB2312" w:eastAsia="仿宋_GB2312" w:cs="仿宋_GB2312"/>
          <w:bCs/>
          <w:kern w:val="44"/>
          <w:sz w:val="32"/>
          <w:szCs w:val="32"/>
          <w:highlight w:val="none"/>
          <w:u w:val="none" w:color="auto"/>
        </w:rPr>
        <w:t>年</w:t>
      </w:r>
      <w:r>
        <w:rPr>
          <w:rFonts w:hint="eastAsia" w:ascii="仿宋_GB2312" w:hAnsi="仿宋_GB2312" w:eastAsia="仿宋_GB2312" w:cs="仿宋_GB2312"/>
          <w:bCs/>
          <w:kern w:val="44"/>
          <w:sz w:val="32"/>
          <w:szCs w:val="32"/>
          <w:highlight w:val="none"/>
          <w:u w:val="none" w:color="auto"/>
          <w:lang w:eastAsia="zh-CN"/>
        </w:rPr>
        <w:t>度</w:t>
      </w:r>
      <w:r>
        <w:rPr>
          <w:rFonts w:hint="eastAsia" w:ascii="仿宋_GB2312" w:hAnsi="仿宋_GB2312" w:eastAsia="仿宋_GB2312" w:cs="仿宋_GB2312"/>
          <w:bCs/>
          <w:kern w:val="44"/>
          <w:sz w:val="32"/>
          <w:szCs w:val="32"/>
          <w:highlight w:val="none"/>
          <w:u w:val="none" w:color="auto"/>
        </w:rPr>
        <w:t>相比，财政拨款收、支总计各增加</w:t>
      </w:r>
      <w:r>
        <w:rPr>
          <w:rFonts w:hint="eastAsia" w:ascii="仿宋_GB2312" w:hAnsi="仿宋_GB2312" w:eastAsia="仿宋_GB2312" w:cs="仿宋_GB2312"/>
          <w:bCs/>
          <w:kern w:val="44"/>
          <w:sz w:val="32"/>
          <w:szCs w:val="32"/>
          <w:highlight w:val="none"/>
          <w:u w:val="none" w:color="auto"/>
          <w:lang w:val="en-US" w:eastAsia="zh-CN"/>
        </w:rPr>
        <w:t>129.83</w:t>
      </w:r>
      <w:r>
        <w:rPr>
          <w:rFonts w:hint="eastAsia" w:ascii="仿宋_GB2312" w:hAnsi="仿宋_GB2312" w:eastAsia="仿宋_GB2312" w:cs="仿宋_GB2312"/>
          <w:bCs/>
          <w:kern w:val="44"/>
          <w:sz w:val="32"/>
          <w:szCs w:val="32"/>
          <w:highlight w:val="none"/>
          <w:u w:val="none" w:color="auto"/>
        </w:rPr>
        <w:t>万元，增长</w:t>
      </w:r>
      <w:r>
        <w:rPr>
          <w:rFonts w:hint="eastAsia" w:ascii="仿宋_GB2312" w:hAnsi="仿宋_GB2312" w:eastAsia="仿宋_GB2312" w:cs="仿宋_GB2312"/>
          <w:bCs/>
          <w:kern w:val="44"/>
          <w:sz w:val="32"/>
          <w:szCs w:val="32"/>
          <w:highlight w:val="none"/>
          <w:u w:val="none" w:color="auto"/>
          <w:lang w:val="en-US" w:eastAsia="zh-CN"/>
        </w:rPr>
        <w:t>5.2</w:t>
      </w:r>
      <w:r>
        <w:rPr>
          <w:rFonts w:hint="eastAsia" w:ascii="仿宋_GB2312" w:hAnsi="仿宋_GB2312" w:eastAsia="仿宋_GB2312" w:cs="仿宋_GB2312"/>
          <w:bCs/>
          <w:kern w:val="44"/>
          <w:sz w:val="32"/>
          <w:szCs w:val="32"/>
          <w:highlight w:val="none"/>
          <w:u w:val="none" w:color="auto"/>
        </w:rPr>
        <w:t>%。主要原因是</w:t>
      </w:r>
      <w:r>
        <w:rPr>
          <w:rFonts w:hint="eastAsia" w:ascii="仿宋_GB2312" w:hAnsi="仿宋_GB2312" w:eastAsia="仿宋_GB2312" w:cs="仿宋_GB2312"/>
          <w:bCs/>
          <w:kern w:val="44"/>
          <w:sz w:val="32"/>
          <w:szCs w:val="32"/>
          <w:highlight w:val="none"/>
          <w:u w:val="none" w:color="auto"/>
          <w:lang w:eastAsia="zh-CN"/>
        </w:rPr>
        <w:t>学生人数、</w:t>
      </w:r>
      <w:r>
        <w:rPr>
          <w:rFonts w:hint="eastAsia" w:ascii="仿宋_GB2312" w:hAnsi="仿宋_GB2312" w:eastAsia="仿宋_GB2312" w:cs="仿宋_GB2312"/>
          <w:bCs/>
          <w:kern w:val="44"/>
          <w:sz w:val="32"/>
          <w:szCs w:val="32"/>
          <w:highlight w:val="none"/>
          <w:u w:val="none" w:color="auto"/>
          <w:lang w:val="en-US" w:eastAsia="zh-CN"/>
        </w:rPr>
        <w:t>教师人数</w:t>
      </w:r>
      <w:r>
        <w:rPr>
          <w:rFonts w:hint="eastAsia" w:ascii="仿宋_GB2312" w:hAnsi="仿宋_GB2312" w:eastAsia="仿宋_GB2312" w:cs="仿宋_GB2312"/>
          <w:bCs/>
          <w:kern w:val="44"/>
          <w:sz w:val="32"/>
          <w:szCs w:val="32"/>
          <w:highlight w:val="none"/>
          <w:u w:val="none" w:color="auto"/>
          <w:lang w:eastAsia="zh-CN"/>
        </w:rPr>
        <w:t>增长</w:t>
      </w:r>
      <w:r>
        <w:rPr>
          <w:rFonts w:hint="eastAsia" w:ascii="仿宋_GB2312" w:hAnsi="仿宋_GB2312" w:eastAsia="仿宋_GB2312" w:cs="仿宋_GB2312"/>
          <w:bCs/>
          <w:kern w:val="44"/>
          <w:sz w:val="32"/>
          <w:szCs w:val="32"/>
          <w:highlight w:val="none"/>
          <w:u w:val="none" w:color="auto"/>
        </w:rPr>
        <w:t>。</w:t>
      </w:r>
    </w:p>
    <w:p w14:paraId="3F5726AD">
      <w:pPr>
        <w:pageBreakBefore w:val="0"/>
        <w:widowControl w:val="0"/>
        <w:kinsoku/>
        <w:wordWrap/>
        <w:overflowPunct/>
        <w:topLinePunct w:val="0"/>
        <w:bidi w:val="0"/>
        <w:spacing w:line="600" w:lineRule="exact"/>
        <w:ind w:firstLine="640" w:firstLineChars="200"/>
        <w:textAlignment w:val="auto"/>
        <w:rPr>
          <w:rFonts w:hint="eastAsia" w:ascii="仿宋_GB2312" w:hAnsi="仿宋_GB2312" w:eastAsia="仿宋_GB2312" w:cs="仿宋_GB2312"/>
          <w:sz w:val="32"/>
          <w:szCs w:val="32"/>
          <w:u w:val="none" w:color="auto"/>
        </w:rPr>
      </w:pPr>
      <w:r>
        <w:rPr>
          <w:rFonts w:hint="eastAsia" w:ascii="仿宋_GB2312" w:hAnsi="仿宋_GB2312" w:eastAsia="仿宋_GB2312" w:cs="仿宋_GB2312"/>
          <w:sz w:val="32"/>
          <w:szCs w:val="32"/>
          <w:u w:val="none" w:color="auto"/>
          <w:lang w:val="en-US" w:eastAsia="zh-CN"/>
        </w:rPr>
        <w:t>2024年度财政拨款收入中，一般公共预算财政拨款收入2647.60</w:t>
      </w:r>
      <w:r>
        <w:rPr>
          <w:rFonts w:hint="eastAsia" w:ascii="仿宋_GB2312" w:hAnsi="仿宋_GB2312" w:eastAsia="仿宋_GB2312" w:cs="仿宋_GB2312"/>
          <w:sz w:val="32"/>
          <w:szCs w:val="32"/>
          <w:u w:val="none" w:color="auto"/>
        </w:rPr>
        <w:t>万元</w:t>
      </w:r>
      <w:r>
        <w:rPr>
          <w:rFonts w:hint="eastAsia" w:ascii="仿宋_GB2312" w:hAnsi="仿宋_GB2312" w:eastAsia="仿宋_GB2312" w:cs="仿宋_GB2312"/>
          <w:sz w:val="32"/>
          <w:szCs w:val="32"/>
          <w:u w:val="none" w:color="auto"/>
          <w:lang w:eastAsia="zh-CN"/>
        </w:rPr>
        <w:t>，比</w:t>
      </w:r>
      <w:r>
        <w:rPr>
          <w:rFonts w:hint="eastAsia" w:ascii="仿宋_GB2312" w:hAnsi="仿宋_GB2312" w:eastAsia="仿宋_GB2312" w:cs="仿宋_GB2312"/>
          <w:sz w:val="32"/>
          <w:szCs w:val="32"/>
          <w:u w:val="none" w:color="auto"/>
          <w:lang w:val="en-US" w:eastAsia="zh-CN"/>
        </w:rPr>
        <w:t>2024年度决算数增加129.83万元，增长5.2%，</w:t>
      </w:r>
      <w:r>
        <w:rPr>
          <w:rFonts w:hint="eastAsia" w:ascii="仿宋_GB2312" w:hAnsi="仿宋_GB2312" w:eastAsia="仿宋_GB2312" w:cs="仿宋_GB2312"/>
          <w:sz w:val="32"/>
          <w:szCs w:val="32"/>
          <w:u w:val="none" w:color="auto"/>
          <w:lang w:eastAsia="zh-CN"/>
        </w:rPr>
        <w:t>增加</w:t>
      </w:r>
      <w:r>
        <w:rPr>
          <w:rFonts w:hint="eastAsia" w:ascii="仿宋_GB2312" w:hAnsi="仿宋_GB2312" w:eastAsia="仿宋_GB2312" w:cs="仿宋_GB2312"/>
          <w:sz w:val="32"/>
          <w:szCs w:val="32"/>
          <w:u w:val="none" w:color="auto"/>
        </w:rPr>
        <w:t>主要原因是学生人数</w:t>
      </w:r>
      <w:r>
        <w:rPr>
          <w:rFonts w:hint="eastAsia" w:ascii="仿宋_GB2312" w:hAnsi="仿宋_GB2312" w:eastAsia="仿宋_GB2312" w:cs="仿宋_GB2312"/>
          <w:sz w:val="32"/>
          <w:szCs w:val="32"/>
          <w:u w:val="none" w:color="auto"/>
          <w:lang w:eastAsia="zh-CN"/>
        </w:rPr>
        <w:t>、</w:t>
      </w:r>
      <w:r>
        <w:rPr>
          <w:rFonts w:hint="eastAsia" w:ascii="仿宋_GB2312" w:hAnsi="仿宋_GB2312" w:eastAsia="仿宋_GB2312" w:cs="仿宋_GB2312"/>
          <w:sz w:val="32"/>
          <w:szCs w:val="32"/>
          <w:u w:val="none" w:color="auto"/>
          <w:lang w:val="en-US" w:eastAsia="zh-CN"/>
        </w:rPr>
        <w:t>教师人数</w:t>
      </w:r>
      <w:r>
        <w:rPr>
          <w:rFonts w:hint="eastAsia" w:ascii="仿宋_GB2312" w:hAnsi="仿宋_GB2312" w:eastAsia="仿宋_GB2312" w:cs="仿宋_GB2312"/>
          <w:sz w:val="32"/>
          <w:szCs w:val="32"/>
          <w:u w:val="none" w:color="auto"/>
        </w:rPr>
        <w:t>增长。</w:t>
      </w:r>
    </w:p>
    <w:p w14:paraId="49263402">
      <w:pPr>
        <w:pStyle w:val="2"/>
        <w:keepNext w:val="0"/>
        <w:keepLines w:val="0"/>
        <w:pageBreakBefore w:val="0"/>
        <w:widowControl/>
        <w:kinsoku w:val="0"/>
        <w:wordWrap/>
        <w:overflowPunct/>
        <w:topLinePunct w:val="0"/>
        <w:autoSpaceDE w:val="0"/>
        <w:autoSpaceDN w:val="0"/>
        <w:bidi w:val="0"/>
        <w:adjustRightInd w:val="0"/>
        <w:snapToGrid w:val="0"/>
        <w:spacing w:line="580" w:lineRule="exact"/>
        <w:jc w:val="center"/>
        <w:textAlignment w:val="baseline"/>
        <w:rPr>
          <w:rFonts w:hint="default" w:ascii="Times New Roman" w:hAnsi="Times New Roman" w:cs="Times New Roman"/>
          <w:u w:val="none" w:color="auto"/>
          <w:lang w:val="en-US" w:eastAsia="zh-CN"/>
        </w:rPr>
      </w:pPr>
      <w:r>
        <w:rPr>
          <w:rFonts w:hint="default" w:ascii="Times New Roman" w:hAnsi="Times New Roman" w:eastAsia="楷体_GB2312" w:cs="Times New Roman"/>
          <w:spacing w:val="3"/>
          <w:sz w:val="32"/>
          <w:szCs w:val="32"/>
          <w:u w:val="none" w:color="auto"/>
        </w:rPr>
        <w:t>图4：财政拨款收、支决算总计变动情况</w:t>
      </w:r>
    </w:p>
    <w:p w14:paraId="48640B2F">
      <w:pPr>
        <w:jc w:val="center"/>
        <w:rPr>
          <w:rFonts w:hint="default" w:ascii="Times New Roman" w:hAnsi="Times New Roman" w:cs="Times New Roman"/>
          <w:u w:val="none" w:color="auto"/>
          <w:lang w:val="en-US" w:eastAsia="zh-CN"/>
        </w:rPr>
      </w:pPr>
      <w:r>
        <w:drawing>
          <wp:inline distT="0" distB="0" distL="114300" distR="114300">
            <wp:extent cx="5455920" cy="2529840"/>
            <wp:effectExtent l="4445" t="4445" r="10795" b="10795"/>
            <wp:docPr id="103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E7F37A">
      <w:pPr>
        <w:keepNext w:val="0"/>
        <w:keepLines w:val="0"/>
        <w:pageBreakBefore w:val="0"/>
        <w:widowControl/>
        <w:kinsoku/>
        <w:wordWrap/>
        <w:overflowPunct/>
        <w:topLinePunct w:val="0"/>
        <w:autoSpaceDE w:val="0"/>
        <w:autoSpaceDN w:val="0"/>
        <w:bidi w:val="0"/>
        <w:adjustRightInd w:val="0"/>
        <w:snapToGrid w:val="0"/>
        <w:spacing w:line="580" w:lineRule="atLeast"/>
        <w:ind w:left="0" w:firstLine="640" w:firstLineChars="200"/>
        <w:textAlignment w:val="baseline"/>
        <w:outlineLvl w:val="0"/>
        <w:rPr>
          <w:rFonts w:hint="default" w:ascii="Times New Roman" w:hAnsi="Times New Roman" w:eastAsia="黑体" w:cs="Times New Roman"/>
          <w:spacing w:val="0"/>
          <w:sz w:val="32"/>
          <w:szCs w:val="32"/>
          <w:u w:val="none" w:color="auto"/>
        </w:rPr>
      </w:pPr>
      <w:r>
        <w:rPr>
          <w:rFonts w:hint="default" w:ascii="Times New Roman" w:hAnsi="Times New Roman" w:eastAsia="黑体" w:cs="Times New Roman"/>
          <w:spacing w:val="0"/>
          <w:sz w:val="32"/>
          <w:szCs w:val="32"/>
          <w:u w:val="none" w:color="auto"/>
        </w:rPr>
        <w:t>五、一般公共预算财政拨款支出决算情况说明</w:t>
      </w:r>
    </w:p>
    <w:p w14:paraId="5031F7DB">
      <w:pPr>
        <w:keepNext w:val="0"/>
        <w:keepLines w:val="0"/>
        <w:pageBreakBefore w:val="0"/>
        <w:widowControl/>
        <w:kinsoku/>
        <w:wordWrap/>
        <w:overflowPunct/>
        <w:topLinePunct w:val="0"/>
        <w:autoSpaceDE w:val="0"/>
        <w:autoSpaceDN w:val="0"/>
        <w:bidi w:val="0"/>
        <w:adjustRightInd w:val="0"/>
        <w:snapToGrid w:val="0"/>
        <w:spacing w:line="580" w:lineRule="atLeast"/>
        <w:ind w:left="0" w:firstLine="640" w:firstLineChars="200"/>
        <w:textAlignment w:val="baseline"/>
        <w:outlineLvl w:val="1"/>
        <w:rPr>
          <w:rFonts w:hint="default" w:ascii="Times New Roman" w:hAnsi="Times New Roman" w:eastAsia="楷体_GB2312" w:cs="Times New Roman"/>
          <w:spacing w:val="0"/>
          <w:sz w:val="32"/>
          <w:szCs w:val="32"/>
          <w:u w:val="none" w:color="auto"/>
        </w:rPr>
      </w:pPr>
      <w:r>
        <w:rPr>
          <w:rFonts w:hint="default" w:ascii="Times New Roman" w:hAnsi="Times New Roman" w:eastAsia="楷体_GB2312" w:cs="Times New Roman"/>
          <w:spacing w:val="0"/>
          <w:sz w:val="32"/>
          <w:szCs w:val="32"/>
          <w:u w:val="none" w:color="auto"/>
          <w:lang w:eastAsia="zh-CN"/>
        </w:rPr>
        <w:t>（</w:t>
      </w:r>
      <w:r>
        <w:rPr>
          <w:rFonts w:hint="default" w:ascii="Times New Roman" w:hAnsi="Times New Roman" w:eastAsia="楷体_GB2312" w:cs="Times New Roman"/>
          <w:spacing w:val="0"/>
          <w:sz w:val="32"/>
          <w:szCs w:val="32"/>
          <w:u w:val="none" w:color="auto"/>
          <w:lang w:val="en-US" w:eastAsia="zh-CN"/>
        </w:rPr>
        <w:t>一</w:t>
      </w:r>
      <w:r>
        <w:rPr>
          <w:rFonts w:hint="default" w:ascii="Times New Roman" w:hAnsi="Times New Roman" w:eastAsia="楷体_GB2312" w:cs="Times New Roman"/>
          <w:spacing w:val="0"/>
          <w:sz w:val="32"/>
          <w:szCs w:val="32"/>
          <w:u w:val="none" w:color="auto"/>
          <w:lang w:eastAsia="zh-CN"/>
        </w:rPr>
        <w:t>）</w:t>
      </w:r>
      <w:r>
        <w:rPr>
          <w:rFonts w:hint="default" w:ascii="Times New Roman" w:hAnsi="Times New Roman" w:eastAsia="楷体_GB2312" w:cs="Times New Roman"/>
          <w:spacing w:val="0"/>
          <w:sz w:val="32"/>
          <w:szCs w:val="32"/>
          <w:u w:val="none" w:color="auto"/>
        </w:rPr>
        <w:t>一般公共预算财政拨款支出决算总体情况</w:t>
      </w:r>
    </w:p>
    <w:p w14:paraId="5338AF6E">
      <w:pPr>
        <w:pageBreakBefore w:val="0"/>
        <w:widowControl w:val="0"/>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bCs/>
          <w:kern w:val="44"/>
          <w:sz w:val="32"/>
          <w:szCs w:val="32"/>
          <w:highlight w:val="none"/>
          <w:u w:val="none" w:color="auto"/>
        </w:rPr>
      </w:pPr>
      <w:r>
        <w:rPr>
          <w:rFonts w:hint="eastAsia" w:ascii="仿宋_GB2312" w:hAnsi="仿宋_GB2312" w:eastAsia="仿宋_GB2312" w:cs="仿宋_GB2312"/>
          <w:bCs/>
          <w:kern w:val="44"/>
          <w:sz w:val="32"/>
          <w:szCs w:val="32"/>
          <w:highlight w:val="none"/>
          <w:u w:val="none" w:color="auto"/>
        </w:rPr>
        <w:t>20</w:t>
      </w:r>
      <w:r>
        <w:rPr>
          <w:rFonts w:hint="eastAsia" w:ascii="仿宋_GB2312" w:hAnsi="仿宋_GB2312" w:eastAsia="仿宋_GB2312" w:cs="仿宋_GB2312"/>
          <w:bCs/>
          <w:kern w:val="44"/>
          <w:sz w:val="32"/>
          <w:szCs w:val="32"/>
          <w:highlight w:val="none"/>
          <w:u w:val="none" w:color="auto"/>
          <w:lang w:val="en-US" w:eastAsia="zh-CN"/>
        </w:rPr>
        <w:t>24</w:t>
      </w:r>
      <w:r>
        <w:rPr>
          <w:rFonts w:hint="eastAsia" w:ascii="仿宋_GB2312" w:hAnsi="仿宋_GB2312" w:eastAsia="仿宋_GB2312" w:cs="仿宋_GB2312"/>
          <w:bCs/>
          <w:kern w:val="44"/>
          <w:sz w:val="32"/>
          <w:szCs w:val="32"/>
          <w:highlight w:val="none"/>
          <w:u w:val="none" w:color="auto"/>
        </w:rPr>
        <w:t>年度</w:t>
      </w:r>
      <w:r>
        <w:rPr>
          <w:rFonts w:hint="eastAsia" w:ascii="仿宋_GB2312" w:hAnsi="仿宋_GB2312" w:eastAsia="仿宋_GB2312" w:cs="仿宋_GB2312"/>
          <w:bCs/>
          <w:kern w:val="44"/>
          <w:sz w:val="32"/>
          <w:szCs w:val="32"/>
          <w:highlight w:val="none"/>
          <w:u w:val="none" w:color="auto"/>
          <w:lang w:eastAsia="zh-CN"/>
        </w:rPr>
        <w:t>一般公共预算</w:t>
      </w:r>
      <w:r>
        <w:rPr>
          <w:rFonts w:hint="eastAsia" w:ascii="仿宋_GB2312" w:hAnsi="仿宋_GB2312" w:eastAsia="仿宋_GB2312" w:cs="仿宋_GB2312"/>
          <w:bCs/>
          <w:kern w:val="44"/>
          <w:sz w:val="32"/>
          <w:szCs w:val="32"/>
          <w:highlight w:val="none"/>
          <w:u w:val="none" w:color="auto"/>
        </w:rPr>
        <w:t>财政拨款支出</w:t>
      </w:r>
      <w:r>
        <w:rPr>
          <w:rFonts w:hint="eastAsia" w:ascii="仿宋_GB2312" w:hAnsi="仿宋_GB2312" w:eastAsia="仿宋_GB2312" w:cs="仿宋_GB2312"/>
          <w:bCs/>
          <w:kern w:val="44"/>
          <w:sz w:val="32"/>
          <w:szCs w:val="32"/>
          <w:highlight w:val="none"/>
          <w:u w:val="none" w:color="auto"/>
          <w:lang w:val="en-US" w:eastAsia="zh-CN"/>
        </w:rPr>
        <w:t>2647.60</w:t>
      </w:r>
      <w:r>
        <w:rPr>
          <w:rFonts w:hint="eastAsia" w:ascii="仿宋_GB2312" w:hAnsi="仿宋_GB2312" w:eastAsia="仿宋_GB2312" w:cs="仿宋_GB2312"/>
          <w:bCs/>
          <w:kern w:val="44"/>
          <w:sz w:val="32"/>
          <w:szCs w:val="32"/>
          <w:highlight w:val="none"/>
          <w:u w:val="none" w:color="auto"/>
        </w:rPr>
        <w:t>万元，占本年支出合计的</w:t>
      </w:r>
      <w:r>
        <w:rPr>
          <w:rFonts w:hint="eastAsia" w:ascii="仿宋_GB2312" w:hAnsi="仿宋_GB2312" w:eastAsia="仿宋_GB2312" w:cs="仿宋_GB2312"/>
          <w:bCs/>
          <w:kern w:val="44"/>
          <w:sz w:val="32"/>
          <w:szCs w:val="32"/>
          <w:highlight w:val="none"/>
          <w:u w:val="none" w:color="auto"/>
          <w:lang w:val="en-US" w:eastAsia="zh-CN"/>
        </w:rPr>
        <w:t>96.5</w:t>
      </w:r>
      <w:r>
        <w:rPr>
          <w:rFonts w:hint="eastAsia" w:ascii="仿宋_GB2312" w:hAnsi="仿宋_GB2312" w:eastAsia="仿宋_GB2312" w:cs="仿宋_GB2312"/>
          <w:bCs/>
          <w:kern w:val="44"/>
          <w:sz w:val="32"/>
          <w:szCs w:val="32"/>
          <w:highlight w:val="none"/>
          <w:u w:val="none" w:color="auto"/>
        </w:rPr>
        <w:t>%。与</w:t>
      </w:r>
      <w:r>
        <w:rPr>
          <w:rFonts w:hint="eastAsia" w:ascii="仿宋_GB2312" w:hAnsi="仿宋_GB2312" w:eastAsia="仿宋_GB2312" w:cs="仿宋_GB2312"/>
          <w:bCs/>
          <w:kern w:val="44"/>
          <w:sz w:val="32"/>
          <w:szCs w:val="32"/>
          <w:highlight w:val="none"/>
          <w:u w:val="none" w:color="auto"/>
          <w:lang w:eastAsia="zh-CN"/>
        </w:rPr>
        <w:t>2024</w:t>
      </w:r>
      <w:r>
        <w:rPr>
          <w:rFonts w:hint="eastAsia" w:ascii="仿宋_GB2312" w:hAnsi="仿宋_GB2312" w:eastAsia="仿宋_GB2312" w:cs="仿宋_GB2312"/>
          <w:bCs/>
          <w:kern w:val="44"/>
          <w:sz w:val="32"/>
          <w:szCs w:val="32"/>
          <w:highlight w:val="none"/>
          <w:u w:val="none" w:color="auto"/>
        </w:rPr>
        <w:t>年</w:t>
      </w:r>
      <w:r>
        <w:rPr>
          <w:rFonts w:hint="eastAsia" w:ascii="仿宋_GB2312" w:hAnsi="仿宋_GB2312" w:eastAsia="仿宋_GB2312" w:cs="仿宋_GB2312"/>
          <w:bCs/>
          <w:kern w:val="44"/>
          <w:sz w:val="32"/>
          <w:szCs w:val="32"/>
          <w:highlight w:val="none"/>
          <w:u w:val="none" w:color="auto"/>
          <w:lang w:eastAsia="zh-CN"/>
        </w:rPr>
        <w:t>度</w:t>
      </w:r>
      <w:r>
        <w:rPr>
          <w:rFonts w:hint="eastAsia" w:ascii="仿宋_GB2312" w:hAnsi="仿宋_GB2312" w:eastAsia="仿宋_GB2312" w:cs="仿宋_GB2312"/>
          <w:bCs/>
          <w:kern w:val="44"/>
          <w:sz w:val="32"/>
          <w:szCs w:val="32"/>
          <w:highlight w:val="none"/>
          <w:u w:val="none" w:color="auto"/>
        </w:rPr>
        <w:t>相比，</w:t>
      </w:r>
      <w:r>
        <w:rPr>
          <w:rFonts w:hint="eastAsia" w:ascii="仿宋_GB2312" w:hAnsi="仿宋_GB2312" w:eastAsia="仿宋_GB2312" w:cs="仿宋_GB2312"/>
          <w:bCs/>
          <w:kern w:val="44"/>
          <w:sz w:val="32"/>
          <w:szCs w:val="32"/>
          <w:highlight w:val="none"/>
          <w:u w:val="none" w:color="auto"/>
          <w:lang w:eastAsia="zh-CN"/>
        </w:rPr>
        <w:t>一般公共预算</w:t>
      </w:r>
      <w:r>
        <w:rPr>
          <w:rFonts w:hint="eastAsia" w:ascii="仿宋_GB2312" w:hAnsi="仿宋_GB2312" w:eastAsia="仿宋_GB2312" w:cs="仿宋_GB2312"/>
          <w:bCs/>
          <w:kern w:val="44"/>
          <w:sz w:val="32"/>
          <w:szCs w:val="32"/>
          <w:highlight w:val="none"/>
          <w:u w:val="none" w:color="auto"/>
        </w:rPr>
        <w:t>财政拨款支出增加</w:t>
      </w:r>
      <w:r>
        <w:rPr>
          <w:rFonts w:hint="eastAsia" w:ascii="仿宋_GB2312" w:hAnsi="仿宋_GB2312" w:eastAsia="仿宋_GB2312" w:cs="仿宋_GB2312"/>
          <w:bCs/>
          <w:kern w:val="44"/>
          <w:sz w:val="32"/>
          <w:szCs w:val="32"/>
          <w:highlight w:val="none"/>
          <w:u w:val="none" w:color="auto"/>
          <w:lang w:val="en-US" w:eastAsia="zh-CN"/>
        </w:rPr>
        <w:t>129.83</w:t>
      </w:r>
      <w:r>
        <w:rPr>
          <w:rFonts w:hint="eastAsia" w:ascii="仿宋_GB2312" w:hAnsi="仿宋_GB2312" w:eastAsia="仿宋_GB2312" w:cs="仿宋_GB2312"/>
          <w:bCs/>
          <w:kern w:val="44"/>
          <w:sz w:val="32"/>
          <w:szCs w:val="32"/>
          <w:highlight w:val="none"/>
          <w:u w:val="none" w:color="auto"/>
        </w:rPr>
        <w:t>万元，增长</w:t>
      </w:r>
      <w:r>
        <w:rPr>
          <w:rFonts w:hint="eastAsia" w:ascii="仿宋_GB2312" w:hAnsi="仿宋_GB2312" w:eastAsia="仿宋_GB2312" w:cs="仿宋_GB2312"/>
          <w:bCs/>
          <w:kern w:val="44"/>
          <w:sz w:val="32"/>
          <w:szCs w:val="32"/>
          <w:highlight w:val="none"/>
          <w:u w:val="none" w:color="auto"/>
          <w:lang w:val="en-US" w:eastAsia="zh-CN"/>
        </w:rPr>
        <w:t>5.2</w:t>
      </w:r>
      <w:r>
        <w:rPr>
          <w:rFonts w:hint="eastAsia" w:ascii="仿宋_GB2312" w:hAnsi="仿宋_GB2312" w:eastAsia="仿宋_GB2312" w:cs="仿宋_GB2312"/>
          <w:bCs/>
          <w:kern w:val="44"/>
          <w:sz w:val="32"/>
          <w:szCs w:val="32"/>
          <w:highlight w:val="none"/>
          <w:u w:val="none" w:color="auto"/>
        </w:rPr>
        <w:t>%。主要原因是</w:t>
      </w:r>
      <w:r>
        <w:rPr>
          <w:rFonts w:hint="eastAsia" w:ascii="仿宋_GB2312" w:hAnsi="仿宋_GB2312" w:eastAsia="仿宋_GB2312" w:cs="仿宋_GB2312"/>
          <w:bCs/>
          <w:kern w:val="44"/>
          <w:sz w:val="32"/>
          <w:szCs w:val="32"/>
          <w:highlight w:val="none"/>
          <w:u w:val="none" w:color="auto"/>
          <w:lang w:eastAsia="zh-CN"/>
        </w:rPr>
        <w:t>学生人数、</w:t>
      </w:r>
      <w:r>
        <w:rPr>
          <w:rFonts w:hint="eastAsia" w:ascii="仿宋_GB2312" w:hAnsi="仿宋_GB2312" w:eastAsia="仿宋_GB2312" w:cs="仿宋_GB2312"/>
          <w:bCs/>
          <w:kern w:val="44"/>
          <w:sz w:val="32"/>
          <w:szCs w:val="32"/>
          <w:highlight w:val="none"/>
          <w:u w:val="none" w:color="auto"/>
          <w:lang w:val="en-US" w:eastAsia="zh-CN"/>
        </w:rPr>
        <w:t>教师人数</w:t>
      </w:r>
      <w:r>
        <w:rPr>
          <w:rFonts w:hint="eastAsia" w:ascii="仿宋_GB2312" w:hAnsi="仿宋_GB2312" w:eastAsia="仿宋_GB2312" w:cs="仿宋_GB2312"/>
          <w:bCs/>
          <w:kern w:val="44"/>
          <w:sz w:val="32"/>
          <w:szCs w:val="32"/>
          <w:highlight w:val="none"/>
          <w:u w:val="none" w:color="auto"/>
          <w:lang w:eastAsia="zh-CN"/>
        </w:rPr>
        <w:t>增长</w:t>
      </w:r>
      <w:r>
        <w:rPr>
          <w:rFonts w:hint="eastAsia" w:ascii="仿宋_GB2312" w:hAnsi="仿宋_GB2312" w:eastAsia="仿宋_GB2312" w:cs="仿宋_GB2312"/>
          <w:bCs/>
          <w:kern w:val="44"/>
          <w:sz w:val="32"/>
          <w:szCs w:val="32"/>
          <w:highlight w:val="none"/>
          <w:u w:val="none" w:color="auto"/>
        </w:rPr>
        <w:t>。</w:t>
      </w:r>
    </w:p>
    <w:p w14:paraId="17DDE20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楷体_GB2312" w:hAnsi="楷体_GB2312" w:eastAsia="楷体_GB2312" w:cs="楷体_GB2312"/>
          <w:sz w:val="32"/>
          <w:szCs w:val="32"/>
          <w:highlight w:val="none"/>
          <w:u w:val="none" w:color="auto"/>
          <w:lang w:val="en-US" w:eastAsia="zh-CN"/>
        </w:rPr>
      </w:pPr>
      <w:r>
        <w:rPr>
          <w:rFonts w:hint="eastAsia" w:ascii="楷体_GB2312" w:hAnsi="楷体_GB2312" w:eastAsia="楷体_GB2312" w:cs="楷体_GB2312"/>
          <w:sz w:val="32"/>
          <w:szCs w:val="32"/>
          <w:highlight w:val="none"/>
          <w:u w:val="none" w:color="auto"/>
          <w:lang w:val="en-US" w:eastAsia="zh-CN"/>
        </w:rPr>
        <w:t>(二)一般公共预算财政拨款支出决算结构情况</w:t>
      </w:r>
    </w:p>
    <w:p w14:paraId="77FEA3FF">
      <w:pPr>
        <w:pageBreakBefore w:val="0"/>
        <w:widowControl w:val="0"/>
        <w:numPr>
          <w:ilvl w:val="0"/>
          <w:numId w:val="0"/>
        </w:numPr>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bCs/>
          <w:kern w:val="44"/>
          <w:sz w:val="32"/>
          <w:szCs w:val="32"/>
          <w:highlight w:val="none"/>
          <w:u w:val="none" w:color="auto"/>
        </w:rPr>
      </w:pPr>
      <w:r>
        <w:rPr>
          <w:rFonts w:hint="eastAsia" w:ascii="仿宋_GB2312" w:hAnsi="仿宋_GB2312" w:eastAsia="仿宋_GB2312" w:cs="仿宋_GB2312"/>
          <w:bCs/>
          <w:kern w:val="44"/>
          <w:sz w:val="32"/>
          <w:szCs w:val="32"/>
          <w:highlight w:val="none"/>
          <w:u w:val="none" w:color="auto"/>
        </w:rPr>
        <w:t>20</w:t>
      </w:r>
      <w:r>
        <w:rPr>
          <w:rFonts w:hint="eastAsia" w:ascii="仿宋_GB2312" w:hAnsi="仿宋_GB2312" w:eastAsia="仿宋_GB2312" w:cs="仿宋_GB2312"/>
          <w:bCs/>
          <w:kern w:val="44"/>
          <w:sz w:val="32"/>
          <w:szCs w:val="32"/>
          <w:highlight w:val="none"/>
          <w:u w:val="none" w:color="auto"/>
          <w:lang w:val="en-US" w:eastAsia="zh-CN"/>
        </w:rPr>
        <w:t>24</w:t>
      </w:r>
      <w:r>
        <w:rPr>
          <w:rFonts w:hint="eastAsia" w:ascii="仿宋_GB2312" w:hAnsi="仿宋_GB2312" w:eastAsia="仿宋_GB2312" w:cs="仿宋_GB2312"/>
          <w:bCs/>
          <w:kern w:val="44"/>
          <w:sz w:val="32"/>
          <w:szCs w:val="32"/>
          <w:highlight w:val="none"/>
          <w:u w:val="none" w:color="auto"/>
        </w:rPr>
        <w:t>年度</w:t>
      </w:r>
      <w:r>
        <w:rPr>
          <w:rFonts w:hint="eastAsia" w:ascii="仿宋_GB2312" w:hAnsi="仿宋_GB2312" w:eastAsia="仿宋_GB2312" w:cs="仿宋_GB2312"/>
          <w:bCs/>
          <w:kern w:val="44"/>
          <w:sz w:val="32"/>
          <w:szCs w:val="32"/>
          <w:highlight w:val="none"/>
          <w:u w:val="none" w:color="auto"/>
          <w:lang w:eastAsia="zh-CN"/>
        </w:rPr>
        <w:t>一般公共预算</w:t>
      </w:r>
      <w:r>
        <w:rPr>
          <w:rFonts w:hint="eastAsia" w:ascii="仿宋_GB2312" w:hAnsi="仿宋_GB2312" w:eastAsia="仿宋_GB2312" w:cs="仿宋_GB2312"/>
          <w:bCs/>
          <w:kern w:val="44"/>
          <w:sz w:val="32"/>
          <w:szCs w:val="32"/>
          <w:highlight w:val="none"/>
          <w:u w:val="none" w:color="auto"/>
        </w:rPr>
        <w:t>财政拨款支出</w:t>
      </w:r>
      <w:r>
        <w:rPr>
          <w:rFonts w:hint="eastAsia" w:ascii="仿宋_GB2312" w:hAnsi="仿宋_GB2312" w:eastAsia="仿宋_GB2312" w:cs="仿宋_GB2312"/>
          <w:bCs/>
          <w:kern w:val="44"/>
          <w:sz w:val="32"/>
          <w:szCs w:val="32"/>
          <w:highlight w:val="none"/>
          <w:u w:val="none" w:color="auto"/>
          <w:lang w:val="en-US" w:eastAsia="zh-CN"/>
        </w:rPr>
        <w:t>2647.60</w:t>
      </w:r>
      <w:r>
        <w:rPr>
          <w:rFonts w:hint="eastAsia" w:ascii="仿宋_GB2312" w:hAnsi="仿宋_GB2312" w:eastAsia="仿宋_GB2312" w:cs="仿宋_GB2312"/>
          <w:bCs/>
          <w:kern w:val="44"/>
          <w:sz w:val="32"/>
          <w:szCs w:val="32"/>
          <w:highlight w:val="none"/>
          <w:u w:val="none" w:color="auto"/>
        </w:rPr>
        <w:t>万元，主要用于以下方面：</w:t>
      </w:r>
    </w:p>
    <w:p w14:paraId="33971666">
      <w:pPr>
        <w:pageBreakBefore w:val="0"/>
        <w:widowControl w:val="0"/>
        <w:numPr>
          <w:ilvl w:val="0"/>
          <w:numId w:val="0"/>
        </w:numPr>
        <w:kinsoku/>
        <w:wordWrap/>
        <w:overflowPunct/>
        <w:topLinePunct w:val="0"/>
        <w:bidi w:val="0"/>
        <w:adjustRightInd w:val="0"/>
        <w:snapToGrid w:val="0"/>
        <w:spacing w:line="600" w:lineRule="exact"/>
        <w:ind w:firstLine="640" w:firstLineChars="200"/>
        <w:textAlignment w:val="auto"/>
        <w:rPr>
          <w:rFonts w:hint="eastAsia"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1.教育支出2455.17</w:t>
      </w:r>
      <w:r>
        <w:rPr>
          <w:rFonts w:hint="eastAsia" w:ascii="仿宋_GB2312" w:hAnsi="仿宋_GB2312" w:eastAsia="仿宋_GB2312" w:cs="仿宋_GB2312"/>
          <w:bCs/>
          <w:kern w:val="44"/>
          <w:sz w:val="32"/>
          <w:szCs w:val="32"/>
          <w:highlight w:val="none"/>
          <w:u w:val="none" w:color="auto"/>
        </w:rPr>
        <w:t>万元，占</w:t>
      </w:r>
      <w:r>
        <w:rPr>
          <w:rFonts w:hint="eastAsia" w:ascii="仿宋_GB2312" w:hAnsi="仿宋_GB2312" w:eastAsia="仿宋_GB2312" w:cs="仿宋_GB2312"/>
          <w:bCs/>
          <w:kern w:val="44"/>
          <w:sz w:val="32"/>
          <w:szCs w:val="32"/>
          <w:highlight w:val="none"/>
          <w:u w:val="none" w:color="auto"/>
          <w:lang w:val="en-US" w:eastAsia="zh-CN"/>
        </w:rPr>
        <w:t>92.7</w:t>
      </w:r>
      <w:r>
        <w:rPr>
          <w:rFonts w:hint="eastAsia" w:ascii="仿宋_GB2312" w:hAnsi="仿宋_GB2312" w:eastAsia="仿宋_GB2312" w:cs="仿宋_GB2312"/>
          <w:bCs/>
          <w:kern w:val="44"/>
          <w:sz w:val="32"/>
          <w:szCs w:val="32"/>
          <w:highlight w:val="none"/>
          <w:u w:val="none" w:color="auto"/>
        </w:rPr>
        <w:t>%</w:t>
      </w:r>
      <w:r>
        <w:rPr>
          <w:rFonts w:hint="eastAsia" w:ascii="仿宋_GB2312" w:hAnsi="仿宋_GB2312" w:eastAsia="仿宋_GB2312" w:cs="仿宋_GB2312"/>
          <w:bCs/>
          <w:kern w:val="44"/>
          <w:sz w:val="32"/>
          <w:szCs w:val="32"/>
          <w:highlight w:val="none"/>
          <w:u w:val="none" w:color="auto"/>
          <w:lang w:eastAsia="zh-CN"/>
        </w:rPr>
        <w:t>，主要是用于教职工工资福利支出，学校日常公用经费等支出。</w:t>
      </w:r>
    </w:p>
    <w:p w14:paraId="5D9EC6B4">
      <w:pPr>
        <w:pageBreakBefore w:val="0"/>
        <w:widowControl w:val="0"/>
        <w:numPr>
          <w:ilvl w:val="0"/>
          <w:numId w:val="0"/>
        </w:numPr>
        <w:kinsoku/>
        <w:wordWrap/>
        <w:overflowPunct/>
        <w:topLinePunct w:val="0"/>
        <w:bidi w:val="0"/>
        <w:adjustRightInd w:val="0"/>
        <w:snapToGrid w:val="0"/>
        <w:spacing w:line="600" w:lineRule="exact"/>
        <w:ind w:firstLine="640" w:firstLineChars="200"/>
        <w:textAlignment w:val="auto"/>
        <w:rPr>
          <w:rFonts w:hint="default" w:ascii="Times New Roman" w:hAnsi="Times New Roman" w:cs="Times New Roman"/>
          <w:spacing w:val="0"/>
          <w:sz w:val="32"/>
          <w:u w:val="none" w:color="auto"/>
        </w:rPr>
      </w:pPr>
      <w:r>
        <w:rPr>
          <w:rFonts w:hint="eastAsia" w:ascii="仿宋_GB2312" w:hAnsi="仿宋_GB2312" w:eastAsia="仿宋_GB2312" w:cs="仿宋_GB2312"/>
          <w:bCs/>
          <w:kern w:val="44"/>
          <w:sz w:val="32"/>
          <w:szCs w:val="32"/>
          <w:highlight w:val="none"/>
          <w:u w:val="none" w:color="auto"/>
          <w:lang w:val="en-US" w:eastAsia="zh-CN"/>
        </w:rPr>
        <w:t>2.社会保障和就业支出192.43万元，占7.3%，主要用于职工社保和职业年金等的支出</w:t>
      </w:r>
      <w:r>
        <w:rPr>
          <w:rFonts w:hint="eastAsia" w:ascii="仿宋_GB2312" w:hAnsi="仿宋_GB2312" w:eastAsia="仿宋_GB2312" w:cs="仿宋_GB2312"/>
          <w:bCs/>
          <w:kern w:val="44"/>
          <w:sz w:val="32"/>
          <w:szCs w:val="32"/>
          <w:highlight w:val="none"/>
          <w:u w:val="none" w:color="auto"/>
        </w:rPr>
        <w:t>。</w:t>
      </w:r>
    </w:p>
    <w:p w14:paraId="241853E8">
      <w:pPr>
        <w:keepNext w:val="0"/>
        <w:keepLines w:val="0"/>
        <w:pageBreakBefore w:val="0"/>
        <w:widowControl/>
        <w:kinsoku/>
        <w:wordWrap/>
        <w:overflowPunct/>
        <w:topLinePunct w:val="0"/>
        <w:autoSpaceDE w:val="0"/>
        <w:autoSpaceDN w:val="0"/>
        <w:bidi w:val="0"/>
        <w:adjustRightInd w:val="0"/>
        <w:snapToGrid w:val="0"/>
        <w:spacing w:line="560" w:lineRule="exact"/>
        <w:ind w:left="0" w:right="0" w:firstLine="640" w:firstLineChars="200"/>
        <w:textAlignment w:val="baseline"/>
        <w:outlineLvl w:val="1"/>
        <w:rPr>
          <w:rFonts w:hint="default" w:ascii="Times New Roman" w:hAnsi="Times New Roman" w:eastAsia="楷体_GB2312" w:cs="Times New Roman"/>
          <w:spacing w:val="0"/>
          <w:sz w:val="32"/>
          <w:szCs w:val="32"/>
          <w:u w:val="none" w:color="auto"/>
          <w:lang w:eastAsia="zh-CN"/>
        </w:rPr>
      </w:pPr>
      <w:r>
        <w:rPr>
          <w:rFonts w:hint="default" w:ascii="Times New Roman" w:hAnsi="Times New Roman" w:eastAsia="楷体_GB2312" w:cs="Times New Roman"/>
          <w:spacing w:val="0"/>
          <w:sz w:val="32"/>
          <w:szCs w:val="32"/>
          <w:u w:val="none" w:color="auto"/>
          <w:lang w:eastAsia="zh-CN"/>
        </w:rPr>
        <w:t>（三）一般公共预算财政拨款支出决算具体情况</w:t>
      </w:r>
    </w:p>
    <w:p w14:paraId="76E46603">
      <w:pPr>
        <w:pageBreakBefore w:val="0"/>
        <w:widowControl w:val="0"/>
        <w:numPr>
          <w:ilvl w:val="0"/>
          <w:numId w:val="0"/>
        </w:numPr>
        <w:kinsoku/>
        <w:wordWrap/>
        <w:overflowPunct/>
        <w:topLinePunct w:val="0"/>
        <w:bidi w:val="0"/>
        <w:adjustRightInd w:val="0"/>
        <w:snapToGrid w:val="0"/>
        <w:spacing w:line="600" w:lineRule="exact"/>
        <w:ind w:firstLine="640" w:firstLineChars="200"/>
        <w:textAlignment w:val="auto"/>
        <w:rPr>
          <w:rFonts w:hint="default" w:ascii="仿宋_GB2312" w:hAnsi="仿宋_GB2312" w:eastAsia="仿宋_GB2312" w:cs="仿宋_GB2312"/>
          <w:bCs/>
          <w:kern w:val="44"/>
          <w:sz w:val="32"/>
          <w:szCs w:val="32"/>
          <w:highlight w:val="none"/>
          <w:u w:val="none" w:color="auto"/>
          <w:lang w:val="en-US" w:eastAsia="zh-CN"/>
        </w:rPr>
      </w:pPr>
      <w:r>
        <w:rPr>
          <w:rFonts w:hint="default" w:ascii="仿宋_GB2312" w:hAnsi="仿宋_GB2312" w:eastAsia="仿宋_GB2312" w:cs="仿宋_GB2312"/>
          <w:bCs/>
          <w:kern w:val="44"/>
          <w:sz w:val="32"/>
          <w:szCs w:val="32"/>
          <w:highlight w:val="none"/>
          <w:u w:val="none" w:color="auto"/>
          <w:lang w:val="en-US" w:eastAsia="zh-CN"/>
        </w:rPr>
        <w:t>202</w:t>
      </w:r>
      <w:r>
        <w:rPr>
          <w:rFonts w:hint="eastAsia" w:ascii="仿宋_GB2312" w:hAnsi="仿宋_GB2312" w:eastAsia="仿宋_GB2312" w:cs="仿宋_GB2312"/>
          <w:bCs/>
          <w:kern w:val="44"/>
          <w:sz w:val="32"/>
          <w:szCs w:val="32"/>
          <w:highlight w:val="none"/>
          <w:u w:val="none" w:color="auto"/>
          <w:lang w:val="en-US" w:eastAsia="zh-CN"/>
        </w:rPr>
        <w:t>4</w:t>
      </w:r>
      <w:r>
        <w:rPr>
          <w:rFonts w:hint="default" w:ascii="仿宋_GB2312" w:hAnsi="仿宋_GB2312" w:eastAsia="仿宋_GB2312" w:cs="仿宋_GB2312"/>
          <w:bCs/>
          <w:kern w:val="44"/>
          <w:sz w:val="32"/>
          <w:szCs w:val="32"/>
          <w:highlight w:val="none"/>
          <w:u w:val="none" w:color="auto"/>
          <w:lang w:val="en-US" w:eastAsia="zh-CN"/>
        </w:rPr>
        <w:t>年度一般公共预算财政拨款支出年初预算为</w:t>
      </w:r>
      <w:r>
        <w:rPr>
          <w:rFonts w:hint="eastAsia" w:ascii="仿宋_GB2312" w:hAnsi="仿宋_GB2312" w:eastAsia="仿宋_GB2312" w:cs="仿宋_GB2312"/>
          <w:bCs/>
          <w:kern w:val="44"/>
          <w:sz w:val="32"/>
          <w:szCs w:val="32"/>
          <w:highlight w:val="none"/>
          <w:u w:val="none" w:color="auto"/>
          <w:lang w:val="en-US" w:eastAsia="zh-CN"/>
        </w:rPr>
        <w:t>2809.34</w:t>
      </w:r>
      <w:r>
        <w:rPr>
          <w:rFonts w:hint="default" w:ascii="仿宋_GB2312" w:hAnsi="仿宋_GB2312" w:eastAsia="仿宋_GB2312" w:cs="仿宋_GB2312"/>
          <w:bCs/>
          <w:kern w:val="44"/>
          <w:sz w:val="32"/>
          <w:szCs w:val="32"/>
          <w:highlight w:val="none"/>
          <w:u w:val="none" w:color="auto"/>
          <w:lang w:val="en-US" w:eastAsia="zh-CN"/>
        </w:rPr>
        <w:t>万元，支出决算为</w:t>
      </w:r>
      <w:r>
        <w:rPr>
          <w:rFonts w:hint="eastAsia" w:ascii="仿宋_GB2312" w:hAnsi="仿宋_GB2312" w:eastAsia="仿宋_GB2312" w:cs="仿宋_GB2312"/>
          <w:bCs/>
          <w:kern w:val="44"/>
          <w:sz w:val="32"/>
          <w:szCs w:val="32"/>
          <w:highlight w:val="none"/>
          <w:u w:val="none" w:color="auto"/>
          <w:lang w:val="en-US" w:eastAsia="zh-CN"/>
        </w:rPr>
        <w:t>2647.60</w:t>
      </w:r>
      <w:r>
        <w:rPr>
          <w:rFonts w:hint="default" w:ascii="仿宋_GB2312" w:hAnsi="仿宋_GB2312" w:eastAsia="仿宋_GB2312" w:cs="仿宋_GB2312"/>
          <w:bCs/>
          <w:kern w:val="44"/>
          <w:sz w:val="32"/>
          <w:szCs w:val="32"/>
          <w:highlight w:val="none"/>
          <w:u w:val="none" w:color="auto"/>
          <w:lang w:val="en-US" w:eastAsia="zh-CN"/>
        </w:rPr>
        <w:t>万元，完成年初预算的</w:t>
      </w:r>
      <w:r>
        <w:rPr>
          <w:rFonts w:hint="eastAsia" w:ascii="仿宋_GB2312" w:hAnsi="仿宋_GB2312" w:eastAsia="仿宋_GB2312" w:cs="仿宋_GB2312"/>
          <w:bCs/>
          <w:kern w:val="44"/>
          <w:sz w:val="32"/>
          <w:szCs w:val="32"/>
          <w:highlight w:val="none"/>
          <w:u w:val="none" w:color="auto"/>
          <w:lang w:val="en-US" w:eastAsia="zh-CN"/>
        </w:rPr>
        <w:t>94.2</w:t>
      </w:r>
      <w:r>
        <w:rPr>
          <w:rFonts w:hint="default" w:ascii="仿宋_GB2312" w:hAnsi="仿宋_GB2312" w:eastAsia="仿宋_GB2312" w:cs="仿宋_GB2312"/>
          <w:bCs/>
          <w:kern w:val="44"/>
          <w:sz w:val="32"/>
          <w:szCs w:val="32"/>
          <w:highlight w:val="none"/>
          <w:u w:val="none" w:color="auto"/>
          <w:lang w:val="en-US" w:eastAsia="zh-CN"/>
        </w:rPr>
        <w:t>%。其中：基本支出</w:t>
      </w:r>
      <w:r>
        <w:rPr>
          <w:rFonts w:hint="eastAsia" w:ascii="仿宋_GB2312" w:hAnsi="仿宋_GB2312" w:eastAsia="仿宋_GB2312" w:cs="仿宋_GB2312"/>
          <w:bCs/>
          <w:kern w:val="44"/>
          <w:sz w:val="32"/>
          <w:szCs w:val="32"/>
          <w:highlight w:val="none"/>
          <w:u w:val="none" w:color="auto"/>
          <w:lang w:val="en-US" w:eastAsia="zh-CN"/>
        </w:rPr>
        <w:t>2599.10</w:t>
      </w:r>
      <w:r>
        <w:rPr>
          <w:rFonts w:hint="default" w:ascii="仿宋_GB2312" w:hAnsi="仿宋_GB2312" w:eastAsia="仿宋_GB2312" w:cs="仿宋_GB2312"/>
          <w:bCs/>
          <w:kern w:val="44"/>
          <w:sz w:val="32"/>
          <w:szCs w:val="32"/>
          <w:highlight w:val="none"/>
          <w:u w:val="none" w:color="auto"/>
          <w:lang w:val="en-US" w:eastAsia="zh-CN"/>
        </w:rPr>
        <w:t>万元，项目支出</w:t>
      </w:r>
      <w:r>
        <w:rPr>
          <w:rFonts w:hint="eastAsia" w:ascii="仿宋_GB2312" w:hAnsi="仿宋_GB2312" w:eastAsia="仿宋_GB2312" w:cs="仿宋_GB2312"/>
          <w:bCs/>
          <w:kern w:val="44"/>
          <w:sz w:val="32"/>
          <w:szCs w:val="32"/>
          <w:highlight w:val="none"/>
          <w:u w:val="none" w:color="auto"/>
          <w:lang w:val="en-US" w:eastAsia="zh-CN"/>
        </w:rPr>
        <w:t>48.50</w:t>
      </w:r>
      <w:r>
        <w:rPr>
          <w:rFonts w:hint="default" w:ascii="仿宋_GB2312" w:hAnsi="仿宋_GB2312" w:eastAsia="仿宋_GB2312" w:cs="仿宋_GB2312"/>
          <w:bCs/>
          <w:kern w:val="44"/>
          <w:sz w:val="32"/>
          <w:szCs w:val="32"/>
          <w:highlight w:val="none"/>
          <w:u w:val="none" w:color="auto"/>
          <w:lang w:val="en-US" w:eastAsia="zh-CN"/>
        </w:rPr>
        <w:t>万元。项目支出</w:t>
      </w:r>
      <w:r>
        <w:rPr>
          <w:rFonts w:hint="eastAsia" w:ascii="仿宋_GB2312" w:hAnsi="仿宋_GB2312" w:eastAsia="仿宋_GB2312" w:cs="仿宋_GB2312"/>
          <w:bCs/>
          <w:kern w:val="44"/>
          <w:sz w:val="32"/>
          <w:szCs w:val="32"/>
          <w:highlight w:val="none"/>
          <w:u w:val="none" w:color="auto"/>
          <w:lang w:val="en-US" w:eastAsia="zh-CN"/>
        </w:rPr>
        <w:t>主要</w:t>
      </w:r>
      <w:r>
        <w:rPr>
          <w:rFonts w:hint="default" w:ascii="仿宋_GB2312" w:hAnsi="仿宋_GB2312" w:eastAsia="仿宋_GB2312" w:cs="仿宋_GB2312"/>
          <w:bCs/>
          <w:kern w:val="44"/>
          <w:sz w:val="32"/>
          <w:szCs w:val="32"/>
          <w:highlight w:val="none"/>
          <w:u w:val="none" w:color="auto"/>
          <w:lang w:val="en-US" w:eastAsia="zh-CN"/>
        </w:rPr>
        <w:t>用于学校义务教育的办公费</w:t>
      </w:r>
      <w:r>
        <w:rPr>
          <w:rFonts w:hint="eastAsia" w:ascii="仿宋_GB2312" w:hAnsi="仿宋_GB2312" w:eastAsia="仿宋_GB2312" w:cs="仿宋_GB2312"/>
          <w:bCs/>
          <w:kern w:val="44"/>
          <w:sz w:val="32"/>
          <w:szCs w:val="32"/>
          <w:highlight w:val="none"/>
          <w:u w:val="none" w:color="auto"/>
          <w:lang w:val="en-US" w:eastAsia="zh-CN"/>
        </w:rPr>
        <w:t>、</w:t>
      </w:r>
      <w:r>
        <w:rPr>
          <w:rFonts w:hint="default" w:ascii="仿宋_GB2312" w:hAnsi="仿宋_GB2312" w:eastAsia="仿宋_GB2312" w:cs="仿宋_GB2312"/>
          <w:bCs/>
          <w:kern w:val="44"/>
          <w:sz w:val="32"/>
          <w:szCs w:val="32"/>
          <w:highlight w:val="none"/>
          <w:u w:val="none" w:color="auto"/>
          <w:lang w:val="en-US" w:eastAsia="zh-CN"/>
        </w:rPr>
        <w:t>水电费、维修（护）费等补助费用。</w:t>
      </w:r>
    </w:p>
    <w:p w14:paraId="4809F365">
      <w:pPr>
        <w:pageBreakBefore w:val="0"/>
        <w:widowControl w:val="0"/>
        <w:numPr>
          <w:ilvl w:val="0"/>
          <w:numId w:val="0"/>
        </w:numPr>
        <w:kinsoku/>
        <w:wordWrap/>
        <w:overflowPunct/>
        <w:topLinePunct w:val="0"/>
        <w:bidi w:val="0"/>
        <w:adjustRightInd w:val="0"/>
        <w:snapToGrid w:val="0"/>
        <w:spacing w:line="600" w:lineRule="exact"/>
        <w:ind w:firstLine="640" w:firstLineChars="200"/>
        <w:textAlignment w:val="auto"/>
        <w:rPr>
          <w:rFonts w:hint="default" w:ascii="仿宋_GB2312" w:hAnsi="仿宋_GB2312" w:eastAsia="仿宋_GB2312" w:cs="仿宋_GB2312"/>
          <w:bCs/>
          <w:kern w:val="44"/>
          <w:sz w:val="32"/>
          <w:szCs w:val="32"/>
          <w:highlight w:val="none"/>
          <w:u w:val="none" w:color="auto"/>
          <w:lang w:val="en-US" w:eastAsia="zh-CN"/>
        </w:rPr>
      </w:pPr>
      <w:r>
        <w:rPr>
          <w:rFonts w:hint="default" w:ascii="仿宋_GB2312" w:hAnsi="仿宋_GB2312" w:eastAsia="仿宋_GB2312" w:cs="仿宋_GB2312"/>
          <w:bCs/>
          <w:kern w:val="44"/>
          <w:sz w:val="32"/>
          <w:szCs w:val="32"/>
          <w:highlight w:val="none"/>
          <w:u w:val="none" w:color="auto"/>
          <w:lang w:val="en-US" w:eastAsia="zh-CN"/>
        </w:rPr>
        <w:t>1.一般公共服务支出。年初预算为</w:t>
      </w:r>
      <w:r>
        <w:rPr>
          <w:rFonts w:hint="eastAsia" w:ascii="仿宋_GB2312" w:hAnsi="仿宋_GB2312" w:eastAsia="仿宋_GB2312" w:cs="仿宋_GB2312"/>
          <w:bCs/>
          <w:kern w:val="44"/>
          <w:sz w:val="32"/>
          <w:szCs w:val="32"/>
          <w:highlight w:val="none"/>
          <w:u w:val="none" w:color="auto"/>
          <w:lang w:val="en-US" w:eastAsia="zh-CN"/>
        </w:rPr>
        <w:t>2589.37</w:t>
      </w:r>
      <w:r>
        <w:rPr>
          <w:rFonts w:hint="default" w:ascii="仿宋_GB2312" w:hAnsi="仿宋_GB2312" w:eastAsia="仿宋_GB2312" w:cs="仿宋_GB2312"/>
          <w:bCs/>
          <w:kern w:val="44"/>
          <w:sz w:val="32"/>
          <w:szCs w:val="32"/>
          <w:highlight w:val="none"/>
          <w:u w:val="none" w:color="auto"/>
          <w:lang w:val="en-US" w:eastAsia="zh-CN"/>
        </w:rPr>
        <w:t>万元，支出决算为</w:t>
      </w:r>
      <w:r>
        <w:rPr>
          <w:rFonts w:hint="eastAsia" w:ascii="仿宋_GB2312" w:hAnsi="仿宋_GB2312" w:eastAsia="仿宋_GB2312" w:cs="仿宋_GB2312"/>
          <w:bCs/>
          <w:kern w:val="44"/>
          <w:sz w:val="32"/>
          <w:szCs w:val="32"/>
          <w:highlight w:val="none"/>
          <w:u w:val="none" w:color="auto"/>
          <w:lang w:val="en-US" w:eastAsia="zh-CN"/>
        </w:rPr>
        <w:t>2455.17</w:t>
      </w:r>
      <w:r>
        <w:rPr>
          <w:rFonts w:hint="default" w:ascii="仿宋_GB2312" w:hAnsi="仿宋_GB2312" w:eastAsia="仿宋_GB2312" w:cs="仿宋_GB2312"/>
          <w:bCs/>
          <w:kern w:val="44"/>
          <w:sz w:val="32"/>
          <w:szCs w:val="32"/>
          <w:highlight w:val="none"/>
          <w:u w:val="none" w:color="auto"/>
          <w:lang w:val="en-US" w:eastAsia="zh-CN"/>
        </w:rPr>
        <w:t>万元，完成年初预算的</w:t>
      </w:r>
      <w:r>
        <w:rPr>
          <w:rFonts w:hint="eastAsia" w:ascii="仿宋_GB2312" w:hAnsi="仿宋_GB2312" w:eastAsia="仿宋_GB2312" w:cs="仿宋_GB2312"/>
          <w:bCs/>
          <w:kern w:val="44"/>
          <w:sz w:val="32"/>
          <w:szCs w:val="32"/>
          <w:highlight w:val="none"/>
          <w:u w:val="none" w:color="auto"/>
          <w:lang w:val="en-US" w:eastAsia="zh-CN"/>
        </w:rPr>
        <w:t>94.8</w:t>
      </w:r>
      <w:r>
        <w:rPr>
          <w:rFonts w:hint="default" w:ascii="仿宋_GB2312" w:hAnsi="仿宋_GB2312" w:eastAsia="仿宋_GB2312" w:cs="仿宋_GB2312"/>
          <w:bCs/>
          <w:kern w:val="44"/>
          <w:sz w:val="32"/>
          <w:szCs w:val="32"/>
          <w:highlight w:val="none"/>
          <w:u w:val="none" w:color="auto"/>
          <w:lang w:val="en-US" w:eastAsia="zh-CN"/>
        </w:rPr>
        <w:t>%，支出决算数大于年初预算数的主要原因</w:t>
      </w:r>
      <w:r>
        <w:rPr>
          <w:rFonts w:hint="eastAsia" w:ascii="仿宋_GB2312" w:hAnsi="仿宋_GB2312" w:eastAsia="仿宋_GB2312" w:cs="仿宋_GB2312"/>
          <w:bCs/>
          <w:kern w:val="44"/>
          <w:sz w:val="32"/>
          <w:szCs w:val="32"/>
          <w:highlight w:val="none"/>
          <w:u w:val="none" w:color="auto"/>
          <w:lang w:val="en-US" w:eastAsia="zh-CN"/>
        </w:rPr>
        <w:t>学生人数、教师人数增长</w:t>
      </w:r>
      <w:r>
        <w:rPr>
          <w:rFonts w:hint="default" w:ascii="仿宋_GB2312" w:hAnsi="仿宋_GB2312" w:eastAsia="仿宋_GB2312" w:cs="仿宋_GB2312"/>
          <w:bCs/>
          <w:kern w:val="44"/>
          <w:sz w:val="32"/>
          <w:szCs w:val="32"/>
          <w:highlight w:val="none"/>
          <w:u w:val="none" w:color="auto"/>
          <w:lang w:val="en-US" w:eastAsia="zh-CN"/>
        </w:rPr>
        <w:t>。</w:t>
      </w:r>
    </w:p>
    <w:p w14:paraId="43CED29E">
      <w:pPr>
        <w:pageBreakBefore w:val="0"/>
        <w:widowControl w:val="0"/>
        <w:numPr>
          <w:ilvl w:val="0"/>
          <w:numId w:val="0"/>
        </w:numPr>
        <w:kinsoku/>
        <w:wordWrap/>
        <w:overflowPunct/>
        <w:topLinePunct w:val="0"/>
        <w:bidi w:val="0"/>
        <w:adjustRightInd w:val="0"/>
        <w:snapToGrid w:val="0"/>
        <w:spacing w:line="600" w:lineRule="exact"/>
        <w:ind w:firstLine="640" w:firstLineChars="200"/>
        <w:textAlignment w:val="auto"/>
        <w:rPr>
          <w:rFonts w:hint="default" w:ascii="仿宋_GB2312" w:hAnsi="仿宋_GB2312" w:eastAsia="仿宋_GB2312" w:cs="仿宋_GB2312"/>
          <w:bCs/>
          <w:kern w:val="44"/>
          <w:sz w:val="32"/>
          <w:szCs w:val="32"/>
          <w:highlight w:val="none"/>
          <w:u w:val="none" w:color="auto"/>
          <w:lang w:val="en-US" w:eastAsia="zh-CN"/>
        </w:rPr>
      </w:pPr>
      <w:r>
        <w:rPr>
          <w:rFonts w:hint="default" w:ascii="仿宋_GB2312" w:hAnsi="仿宋_GB2312" w:eastAsia="仿宋_GB2312" w:cs="仿宋_GB2312"/>
          <w:bCs/>
          <w:kern w:val="44"/>
          <w:sz w:val="32"/>
          <w:szCs w:val="32"/>
          <w:highlight w:val="none"/>
          <w:u w:val="none" w:color="auto"/>
          <w:lang w:val="en-US" w:eastAsia="zh-CN"/>
        </w:rPr>
        <w:t>2.</w:t>
      </w:r>
      <w:r>
        <w:rPr>
          <w:rFonts w:hint="eastAsia" w:ascii="仿宋_GB2312" w:hAnsi="仿宋_GB2312" w:eastAsia="仿宋_GB2312" w:cs="仿宋_GB2312"/>
          <w:bCs/>
          <w:kern w:val="44"/>
          <w:sz w:val="32"/>
          <w:szCs w:val="32"/>
          <w:highlight w:val="none"/>
          <w:u w:val="none" w:color="auto"/>
          <w:lang w:val="en-US" w:eastAsia="zh-CN"/>
        </w:rPr>
        <w:t>社会保障和就业支出。年初预算为374.33，支出决算为192.43，完成年初预算的51.4%，支出决算数少于年初预算数的主要原因是教师辞职及退休人员的去世导致社会保障和就业支出决算数的减少。</w:t>
      </w:r>
      <w:bookmarkStart w:id="0" w:name="_GoBack"/>
      <w:bookmarkEnd w:id="0"/>
    </w:p>
    <w:p w14:paraId="17872571">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6" w:firstLineChars="200"/>
        <w:rPr>
          <w:rFonts w:hint="default" w:ascii="Times New Roman" w:hAnsi="Times New Roman" w:eastAsia="黑体" w:cs="Times New Roman"/>
          <w:sz w:val="32"/>
          <w:szCs w:val="32"/>
          <w:u w:val="none" w:color="auto"/>
        </w:rPr>
      </w:pPr>
      <w:r>
        <w:rPr>
          <w:rFonts w:hint="default" w:ascii="Times New Roman" w:hAnsi="Times New Roman" w:eastAsia="黑体" w:cs="Times New Roman"/>
          <w:spacing w:val="-1"/>
          <w:sz w:val="32"/>
          <w:szCs w:val="32"/>
          <w:u w:val="none" w:color="auto"/>
        </w:rPr>
        <w:t>六、一般公共预算财政拨款基本支出决算情况说明</w:t>
      </w:r>
    </w:p>
    <w:p w14:paraId="7BD4378C">
      <w:pPr>
        <w:pStyle w:val="2"/>
        <w:keepNext w:val="0"/>
        <w:keepLines w:val="0"/>
        <w:pageBreakBefore w:val="0"/>
        <w:widowControl w:val="0"/>
        <w:kinsoku/>
        <w:wordWrap/>
        <w:overflowPunct/>
        <w:topLinePunct w:val="0"/>
        <w:autoSpaceDE w:val="0"/>
        <w:autoSpaceDN w:val="0"/>
        <w:bidi w:val="0"/>
        <w:adjustRightInd w:val="0"/>
        <w:snapToGrid w:val="0"/>
        <w:spacing w:line="560" w:lineRule="exact"/>
        <w:ind w:right="0" w:firstLine="612" w:firstLineChars="200"/>
        <w:jc w:val="both"/>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rPr>
        <w:t>202</w:t>
      </w:r>
      <w:r>
        <w:rPr>
          <w:rFonts w:hint="eastAsia" w:ascii="Times New Roman" w:hAnsi="Times New Roman" w:eastAsia="仿宋_GB2312" w:cs="Times New Roman"/>
          <w:spacing w:val="-7"/>
          <w:u w:val="none" w:color="auto"/>
          <w:lang w:val="en-US" w:eastAsia="zh-CN"/>
        </w:rPr>
        <w:t>4</w:t>
      </w:r>
      <w:r>
        <w:rPr>
          <w:rFonts w:hint="default" w:ascii="Times New Roman" w:hAnsi="Times New Roman" w:eastAsia="仿宋_GB2312" w:cs="Times New Roman"/>
          <w:spacing w:val="-7"/>
          <w:u w:val="none" w:color="auto"/>
        </w:rPr>
        <w:t>年度一般公共预算财政拨款基本支出</w:t>
      </w:r>
      <w:r>
        <w:rPr>
          <w:rFonts w:hint="eastAsia" w:ascii="Times New Roman" w:hAnsi="Times New Roman" w:eastAsia="仿宋_GB2312" w:cs="Times New Roman"/>
          <w:spacing w:val="-7"/>
          <w:u w:val="none" w:color="auto"/>
          <w:lang w:val="en-US" w:eastAsia="zh-CN"/>
        </w:rPr>
        <w:t>2599.10</w:t>
      </w:r>
      <w:r>
        <w:rPr>
          <w:rFonts w:hint="default" w:ascii="Times New Roman" w:hAnsi="Times New Roman" w:eastAsia="仿宋_GB2312" w:cs="Times New Roman"/>
          <w:spacing w:val="-7"/>
          <w:u w:val="none" w:color="auto"/>
        </w:rPr>
        <w:t>万元，其中：</w:t>
      </w:r>
      <w:r>
        <w:rPr>
          <w:rFonts w:hint="default" w:ascii="Times New Roman" w:hAnsi="Times New Roman" w:eastAsia="仿宋_GB2312" w:cs="Times New Roman"/>
          <w:spacing w:val="-13"/>
          <w:u w:val="none" w:color="auto"/>
        </w:rPr>
        <w:t>人员经费</w:t>
      </w:r>
      <w:r>
        <w:rPr>
          <w:rFonts w:hint="eastAsia" w:ascii="Times New Roman" w:hAnsi="Times New Roman" w:eastAsia="仿宋_GB2312" w:cs="Times New Roman"/>
          <w:spacing w:val="-13"/>
          <w:u w:val="none" w:color="auto"/>
          <w:lang w:val="en-US" w:eastAsia="zh-CN"/>
        </w:rPr>
        <w:t>2435.05</w:t>
      </w:r>
      <w:r>
        <w:rPr>
          <w:rFonts w:hint="default" w:ascii="Times New Roman" w:hAnsi="Times New Roman" w:eastAsia="仿宋_GB2312" w:cs="Times New Roman"/>
          <w:spacing w:val="-13"/>
          <w:u w:val="none" w:color="auto"/>
        </w:rPr>
        <w:t>万元，主要包括：基本工资、津贴补贴、</w:t>
      </w:r>
      <w:r>
        <w:rPr>
          <w:rFonts w:hint="default" w:ascii="Times New Roman" w:hAnsi="Times New Roman" w:eastAsia="仿宋_GB2312" w:cs="Times New Roman"/>
          <w:spacing w:val="-14"/>
          <w:u w:val="none" w:color="auto"/>
        </w:rPr>
        <w:t>奖金、</w:t>
      </w:r>
      <w:r>
        <w:rPr>
          <w:rFonts w:hint="default" w:ascii="Times New Roman" w:hAnsi="Times New Roman" w:eastAsia="仿宋_GB2312" w:cs="Times New Roman"/>
          <w:spacing w:val="-5"/>
          <w:u w:val="none" w:color="auto"/>
        </w:rPr>
        <w:t>伙食补助费、绩效工资、机关事业单位基本养老保险缴费、职业年金缴费、职工基本医疗保险缴费、公务员医疗补助缴费、其他社会保障缴费、住房公积金、医疗费、其他工资福利支出、离休费、退休费、退职</w:t>
      </w:r>
      <w:r>
        <w:rPr>
          <w:rFonts w:hint="eastAsia" w:ascii="Times New Roman" w:hAnsi="Times New Roman" w:eastAsia="仿宋_GB2312" w:cs="Times New Roman"/>
          <w:spacing w:val="-5"/>
          <w:u w:val="none" w:color="auto"/>
          <w:lang w:eastAsia="zh-CN"/>
        </w:rPr>
        <w:t>（</w:t>
      </w:r>
      <w:r>
        <w:rPr>
          <w:rFonts w:hint="default" w:ascii="Times New Roman" w:hAnsi="Times New Roman" w:eastAsia="仿宋_GB2312" w:cs="Times New Roman"/>
          <w:spacing w:val="-5"/>
          <w:u w:val="none" w:color="auto"/>
        </w:rPr>
        <w:t>役</w:t>
      </w:r>
      <w:r>
        <w:rPr>
          <w:rFonts w:hint="eastAsia" w:ascii="Times New Roman" w:hAnsi="Times New Roman" w:eastAsia="仿宋_GB2312" w:cs="Times New Roman"/>
          <w:spacing w:val="-5"/>
          <w:u w:val="none" w:color="auto"/>
          <w:lang w:eastAsia="zh-CN"/>
        </w:rPr>
        <w:t>）</w:t>
      </w:r>
      <w:r>
        <w:rPr>
          <w:rFonts w:hint="default" w:ascii="Times New Roman" w:hAnsi="Times New Roman" w:eastAsia="仿宋_GB2312" w:cs="Times New Roman"/>
          <w:spacing w:val="-5"/>
          <w:u w:val="none" w:color="auto"/>
        </w:rPr>
        <w:t>费、抚恤金、生活补助</w:t>
      </w:r>
      <w:r>
        <w:rPr>
          <w:rFonts w:hint="default" w:ascii="Times New Roman" w:hAnsi="Times New Roman" w:eastAsia="仿宋_GB2312" w:cs="Times New Roman"/>
          <w:spacing w:val="-6"/>
          <w:u w:val="none" w:color="auto"/>
        </w:rPr>
        <w:t>、救济费、医疗费</w:t>
      </w:r>
      <w:r>
        <w:rPr>
          <w:rFonts w:hint="default" w:ascii="Times New Roman" w:hAnsi="Times New Roman" w:eastAsia="仿宋_GB2312" w:cs="Times New Roman"/>
          <w:spacing w:val="-3"/>
          <w:u w:val="none" w:color="auto"/>
        </w:rPr>
        <w:t>补助、助学金、奖励金、个人农业生产补贴、代缴社会保险费、</w:t>
      </w:r>
      <w:r>
        <w:rPr>
          <w:rFonts w:hint="default" w:ascii="Times New Roman" w:hAnsi="Times New Roman" w:eastAsia="仿宋_GB2312" w:cs="Times New Roman"/>
          <w:spacing w:val="-1"/>
          <w:u w:val="none" w:color="auto"/>
        </w:rPr>
        <w:t>其他对个人和家庭的补助。</w:t>
      </w:r>
    </w:p>
    <w:p w14:paraId="5B25EF79">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16" w:firstLineChars="200"/>
        <w:jc w:val="both"/>
        <w:rPr>
          <w:rFonts w:hint="default" w:ascii="Times New Roman" w:hAnsi="Times New Roman" w:eastAsia="仿宋_GB2312" w:cs="Times New Roman"/>
          <w:u w:val="none" w:color="auto"/>
        </w:rPr>
      </w:pPr>
      <w:r>
        <w:rPr>
          <w:rFonts w:hint="default" w:ascii="Times New Roman" w:hAnsi="Times New Roman" w:eastAsia="仿宋_GB2312" w:cs="Times New Roman"/>
          <w:spacing w:val="-6"/>
          <w:u w:val="none" w:color="auto"/>
        </w:rPr>
        <w:t>公用经费</w:t>
      </w:r>
      <w:r>
        <w:rPr>
          <w:rFonts w:hint="eastAsia" w:ascii="Times New Roman" w:hAnsi="Times New Roman" w:eastAsia="仿宋_GB2312" w:cs="Times New Roman"/>
          <w:spacing w:val="-6"/>
          <w:u w:val="none" w:color="auto"/>
          <w:lang w:val="en-US" w:eastAsia="zh-CN"/>
        </w:rPr>
        <w:t>164.05</w:t>
      </w:r>
      <w:r>
        <w:rPr>
          <w:rFonts w:hint="default" w:ascii="Times New Roman" w:hAnsi="Times New Roman" w:eastAsia="仿宋_GB2312" w:cs="Times New Roman"/>
          <w:spacing w:val="-6"/>
          <w:u w:val="none" w:color="auto"/>
        </w:rPr>
        <w:t>万元，主要包括：办公费、印刷费、咨询费、</w:t>
      </w:r>
      <w:r>
        <w:rPr>
          <w:rFonts w:hint="default" w:ascii="Times New Roman" w:hAnsi="Times New Roman" w:eastAsia="仿宋_GB2312" w:cs="Times New Roman"/>
          <w:spacing w:val="-3"/>
          <w:u w:val="none" w:color="auto"/>
        </w:rPr>
        <w:t>手续费、水费、电费、邮电费、取暖费、物业管理费、差旅费、</w:t>
      </w:r>
      <w:r>
        <w:rPr>
          <w:rFonts w:hint="default" w:ascii="Times New Roman" w:hAnsi="Times New Roman" w:eastAsia="仿宋_GB2312" w:cs="Times New Roman"/>
          <w:spacing w:val="-7"/>
          <w:u w:val="none" w:color="auto"/>
        </w:rPr>
        <w:t>因公出国</w:t>
      </w:r>
      <w:r>
        <w:rPr>
          <w:rFonts w:hint="eastAsia"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境</w:t>
      </w:r>
      <w:r>
        <w:rPr>
          <w:rFonts w:hint="eastAsia"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费用、维修</w:t>
      </w:r>
      <w:r>
        <w:rPr>
          <w:rFonts w:hint="eastAsia"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护</w:t>
      </w:r>
      <w:r>
        <w:rPr>
          <w:rFonts w:hint="eastAsia"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费、租赁费、会议费、培训费、公</w:t>
      </w:r>
      <w:r>
        <w:rPr>
          <w:rFonts w:hint="default" w:ascii="Times New Roman" w:hAnsi="Times New Roman" w:eastAsia="仿宋_GB2312" w:cs="Times New Roman"/>
          <w:spacing w:val="-5"/>
          <w:u w:val="none" w:color="auto"/>
        </w:rPr>
        <w:t>务接待费、专用材料费、被装购置费、专用燃料费、劳务费、委托业务费、工会经费、福利费、公务用车运行维护费、其他交通</w:t>
      </w:r>
      <w:r>
        <w:rPr>
          <w:rFonts w:hint="default" w:ascii="Times New Roman" w:hAnsi="Times New Roman" w:eastAsia="仿宋_GB2312" w:cs="Times New Roman"/>
          <w:spacing w:val="-3"/>
          <w:u w:val="none" w:color="auto"/>
        </w:rPr>
        <w:t>费用、税金及附加费用、其他商品和服务支出、办公设备购置、</w:t>
      </w:r>
      <w:r>
        <w:rPr>
          <w:rFonts w:hint="default" w:ascii="Times New Roman" w:hAnsi="Times New Roman" w:eastAsia="仿宋_GB2312" w:cs="Times New Roman"/>
          <w:spacing w:val="-5"/>
          <w:u w:val="none" w:color="auto"/>
        </w:rPr>
        <w:t>专用设备购置、信息网络及软件购置更新、公务用车购置、文物</w:t>
      </w:r>
      <w:r>
        <w:rPr>
          <w:rFonts w:hint="default" w:ascii="Times New Roman" w:hAnsi="Times New Roman" w:eastAsia="仿宋_GB2312" w:cs="Times New Roman"/>
          <w:spacing w:val="-1"/>
          <w:u w:val="none" w:color="auto"/>
        </w:rPr>
        <w:t>和陈列品购置、无形资产购置、其他资本性支出。</w:t>
      </w:r>
    </w:p>
    <w:p w14:paraId="32B16A9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rPr>
          <w:rFonts w:hint="default" w:ascii="Times New Roman" w:hAnsi="Times New Roman" w:eastAsia="黑体" w:cs="Times New Roman"/>
          <w:sz w:val="32"/>
          <w:szCs w:val="32"/>
          <w:u w:val="none" w:color="auto"/>
        </w:rPr>
      </w:pPr>
      <w:r>
        <w:rPr>
          <w:rFonts w:hint="default" w:ascii="Times New Roman" w:hAnsi="Times New Roman" w:eastAsia="黑体" w:cs="Times New Roman"/>
          <w:sz w:val="32"/>
          <w:szCs w:val="32"/>
          <w:u w:val="none" w:color="auto"/>
        </w:rPr>
        <w:t>七、政府性基金预算财政拨款收入支出决算情</w:t>
      </w:r>
      <w:r>
        <w:rPr>
          <w:rFonts w:hint="default" w:ascii="Times New Roman" w:hAnsi="Times New Roman" w:eastAsia="黑体" w:cs="Times New Roman"/>
          <w:spacing w:val="-1"/>
          <w:sz w:val="32"/>
          <w:szCs w:val="32"/>
          <w:u w:val="none" w:color="auto"/>
        </w:rPr>
        <w:t>况说明</w:t>
      </w:r>
    </w:p>
    <w:p w14:paraId="472EB7EF">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rPr>
          <w:rFonts w:hint="default" w:ascii="Times New Roman" w:hAnsi="Times New Roman" w:eastAsia="仿宋_GB2312" w:cs="Times New Roman"/>
          <w:u w:val="none" w:color="auto"/>
          <w:lang w:val="en-US" w:eastAsia="zh-CN"/>
        </w:rPr>
      </w:pPr>
      <w:r>
        <w:rPr>
          <w:rFonts w:hint="eastAsia" w:ascii="Times New Roman" w:hAnsi="Times New Roman" w:eastAsia="仿宋_GB2312" w:cs="Times New Roman"/>
          <w:u w:val="none" w:color="auto"/>
          <w:lang w:val="en-US" w:eastAsia="zh-CN"/>
        </w:rPr>
        <w:t>本部门当年无政府性基金预算财政拨款收入支出。</w:t>
      </w:r>
    </w:p>
    <w:p w14:paraId="6C9AD38F">
      <w:pPr>
        <w:keepNext w:val="0"/>
        <w:keepLines w:val="0"/>
        <w:pageBreakBefore w:val="0"/>
        <w:widowControl w:val="0"/>
        <w:numPr>
          <w:ilvl w:val="0"/>
          <w:numId w:val="2"/>
        </w:numPr>
        <w:kinsoku/>
        <w:wordWrap/>
        <w:overflowPunct/>
        <w:topLinePunct w:val="0"/>
        <w:autoSpaceDE w:val="0"/>
        <w:autoSpaceDN w:val="0"/>
        <w:bidi w:val="0"/>
        <w:adjustRightInd w:val="0"/>
        <w:snapToGrid w:val="0"/>
        <w:spacing w:line="560" w:lineRule="exact"/>
        <w:ind w:left="0" w:right="0" w:firstLine="636" w:firstLineChars="200"/>
        <w:rPr>
          <w:rFonts w:hint="default" w:ascii="Times New Roman" w:hAnsi="Times New Roman" w:eastAsia="黑体" w:cs="Times New Roman"/>
          <w:spacing w:val="-1"/>
          <w:sz w:val="32"/>
          <w:szCs w:val="32"/>
          <w:u w:val="none" w:color="auto"/>
          <w:lang w:val="en-US" w:eastAsia="zh-CN"/>
        </w:rPr>
      </w:pPr>
      <w:r>
        <w:rPr>
          <w:rFonts w:hint="default" w:ascii="Times New Roman" w:hAnsi="Times New Roman" w:eastAsia="黑体" w:cs="Times New Roman"/>
          <w:spacing w:val="-1"/>
          <w:sz w:val="32"/>
          <w:szCs w:val="32"/>
          <w:u w:val="none" w:color="auto"/>
        </w:rPr>
        <w:t>国有资本经营预算财政拨款支出决算情况说明</w:t>
      </w:r>
    </w:p>
    <w:p w14:paraId="4C2EB359">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jc w:val="both"/>
        <w:rPr>
          <w:rFonts w:hint="default" w:ascii="Times New Roman" w:hAnsi="Times New Roman" w:eastAsia="仿宋_GB2312" w:cs="Times New Roman"/>
          <w:u w:val="none" w:color="auto"/>
          <w:lang w:val="en-US" w:eastAsia="zh-CN"/>
        </w:rPr>
      </w:pPr>
      <w:r>
        <w:rPr>
          <w:rFonts w:hint="eastAsia" w:ascii="Times New Roman" w:hAnsi="Times New Roman" w:eastAsia="仿宋_GB2312" w:cs="Times New Roman"/>
          <w:u w:val="none" w:color="auto"/>
          <w:lang w:val="en-US" w:eastAsia="zh-CN"/>
        </w:rPr>
        <w:t>本部门当年无政府性基金预算财政拨款收入支出。</w:t>
      </w:r>
    </w:p>
    <w:p w14:paraId="097233AA">
      <w:pPr>
        <w:pStyle w:val="7"/>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firstLine="636" w:firstLineChars="200"/>
        <w:rPr>
          <w:rFonts w:hint="default" w:ascii="Times New Roman" w:hAnsi="Times New Roman" w:eastAsia="黑体" w:cs="Times New Roman"/>
          <w:spacing w:val="-1"/>
          <w:sz w:val="32"/>
          <w:szCs w:val="32"/>
          <w:u w:val="none" w:color="auto"/>
        </w:rPr>
      </w:pPr>
      <w:r>
        <w:rPr>
          <w:rFonts w:hint="default" w:ascii="Times New Roman" w:hAnsi="Times New Roman" w:eastAsia="黑体" w:cs="Times New Roman"/>
          <w:spacing w:val="-1"/>
          <w:sz w:val="32"/>
          <w:szCs w:val="32"/>
          <w:u w:val="none" w:color="auto"/>
        </w:rPr>
        <w:t>九、财政拨款“三公”经费支出决算情况说明</w:t>
      </w:r>
    </w:p>
    <w:p w14:paraId="56CBB2B9">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4" w:firstLineChars="200"/>
        <w:rPr>
          <w:rFonts w:hint="eastAsia" w:ascii="Times New Roman" w:hAnsi="Times New Roman" w:eastAsia="仿宋_GB2312" w:cs="Times New Roman"/>
          <w:spacing w:val="1"/>
          <w:u w:val="none" w:color="auto"/>
          <w:lang w:val="en-US" w:eastAsia="zh-CN"/>
        </w:rPr>
      </w:pPr>
      <w:r>
        <w:rPr>
          <w:rFonts w:hint="eastAsia" w:ascii="Times New Roman" w:hAnsi="Times New Roman" w:eastAsia="仿宋_GB2312" w:cs="Times New Roman"/>
          <w:spacing w:val="1"/>
          <w:u w:val="none" w:color="auto"/>
          <w:lang w:eastAsia="zh-CN"/>
        </w:rPr>
        <w:t>（一）“三公”经费财政拨款支出决算总体情况说明。</w:t>
      </w:r>
    </w:p>
    <w:p w14:paraId="00FDDCB2">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4" w:firstLineChars="200"/>
        <w:rPr>
          <w:rFonts w:hint="default" w:ascii="Times New Roman" w:hAnsi="Times New Roman" w:eastAsia="仿宋_GB2312" w:cs="Times New Roman"/>
          <w:spacing w:val="1"/>
          <w:u w:val="none" w:color="auto"/>
          <w:lang w:val="en-US" w:eastAsia="zh-CN"/>
        </w:rPr>
      </w:pPr>
      <w:r>
        <w:rPr>
          <w:rFonts w:hint="eastAsia" w:ascii="Times New Roman" w:hAnsi="Times New Roman" w:eastAsia="仿宋_GB2312" w:cs="Times New Roman"/>
          <w:spacing w:val="1"/>
          <w:u w:val="none" w:color="auto"/>
          <w:lang w:val="en-US" w:eastAsia="zh-CN"/>
        </w:rPr>
        <w:t>2024年度“三公”经费财政拨款支出全年预算为</w:t>
      </w:r>
      <w:r>
        <w:rPr>
          <w:rFonts w:hint="eastAsia" w:ascii="Times New Roman" w:hAnsi="Times New Roman" w:eastAsia="仿宋_GB2312" w:cs="Times New Roman"/>
          <w:spacing w:val="-5"/>
          <w:u w:val="none" w:color="auto"/>
          <w:lang w:val="en-US" w:eastAsia="zh-CN"/>
        </w:rPr>
        <w:t>0</w:t>
      </w:r>
      <w:r>
        <w:rPr>
          <w:rFonts w:hint="eastAsia" w:ascii="Times New Roman" w:hAnsi="Times New Roman" w:eastAsia="仿宋_GB2312" w:cs="Times New Roman"/>
          <w:spacing w:val="1"/>
          <w:u w:val="none" w:color="auto"/>
          <w:lang w:val="en-US" w:eastAsia="zh-CN"/>
        </w:rPr>
        <w:t>万元，支出决算为</w:t>
      </w:r>
      <w:r>
        <w:rPr>
          <w:rFonts w:hint="eastAsia" w:ascii="Times New Roman" w:hAnsi="Times New Roman" w:eastAsia="仿宋_GB2312" w:cs="Times New Roman"/>
          <w:spacing w:val="-5"/>
          <w:u w:val="none" w:color="auto"/>
          <w:lang w:val="en-US" w:eastAsia="zh-CN"/>
        </w:rPr>
        <w:t>0</w:t>
      </w:r>
      <w:r>
        <w:rPr>
          <w:rFonts w:hint="eastAsia" w:ascii="Times New Roman" w:hAnsi="Times New Roman" w:eastAsia="仿宋_GB2312" w:cs="Times New Roman"/>
          <w:spacing w:val="1"/>
          <w:u w:val="none" w:color="auto"/>
          <w:lang w:val="en-US" w:eastAsia="zh-CN"/>
        </w:rPr>
        <w:t>万元，完成全年预算的</w:t>
      </w:r>
      <w:r>
        <w:rPr>
          <w:rFonts w:hint="eastAsia" w:ascii="Times New Roman" w:hAnsi="Times New Roman" w:eastAsia="仿宋_GB2312" w:cs="Times New Roman"/>
          <w:spacing w:val="-5"/>
          <w:u w:val="none" w:color="auto"/>
          <w:lang w:val="en-US" w:eastAsia="zh-CN"/>
        </w:rPr>
        <w:t>0</w:t>
      </w:r>
      <w:r>
        <w:rPr>
          <w:rFonts w:hint="eastAsia" w:ascii="Times New Roman" w:hAnsi="Times New Roman" w:eastAsia="仿宋_GB2312" w:cs="Times New Roman"/>
          <w:spacing w:val="1"/>
          <w:u w:val="none" w:color="auto"/>
          <w:lang w:val="en-US" w:eastAsia="zh-CN"/>
        </w:rPr>
        <w:t>%。</w:t>
      </w:r>
    </w:p>
    <w:p w14:paraId="7D6840C1">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4" w:firstLineChars="200"/>
        <w:rPr>
          <w:rFonts w:hint="default" w:ascii="Times New Roman" w:hAnsi="Times New Roman" w:eastAsia="仿宋_GB2312" w:cs="Times New Roman"/>
          <w:spacing w:val="1"/>
          <w:u w:val="none" w:color="auto"/>
          <w:lang w:eastAsia="zh-CN"/>
        </w:rPr>
      </w:pPr>
      <w:r>
        <w:rPr>
          <w:rFonts w:hint="default" w:ascii="Times New Roman" w:hAnsi="Times New Roman" w:eastAsia="仿宋_GB2312" w:cs="Times New Roman"/>
          <w:spacing w:val="1"/>
          <w:u w:val="none" w:color="auto"/>
          <w:lang w:eastAsia="zh-CN"/>
        </w:rPr>
        <w:t>（二）“三公”经费财政拨款支出决算具体情况说明。</w:t>
      </w:r>
    </w:p>
    <w:p w14:paraId="6AA7DB12">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4" w:firstLineChars="200"/>
        <w:rPr>
          <w:rFonts w:hint="default" w:ascii="Times New Roman" w:hAnsi="Times New Roman" w:eastAsia="仿宋_GB2312" w:cs="Times New Roman"/>
          <w:spacing w:val="1"/>
          <w:u w:val="none" w:color="auto"/>
          <w:lang w:val="en-US" w:eastAsia="zh-CN"/>
        </w:rPr>
      </w:pPr>
      <w:r>
        <w:rPr>
          <w:rFonts w:hint="default" w:ascii="Times New Roman" w:hAnsi="Times New Roman" w:eastAsia="仿宋_GB2312" w:cs="Times New Roman"/>
          <w:spacing w:val="1"/>
          <w:u w:val="none" w:color="auto"/>
          <w:lang w:val="en-US" w:eastAsia="zh-CN"/>
        </w:rPr>
        <w:t>1.因公出国（境）费预算为0万元，支出决算为0万元，年初无此预算，决算无此支出；</w:t>
      </w:r>
    </w:p>
    <w:p w14:paraId="17FDE64C">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4" w:firstLineChars="200"/>
        <w:rPr>
          <w:rFonts w:hint="default" w:ascii="Times New Roman" w:hAnsi="Times New Roman" w:eastAsia="仿宋_GB2312" w:cs="Times New Roman"/>
          <w:spacing w:val="1"/>
          <w:u w:val="none" w:color="auto"/>
          <w:lang w:val="en-US" w:eastAsia="zh-CN"/>
        </w:rPr>
      </w:pPr>
      <w:r>
        <w:rPr>
          <w:rFonts w:hint="eastAsia" w:ascii="Times New Roman" w:hAnsi="Times New Roman" w:eastAsia="仿宋_GB2312" w:cs="Times New Roman"/>
          <w:spacing w:val="1"/>
          <w:u w:val="none" w:color="auto"/>
          <w:lang w:val="en-US" w:eastAsia="zh-CN"/>
        </w:rPr>
        <w:t>2.</w:t>
      </w:r>
      <w:r>
        <w:rPr>
          <w:rFonts w:hint="default" w:ascii="Times New Roman" w:hAnsi="Times New Roman" w:eastAsia="仿宋_GB2312" w:cs="Times New Roman"/>
          <w:spacing w:val="1"/>
          <w:u w:val="none" w:color="auto"/>
          <w:lang w:val="en-US" w:eastAsia="zh-CN"/>
        </w:rPr>
        <w:t>公务用车购置费及运行费支出决算为0万元，年初无此预算，决算无此支出；</w:t>
      </w:r>
    </w:p>
    <w:p w14:paraId="1C8A44D1">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4" w:firstLineChars="200"/>
        <w:rPr>
          <w:rFonts w:hint="default" w:ascii="Times New Roman" w:hAnsi="Times New Roman" w:eastAsia="仿宋_GB2312" w:cs="Times New Roman"/>
          <w:spacing w:val="1"/>
          <w:u w:val="none" w:color="auto"/>
          <w:lang w:val="en-US" w:eastAsia="zh-CN"/>
        </w:rPr>
      </w:pPr>
      <w:r>
        <w:rPr>
          <w:rFonts w:hint="eastAsia" w:ascii="Times New Roman" w:hAnsi="Times New Roman" w:eastAsia="仿宋_GB2312" w:cs="Times New Roman"/>
          <w:spacing w:val="1"/>
          <w:u w:val="none" w:color="auto"/>
          <w:lang w:val="en-US" w:eastAsia="zh-CN"/>
        </w:rPr>
        <w:t>3.</w:t>
      </w:r>
      <w:r>
        <w:rPr>
          <w:rFonts w:hint="default" w:ascii="Times New Roman" w:hAnsi="Times New Roman" w:eastAsia="仿宋_GB2312" w:cs="Times New Roman"/>
          <w:spacing w:val="1"/>
          <w:u w:val="none" w:color="auto"/>
          <w:lang w:val="en-US" w:eastAsia="zh-CN"/>
        </w:rPr>
        <w:t>公务接待费预算为0万元，支出决算为0万元，年初无此预算，决算无此支出。</w:t>
      </w:r>
    </w:p>
    <w:p w14:paraId="063F440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6" w:firstLineChars="200"/>
        <w:rPr>
          <w:rFonts w:hint="default" w:ascii="Times New Roman" w:hAnsi="Times New Roman" w:eastAsia="黑体" w:cs="Times New Roman"/>
          <w:sz w:val="32"/>
          <w:szCs w:val="32"/>
          <w:u w:val="none" w:color="auto"/>
        </w:rPr>
      </w:pPr>
      <w:r>
        <w:rPr>
          <w:rFonts w:hint="default" w:ascii="Times New Roman" w:hAnsi="Times New Roman" w:eastAsia="黑体" w:cs="Times New Roman"/>
          <w:spacing w:val="-1"/>
          <w:sz w:val="32"/>
          <w:szCs w:val="32"/>
          <w:u w:val="none" w:color="auto"/>
        </w:rPr>
        <w:t>十、机关运行经费支出说明</w:t>
      </w:r>
    </w:p>
    <w:p w14:paraId="6B71217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16" w:firstLineChars="200"/>
        <w:rPr>
          <w:rFonts w:hint="default" w:ascii="Times New Roman" w:hAnsi="Times New Roman" w:eastAsia="仿宋_GB2312" w:cs="Times New Roman"/>
          <w:snapToGrid w:val="0"/>
          <w:color w:val="000000"/>
          <w:spacing w:val="-6"/>
          <w:kern w:val="0"/>
          <w:sz w:val="32"/>
          <w:szCs w:val="32"/>
          <w:u w:val="none" w:color="auto"/>
          <w:lang w:val="en-US" w:eastAsia="zh-CN" w:bidi="ar-SA"/>
        </w:rPr>
      </w:pPr>
      <w:r>
        <w:rPr>
          <w:rFonts w:hint="eastAsia" w:ascii="Times New Roman" w:hAnsi="Times New Roman" w:eastAsia="仿宋_GB2312" w:cs="Times New Roman"/>
          <w:snapToGrid w:val="0"/>
          <w:color w:val="000000"/>
          <w:spacing w:val="-6"/>
          <w:kern w:val="0"/>
          <w:sz w:val="32"/>
          <w:szCs w:val="32"/>
          <w:u w:val="none" w:color="auto"/>
          <w:lang w:val="en-US" w:eastAsia="zh-CN" w:bidi="ar-SA"/>
        </w:rPr>
        <w:t>本部门属非参公管理的事业单位，无此项支出。</w:t>
      </w:r>
    </w:p>
    <w:p w14:paraId="614C147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2" w:firstLineChars="200"/>
        <w:rPr>
          <w:rFonts w:hint="default" w:ascii="Times New Roman" w:hAnsi="Times New Roman" w:eastAsia="黑体" w:cs="Times New Roman"/>
          <w:sz w:val="32"/>
          <w:szCs w:val="32"/>
          <w:u w:val="none" w:color="auto"/>
        </w:rPr>
      </w:pPr>
      <w:r>
        <w:rPr>
          <w:rFonts w:hint="default" w:ascii="Times New Roman" w:hAnsi="Times New Roman" w:eastAsia="黑体" w:cs="Times New Roman"/>
          <w:spacing w:val="-2"/>
          <w:sz w:val="32"/>
          <w:szCs w:val="32"/>
          <w:u w:val="none" w:color="auto"/>
        </w:rPr>
        <w:t>十一、政府采购支出说明</w:t>
      </w:r>
    </w:p>
    <w:p w14:paraId="46647AA7">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16" w:firstLineChars="200"/>
        <w:jc w:val="both"/>
        <w:rPr>
          <w:rFonts w:hint="default" w:ascii="Times New Roman" w:hAnsi="Times New Roman" w:eastAsia="仿宋_GB2312" w:cs="Times New Roman"/>
          <w:highlight w:val="none"/>
          <w:u w:val="none" w:color="auto"/>
        </w:rPr>
      </w:pPr>
      <w:r>
        <w:rPr>
          <w:rFonts w:hint="default" w:ascii="Times New Roman" w:hAnsi="Times New Roman" w:eastAsia="仿宋_GB2312" w:cs="Times New Roman"/>
          <w:spacing w:val="-6"/>
          <w:highlight w:val="none"/>
          <w:u w:val="none" w:color="auto"/>
        </w:rPr>
        <w:t>202</w:t>
      </w:r>
      <w:r>
        <w:rPr>
          <w:rFonts w:hint="eastAsia" w:ascii="Times New Roman" w:hAnsi="Times New Roman" w:eastAsia="仿宋_GB2312" w:cs="Times New Roman"/>
          <w:spacing w:val="-6"/>
          <w:highlight w:val="none"/>
          <w:u w:val="none" w:color="auto"/>
          <w:lang w:val="en-US" w:eastAsia="zh-CN"/>
        </w:rPr>
        <w:t>4</w:t>
      </w:r>
      <w:r>
        <w:rPr>
          <w:rFonts w:hint="default" w:ascii="Times New Roman" w:hAnsi="Times New Roman" w:eastAsia="仿宋_GB2312" w:cs="Times New Roman"/>
          <w:spacing w:val="-6"/>
          <w:highlight w:val="none"/>
          <w:u w:val="none" w:color="auto"/>
        </w:rPr>
        <w:t>年度</w:t>
      </w:r>
      <w:r>
        <w:rPr>
          <w:rFonts w:hint="eastAsia" w:ascii="Times New Roman" w:hAnsi="Times New Roman" w:eastAsia="仿宋_GB2312" w:cs="Times New Roman"/>
          <w:spacing w:val="-6"/>
          <w:highlight w:val="none"/>
          <w:u w:val="none" w:color="auto"/>
          <w:lang w:val="en-US" w:eastAsia="zh-CN"/>
        </w:rPr>
        <w:t>武汉市光谷第八初级中学</w:t>
      </w:r>
      <w:r>
        <w:rPr>
          <w:rFonts w:hint="default" w:ascii="Times New Roman" w:hAnsi="Times New Roman" w:eastAsia="仿宋_GB2312" w:cs="Times New Roman"/>
          <w:spacing w:val="-6"/>
          <w:highlight w:val="none"/>
          <w:u w:val="none" w:color="auto"/>
        </w:rPr>
        <w:t>政府采购支出总额</w:t>
      </w:r>
      <w:r>
        <w:rPr>
          <w:rFonts w:hint="eastAsia" w:ascii="Times New Roman" w:hAnsi="Times New Roman" w:eastAsia="仿宋_GB2312" w:cs="Times New Roman"/>
          <w:spacing w:val="-6"/>
          <w:highlight w:val="none"/>
          <w:u w:val="none" w:color="auto"/>
          <w:lang w:val="en-US" w:eastAsia="zh-CN"/>
        </w:rPr>
        <w:t>41</w:t>
      </w:r>
      <w:r>
        <w:rPr>
          <w:rFonts w:hint="default" w:ascii="Times New Roman" w:hAnsi="Times New Roman" w:eastAsia="仿宋_GB2312" w:cs="Times New Roman"/>
          <w:spacing w:val="-6"/>
          <w:highlight w:val="none"/>
          <w:u w:val="none" w:color="auto"/>
        </w:rPr>
        <w:t>万元，其中：政府采购货物支出</w:t>
      </w:r>
      <w:r>
        <w:rPr>
          <w:rFonts w:hint="eastAsia" w:ascii="Times New Roman" w:hAnsi="Times New Roman" w:eastAsia="仿宋_GB2312" w:cs="Times New Roman"/>
          <w:spacing w:val="-6"/>
          <w:highlight w:val="none"/>
          <w:u w:val="none" w:color="auto"/>
          <w:lang w:val="en-US" w:eastAsia="zh-CN"/>
        </w:rPr>
        <w:t>6</w:t>
      </w:r>
      <w:r>
        <w:rPr>
          <w:rFonts w:hint="default" w:ascii="Times New Roman" w:hAnsi="Times New Roman" w:eastAsia="仿宋_GB2312" w:cs="Times New Roman"/>
          <w:spacing w:val="-6"/>
          <w:highlight w:val="none"/>
          <w:u w:val="none" w:color="auto"/>
        </w:rPr>
        <w:t>万元、政府采购服务支出</w:t>
      </w:r>
      <w:r>
        <w:rPr>
          <w:rFonts w:hint="eastAsia" w:ascii="Times New Roman" w:hAnsi="Times New Roman" w:eastAsia="仿宋_GB2312" w:cs="Times New Roman"/>
          <w:spacing w:val="-6"/>
          <w:highlight w:val="none"/>
          <w:u w:val="none" w:color="auto"/>
          <w:lang w:val="en-US" w:eastAsia="zh-CN"/>
        </w:rPr>
        <w:t>35</w:t>
      </w:r>
      <w:r>
        <w:rPr>
          <w:rFonts w:hint="default" w:ascii="Times New Roman" w:hAnsi="Times New Roman" w:eastAsia="仿宋_GB2312" w:cs="Times New Roman"/>
          <w:spacing w:val="-6"/>
          <w:highlight w:val="none"/>
          <w:u w:val="none" w:color="auto"/>
        </w:rPr>
        <w:t>万元。授予中小企业合同金额</w:t>
      </w:r>
      <w:r>
        <w:rPr>
          <w:rFonts w:hint="eastAsia" w:ascii="Times New Roman" w:hAnsi="Times New Roman" w:eastAsia="仿宋_GB2312" w:cs="Times New Roman"/>
          <w:spacing w:val="-6"/>
          <w:highlight w:val="none"/>
          <w:u w:val="none" w:color="auto"/>
          <w:lang w:val="en-US" w:eastAsia="zh-CN"/>
        </w:rPr>
        <w:t>41</w:t>
      </w:r>
      <w:r>
        <w:rPr>
          <w:rFonts w:hint="default" w:ascii="Times New Roman" w:hAnsi="Times New Roman" w:eastAsia="仿宋_GB2312" w:cs="Times New Roman"/>
          <w:spacing w:val="-6"/>
          <w:highlight w:val="none"/>
          <w:u w:val="none" w:color="auto"/>
        </w:rPr>
        <w:t>万元，占政府采购</w:t>
      </w:r>
      <w:r>
        <w:rPr>
          <w:rFonts w:hint="default" w:ascii="Times New Roman" w:hAnsi="Times New Roman" w:eastAsia="仿宋_GB2312" w:cs="Times New Roman"/>
          <w:spacing w:val="-3"/>
          <w:highlight w:val="none"/>
          <w:u w:val="none" w:color="auto"/>
        </w:rPr>
        <w:t>支出总额的</w:t>
      </w:r>
      <w:r>
        <w:rPr>
          <w:rFonts w:hint="eastAsia" w:ascii="Times New Roman" w:hAnsi="Times New Roman" w:eastAsia="仿宋_GB2312" w:cs="Times New Roman"/>
          <w:spacing w:val="-3"/>
          <w:highlight w:val="none"/>
          <w:u w:val="none" w:color="auto"/>
          <w:lang w:val="en-US" w:eastAsia="zh-CN"/>
        </w:rPr>
        <w:t>100</w:t>
      </w:r>
      <w:r>
        <w:rPr>
          <w:rFonts w:hint="default" w:ascii="Times New Roman" w:hAnsi="Times New Roman" w:eastAsia="仿宋_GB2312" w:cs="Times New Roman"/>
          <w:spacing w:val="-3"/>
          <w:highlight w:val="none"/>
          <w:u w:val="none" w:color="auto"/>
        </w:rPr>
        <w:t>%，其中：授予小微企业合同金额</w:t>
      </w:r>
      <w:r>
        <w:rPr>
          <w:rFonts w:hint="eastAsia" w:ascii="Times New Roman" w:hAnsi="Times New Roman" w:eastAsia="仿宋_GB2312" w:cs="Times New Roman"/>
          <w:spacing w:val="-3"/>
          <w:highlight w:val="none"/>
          <w:u w:val="none" w:color="auto"/>
          <w:lang w:val="en-US" w:eastAsia="zh-CN"/>
        </w:rPr>
        <w:t>41</w:t>
      </w:r>
      <w:r>
        <w:rPr>
          <w:rFonts w:hint="default" w:ascii="Times New Roman" w:hAnsi="Times New Roman" w:eastAsia="仿宋_GB2312" w:cs="Times New Roman"/>
          <w:spacing w:val="-3"/>
          <w:highlight w:val="none"/>
          <w:u w:val="none" w:color="auto"/>
        </w:rPr>
        <w:t>万元，占</w:t>
      </w:r>
      <w:r>
        <w:rPr>
          <w:rFonts w:hint="default" w:ascii="Times New Roman" w:hAnsi="Times New Roman" w:eastAsia="仿宋_GB2312" w:cs="Times New Roman"/>
          <w:spacing w:val="1"/>
          <w:highlight w:val="none"/>
          <w:u w:val="none" w:color="auto"/>
        </w:rPr>
        <w:t>授予中小企业合同金额的</w:t>
      </w:r>
      <w:r>
        <w:rPr>
          <w:rFonts w:hint="eastAsia" w:ascii="Times New Roman" w:hAnsi="Times New Roman" w:eastAsia="仿宋_GB2312" w:cs="Times New Roman"/>
          <w:spacing w:val="1"/>
          <w:highlight w:val="none"/>
          <w:u w:val="none" w:color="auto"/>
          <w:lang w:val="en-US" w:eastAsia="zh-CN"/>
        </w:rPr>
        <w:t>100</w:t>
      </w:r>
      <w:r>
        <w:rPr>
          <w:rFonts w:hint="default" w:ascii="Times New Roman" w:hAnsi="Times New Roman" w:eastAsia="仿宋_GB2312" w:cs="Times New Roman"/>
          <w:spacing w:val="1"/>
          <w:highlight w:val="none"/>
          <w:u w:val="none" w:color="auto"/>
        </w:rPr>
        <w:t>%；货物采购授予中小企业合同金额占货物支出金额的</w:t>
      </w:r>
      <w:r>
        <w:rPr>
          <w:rFonts w:hint="eastAsia" w:ascii="Times New Roman" w:hAnsi="Times New Roman" w:eastAsia="仿宋_GB2312" w:cs="Times New Roman"/>
          <w:spacing w:val="1"/>
          <w:highlight w:val="none"/>
          <w:u w:val="none" w:color="auto"/>
          <w:lang w:val="en-US" w:eastAsia="zh-CN"/>
        </w:rPr>
        <w:t>14.6</w:t>
      </w:r>
      <w:r>
        <w:rPr>
          <w:rFonts w:hint="default" w:ascii="Times New Roman" w:hAnsi="Times New Roman" w:eastAsia="仿宋_GB2312" w:cs="Times New Roman"/>
          <w:spacing w:val="1"/>
          <w:highlight w:val="none"/>
          <w:u w:val="none" w:color="auto"/>
        </w:rPr>
        <w:t>%，服务采购授予中小企业合同金额占</w:t>
      </w:r>
      <w:r>
        <w:rPr>
          <w:rFonts w:hint="default" w:ascii="Times New Roman" w:hAnsi="Times New Roman" w:eastAsia="仿宋_GB2312" w:cs="Times New Roman"/>
          <w:highlight w:val="none"/>
          <w:u w:val="none" w:color="auto"/>
        </w:rPr>
        <w:t>服务</w:t>
      </w:r>
      <w:r>
        <w:rPr>
          <w:rFonts w:hint="default" w:ascii="Times New Roman" w:hAnsi="Times New Roman" w:eastAsia="仿宋_GB2312" w:cs="Times New Roman"/>
          <w:spacing w:val="-2"/>
          <w:highlight w:val="none"/>
          <w:u w:val="none" w:color="auto"/>
        </w:rPr>
        <w:t>支出金额的</w:t>
      </w:r>
      <w:r>
        <w:rPr>
          <w:rFonts w:hint="eastAsia" w:ascii="Times New Roman" w:hAnsi="Times New Roman" w:eastAsia="仿宋_GB2312" w:cs="Times New Roman"/>
          <w:spacing w:val="-2"/>
          <w:highlight w:val="none"/>
          <w:u w:val="none" w:color="auto"/>
          <w:lang w:val="en-US" w:eastAsia="zh-CN"/>
        </w:rPr>
        <w:t>85.4</w:t>
      </w:r>
      <w:r>
        <w:rPr>
          <w:rFonts w:hint="default" w:ascii="Times New Roman" w:hAnsi="Times New Roman" w:eastAsia="仿宋_GB2312" w:cs="Times New Roman"/>
          <w:spacing w:val="-2"/>
          <w:highlight w:val="none"/>
          <w:u w:val="none" w:color="auto"/>
        </w:rPr>
        <w:t>%。</w:t>
      </w:r>
    </w:p>
    <w:p w14:paraId="7A2DB86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6" w:firstLineChars="200"/>
        <w:rPr>
          <w:rFonts w:hint="default" w:ascii="Times New Roman" w:hAnsi="Times New Roman" w:eastAsia="黑体" w:cs="Times New Roman"/>
          <w:sz w:val="32"/>
          <w:szCs w:val="32"/>
          <w:u w:val="none" w:color="auto"/>
        </w:rPr>
      </w:pPr>
      <w:r>
        <w:rPr>
          <w:rFonts w:hint="default" w:ascii="Times New Roman" w:hAnsi="Times New Roman" w:eastAsia="黑体" w:cs="Times New Roman"/>
          <w:spacing w:val="-1"/>
          <w:sz w:val="32"/>
          <w:szCs w:val="32"/>
          <w:u w:val="none" w:color="auto"/>
        </w:rPr>
        <w:t>十二、国有资产占用情况说明</w:t>
      </w:r>
    </w:p>
    <w:p w14:paraId="17D66F84">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584" w:firstLineChars="200"/>
        <w:rPr>
          <w:rFonts w:hint="default" w:ascii="Times New Roman" w:hAnsi="Times New Roman" w:eastAsia="仿宋_GB2312" w:cs="Times New Roman"/>
          <w:u w:val="none" w:color="auto"/>
        </w:rPr>
      </w:pPr>
      <w:r>
        <w:rPr>
          <w:rFonts w:hint="default" w:ascii="Times New Roman" w:hAnsi="Times New Roman" w:eastAsia="仿宋_GB2312" w:cs="Times New Roman"/>
          <w:spacing w:val="-14"/>
          <w:u w:val="none" w:color="auto"/>
        </w:rPr>
        <w:t>截至202</w:t>
      </w:r>
      <w:r>
        <w:rPr>
          <w:rFonts w:hint="eastAsia" w:ascii="Times New Roman" w:hAnsi="Times New Roman" w:eastAsia="仿宋_GB2312" w:cs="Times New Roman"/>
          <w:spacing w:val="-14"/>
          <w:u w:val="none" w:color="auto"/>
          <w:lang w:val="en-US" w:eastAsia="zh-CN"/>
        </w:rPr>
        <w:t>4</w:t>
      </w:r>
      <w:r>
        <w:rPr>
          <w:rFonts w:hint="default" w:ascii="Times New Roman" w:hAnsi="Times New Roman" w:eastAsia="仿宋_GB2312" w:cs="Times New Roman"/>
          <w:spacing w:val="-14"/>
          <w:u w:val="none" w:color="auto"/>
        </w:rPr>
        <w:t>年12月31日，</w:t>
      </w:r>
      <w:r>
        <w:rPr>
          <w:rFonts w:hint="eastAsia" w:ascii="Times New Roman" w:hAnsi="Times New Roman" w:eastAsia="仿宋_GB2312" w:cs="Times New Roman"/>
          <w:spacing w:val="-14"/>
          <w:u w:val="none" w:color="auto"/>
          <w:lang w:val="en-US" w:eastAsia="zh-CN"/>
        </w:rPr>
        <w:t>武汉市光谷第八初级中学</w:t>
      </w:r>
      <w:r>
        <w:rPr>
          <w:rFonts w:hint="default" w:ascii="Times New Roman" w:hAnsi="Times New Roman" w:eastAsia="仿宋_GB2312" w:cs="Times New Roman"/>
          <w:spacing w:val="-14"/>
          <w:u w:val="none" w:color="auto"/>
        </w:rPr>
        <w:t>共有车辆</w:t>
      </w:r>
      <w:r>
        <w:rPr>
          <w:rFonts w:hint="eastAsia" w:ascii="Times New Roman" w:hAnsi="Times New Roman" w:eastAsia="仿宋_GB2312" w:cs="Times New Roman"/>
          <w:spacing w:val="-14"/>
          <w:u w:val="none" w:color="auto"/>
          <w:lang w:val="en-US" w:eastAsia="zh-CN"/>
        </w:rPr>
        <w:t>1</w:t>
      </w:r>
      <w:r>
        <w:rPr>
          <w:rFonts w:hint="default" w:ascii="Times New Roman" w:hAnsi="Times New Roman" w:eastAsia="仿宋_GB2312" w:cs="Times New Roman"/>
          <w:spacing w:val="-14"/>
          <w:u w:val="none" w:color="auto"/>
        </w:rPr>
        <w:t>辆，其中，</w:t>
      </w:r>
      <w:r>
        <w:rPr>
          <w:rFonts w:hint="default" w:ascii="Times New Roman" w:hAnsi="Times New Roman" w:eastAsia="仿宋_GB2312" w:cs="Times New Roman"/>
          <w:spacing w:val="-5"/>
          <w:u w:val="none" w:color="auto"/>
        </w:rPr>
        <w:t>其他用车</w:t>
      </w:r>
      <w:r>
        <w:rPr>
          <w:rFonts w:hint="eastAsia" w:ascii="Times New Roman" w:hAnsi="Times New Roman" w:eastAsia="仿宋_GB2312" w:cs="Times New Roman"/>
          <w:spacing w:val="-5"/>
          <w:u w:val="none" w:color="auto"/>
          <w:lang w:val="en-US" w:eastAsia="zh-CN"/>
        </w:rPr>
        <w:t>1</w:t>
      </w:r>
      <w:r>
        <w:rPr>
          <w:rFonts w:hint="default" w:ascii="Times New Roman" w:hAnsi="Times New Roman" w:eastAsia="仿宋_GB2312" w:cs="Times New Roman"/>
          <w:spacing w:val="-3"/>
          <w:u w:val="none" w:color="auto"/>
        </w:rPr>
        <w:t>辆，其他用车主要是</w:t>
      </w:r>
      <w:r>
        <w:rPr>
          <w:rFonts w:hint="eastAsia" w:ascii="Times New Roman" w:hAnsi="Times New Roman" w:eastAsia="仿宋_GB2312" w:cs="Times New Roman"/>
          <w:spacing w:val="-3"/>
          <w:u w:val="none" w:color="auto"/>
          <w:lang w:val="en-US" w:eastAsia="zh-CN"/>
        </w:rPr>
        <w:t>学校教师公务出行，该车已申请处置报废</w:t>
      </w:r>
      <w:r>
        <w:rPr>
          <w:rFonts w:hint="default" w:ascii="Times New Roman" w:hAnsi="Times New Roman" w:eastAsia="仿宋_GB2312" w:cs="Times New Roman"/>
          <w:spacing w:val="-3"/>
          <w:u w:val="none" w:color="auto"/>
        </w:rPr>
        <w:t>。</w:t>
      </w:r>
      <w:r>
        <w:rPr>
          <w:rFonts w:hint="eastAsia" w:ascii="Times New Roman" w:hAnsi="Times New Roman" w:eastAsia="仿宋_GB2312" w:cs="Times New Roman"/>
          <w:spacing w:val="-3"/>
          <w:u w:val="none" w:color="auto"/>
          <w:lang w:val="en-US" w:eastAsia="zh-CN"/>
        </w:rPr>
        <w:t>单价50万元（含）以上通用设备1台（套），</w:t>
      </w:r>
      <w:r>
        <w:rPr>
          <w:rFonts w:hint="default" w:ascii="Times New Roman" w:hAnsi="Times New Roman" w:eastAsia="仿宋_GB2312" w:cs="Times New Roman"/>
          <w:spacing w:val="-3"/>
          <w:u w:val="none" w:color="auto"/>
        </w:rPr>
        <w:t>单价100万元</w:t>
      </w:r>
      <w:r>
        <w:rPr>
          <w:rFonts w:hint="eastAsia" w:ascii="Times New Roman" w:hAnsi="Times New Roman" w:eastAsia="仿宋_GB2312" w:cs="Times New Roman"/>
          <w:spacing w:val="-3"/>
          <w:u w:val="none" w:color="auto"/>
          <w:lang w:eastAsia="zh-CN"/>
        </w:rPr>
        <w:t>（</w:t>
      </w:r>
      <w:r>
        <w:rPr>
          <w:rFonts w:hint="default" w:ascii="Times New Roman" w:hAnsi="Times New Roman" w:eastAsia="仿宋_GB2312" w:cs="Times New Roman"/>
          <w:spacing w:val="-3"/>
          <w:u w:val="none" w:color="auto"/>
        </w:rPr>
        <w:t>含</w:t>
      </w:r>
      <w:r>
        <w:rPr>
          <w:rFonts w:hint="eastAsia" w:ascii="Times New Roman" w:hAnsi="Times New Roman" w:eastAsia="仿宋_GB2312" w:cs="Times New Roman"/>
          <w:spacing w:val="-3"/>
          <w:u w:val="none" w:color="auto"/>
          <w:lang w:eastAsia="zh-CN"/>
        </w:rPr>
        <w:t>）</w:t>
      </w:r>
      <w:r>
        <w:rPr>
          <w:rFonts w:hint="default" w:ascii="Times New Roman" w:hAnsi="Times New Roman" w:eastAsia="仿宋_GB2312" w:cs="Times New Roman"/>
          <w:spacing w:val="-3"/>
          <w:u w:val="none" w:color="auto"/>
        </w:rPr>
        <w:t>以上设备</w:t>
      </w:r>
      <w:r>
        <w:rPr>
          <w:rFonts w:hint="eastAsia" w:ascii="Times New Roman" w:hAnsi="Times New Roman" w:eastAsia="仿宋_GB2312" w:cs="Times New Roman"/>
          <w:spacing w:val="-3"/>
          <w:u w:val="none" w:color="auto"/>
          <w:lang w:val="en-US" w:eastAsia="zh-CN"/>
        </w:rPr>
        <w:t>0</w:t>
      </w:r>
      <w:r>
        <w:rPr>
          <w:rFonts w:hint="default" w:ascii="Times New Roman" w:hAnsi="Times New Roman" w:eastAsia="仿宋_GB2312" w:cs="Times New Roman"/>
          <w:spacing w:val="-20"/>
          <w:u w:val="none" w:color="auto"/>
        </w:rPr>
        <w:t>台</w:t>
      </w:r>
      <w:r>
        <w:rPr>
          <w:rFonts w:hint="eastAsia" w:ascii="Times New Roman" w:hAnsi="Times New Roman" w:eastAsia="仿宋_GB2312" w:cs="Times New Roman"/>
          <w:spacing w:val="-20"/>
          <w:u w:val="none" w:color="auto"/>
          <w:lang w:eastAsia="zh-CN"/>
        </w:rPr>
        <w:t>（</w:t>
      </w:r>
      <w:r>
        <w:rPr>
          <w:rFonts w:hint="default" w:ascii="Times New Roman" w:hAnsi="Times New Roman" w:eastAsia="仿宋_GB2312" w:cs="Times New Roman"/>
          <w:spacing w:val="-20"/>
          <w:u w:val="none" w:color="auto"/>
        </w:rPr>
        <w:t>套</w:t>
      </w:r>
      <w:r>
        <w:rPr>
          <w:rFonts w:hint="eastAsia" w:ascii="Times New Roman" w:hAnsi="Times New Roman" w:eastAsia="仿宋_GB2312" w:cs="Times New Roman"/>
          <w:spacing w:val="-20"/>
          <w:u w:val="none" w:color="auto"/>
          <w:lang w:eastAsia="zh-CN"/>
        </w:rPr>
        <w:t>）</w:t>
      </w:r>
      <w:r>
        <w:rPr>
          <w:rFonts w:hint="default" w:ascii="Times New Roman" w:hAnsi="Times New Roman" w:eastAsia="仿宋_GB2312" w:cs="Times New Roman"/>
          <w:spacing w:val="-20"/>
          <w:u w:val="none" w:color="auto"/>
        </w:rPr>
        <w:t>。</w:t>
      </w:r>
    </w:p>
    <w:p w14:paraId="5ED956F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32" w:firstLineChars="200"/>
        <w:outlineLvl w:val="0"/>
        <w:rPr>
          <w:rFonts w:hint="default" w:ascii="Times New Roman" w:hAnsi="Times New Roman" w:eastAsia="黑体" w:cs="Times New Roman"/>
          <w:sz w:val="32"/>
          <w:szCs w:val="32"/>
          <w:u w:val="none" w:color="auto"/>
        </w:rPr>
      </w:pPr>
      <w:r>
        <w:rPr>
          <w:rFonts w:hint="default" w:ascii="Times New Roman" w:hAnsi="Times New Roman" w:eastAsia="黑体" w:cs="Times New Roman"/>
          <w:spacing w:val="-2"/>
          <w:sz w:val="32"/>
          <w:szCs w:val="32"/>
          <w:u w:val="none" w:color="auto"/>
        </w:rPr>
        <w:t>十三、预算绩效情况说明</w:t>
      </w:r>
    </w:p>
    <w:p w14:paraId="4B0F2FEE">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0" w:firstLineChars="200"/>
        <w:outlineLvl w:val="1"/>
        <w:rPr>
          <w:rFonts w:hint="default" w:ascii="Times New Roman" w:hAnsi="Times New Roman" w:eastAsia="楷体_GB2312" w:cs="Times New Roman"/>
          <w:sz w:val="32"/>
          <w:szCs w:val="32"/>
          <w:u w:val="none" w:color="auto"/>
        </w:rPr>
      </w:pPr>
      <w:r>
        <w:rPr>
          <w:rFonts w:hint="eastAsia" w:ascii="Times New Roman" w:hAnsi="Times New Roman" w:eastAsia="楷体_GB2312" w:cs="Times New Roman"/>
          <w:spacing w:val="-5"/>
          <w:sz w:val="32"/>
          <w:szCs w:val="32"/>
          <w:u w:val="none" w:color="auto"/>
          <w:lang w:eastAsia="zh-CN"/>
        </w:rPr>
        <w:t>（</w:t>
      </w:r>
      <w:r>
        <w:rPr>
          <w:rFonts w:hint="default" w:ascii="Times New Roman" w:hAnsi="Times New Roman" w:eastAsia="楷体_GB2312" w:cs="Times New Roman"/>
          <w:spacing w:val="-5"/>
          <w:sz w:val="32"/>
          <w:szCs w:val="32"/>
          <w:u w:val="none" w:color="auto"/>
        </w:rPr>
        <w:t>一</w:t>
      </w:r>
      <w:r>
        <w:rPr>
          <w:rFonts w:hint="eastAsia" w:ascii="Times New Roman" w:hAnsi="Times New Roman" w:eastAsia="楷体_GB2312" w:cs="Times New Roman"/>
          <w:spacing w:val="-5"/>
          <w:sz w:val="32"/>
          <w:szCs w:val="32"/>
          <w:u w:val="none" w:color="auto"/>
          <w:lang w:eastAsia="zh-CN"/>
        </w:rPr>
        <w:t>）</w:t>
      </w:r>
      <w:r>
        <w:rPr>
          <w:rFonts w:hint="default" w:ascii="Times New Roman" w:hAnsi="Times New Roman" w:eastAsia="楷体_GB2312" w:cs="Times New Roman"/>
          <w:spacing w:val="-5"/>
          <w:sz w:val="32"/>
          <w:szCs w:val="32"/>
          <w:u w:val="none" w:color="auto"/>
        </w:rPr>
        <w:t>预算绩效管理工作开展情况</w:t>
      </w:r>
    </w:p>
    <w:p w14:paraId="535107A4">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8" w:firstLineChars="200"/>
        <w:rPr>
          <w:rFonts w:hint="default" w:ascii="Times New Roman" w:hAnsi="Times New Roman" w:eastAsia="仿宋_GB2312" w:cs="Times New Roman"/>
          <w:u w:val="none" w:color="auto"/>
        </w:rPr>
      </w:pPr>
      <w:r>
        <w:rPr>
          <w:rFonts w:hint="default" w:ascii="Times New Roman" w:hAnsi="Times New Roman" w:eastAsia="仿宋_GB2312" w:cs="Times New Roman"/>
          <w:spacing w:val="-3"/>
          <w:highlight w:val="none"/>
          <w:u w:val="none" w:color="auto"/>
        </w:rPr>
        <w:t>根据预算绩效管理要求，我单位组织对202</w:t>
      </w:r>
      <w:r>
        <w:rPr>
          <w:rFonts w:hint="eastAsia" w:ascii="Times New Roman" w:hAnsi="Times New Roman" w:eastAsia="仿宋_GB2312" w:cs="Times New Roman"/>
          <w:spacing w:val="-4"/>
          <w:highlight w:val="none"/>
          <w:u w:val="none" w:color="auto"/>
          <w:lang w:val="en-US" w:eastAsia="zh-CN"/>
        </w:rPr>
        <w:t>4</w:t>
      </w:r>
      <w:r>
        <w:rPr>
          <w:rFonts w:hint="default" w:ascii="Times New Roman" w:hAnsi="Times New Roman" w:eastAsia="仿宋_GB2312" w:cs="Times New Roman"/>
          <w:spacing w:val="-4"/>
          <w:highlight w:val="none"/>
          <w:u w:val="none" w:color="auto"/>
        </w:rPr>
        <w:t>年度一</w:t>
      </w:r>
      <w:r>
        <w:rPr>
          <w:rFonts w:hint="default" w:ascii="Times New Roman" w:hAnsi="Times New Roman" w:eastAsia="仿宋_GB2312" w:cs="Times New Roman"/>
          <w:spacing w:val="-3"/>
          <w:highlight w:val="none"/>
          <w:u w:val="none" w:color="auto"/>
        </w:rPr>
        <w:t>般公共预算项目支出全面开展绩效自评，共</w:t>
      </w:r>
      <w:r>
        <w:rPr>
          <w:rFonts w:hint="default" w:ascii="Times New Roman" w:hAnsi="Times New Roman" w:eastAsia="仿宋_GB2312" w:cs="Times New Roman"/>
          <w:spacing w:val="-4"/>
          <w:highlight w:val="none"/>
          <w:u w:val="none" w:color="auto"/>
        </w:rPr>
        <w:t>涉及项目</w:t>
      </w:r>
      <w:r>
        <w:rPr>
          <w:rFonts w:hint="eastAsia" w:ascii="Times New Roman" w:hAnsi="Times New Roman" w:eastAsia="仿宋_GB2312" w:cs="Times New Roman"/>
          <w:spacing w:val="-4"/>
          <w:highlight w:val="none"/>
          <w:u w:val="none" w:color="auto"/>
          <w:lang w:val="en-US" w:eastAsia="zh-CN"/>
        </w:rPr>
        <w:t>1</w:t>
      </w:r>
      <w:r>
        <w:rPr>
          <w:rFonts w:hint="default" w:ascii="Times New Roman" w:hAnsi="Times New Roman" w:eastAsia="仿宋_GB2312" w:cs="Times New Roman"/>
          <w:spacing w:val="-4"/>
          <w:highlight w:val="none"/>
          <w:u w:val="none" w:color="auto"/>
        </w:rPr>
        <w:t>个，</w:t>
      </w:r>
      <w:r>
        <w:rPr>
          <w:rFonts w:hint="default" w:ascii="Times New Roman" w:hAnsi="Times New Roman" w:eastAsia="仿宋_GB2312" w:cs="Times New Roman"/>
          <w:spacing w:val="-3"/>
          <w:highlight w:val="none"/>
          <w:u w:val="none" w:color="auto"/>
        </w:rPr>
        <w:t>资金</w:t>
      </w:r>
      <w:r>
        <w:rPr>
          <w:rFonts w:hint="eastAsia" w:ascii="Times New Roman" w:hAnsi="Times New Roman" w:eastAsia="仿宋_GB2312" w:cs="Times New Roman"/>
          <w:spacing w:val="-3"/>
          <w:highlight w:val="none"/>
          <w:u w:val="none" w:color="auto"/>
          <w:lang w:val="en-US" w:eastAsia="zh-CN"/>
        </w:rPr>
        <w:t>48.5</w:t>
      </w:r>
      <w:r>
        <w:rPr>
          <w:rFonts w:hint="default" w:ascii="Times New Roman" w:hAnsi="Times New Roman" w:eastAsia="仿宋_GB2312" w:cs="Times New Roman"/>
          <w:spacing w:val="-3"/>
          <w:highlight w:val="none"/>
          <w:u w:val="none" w:color="auto"/>
        </w:rPr>
        <w:t>万元，占一般公共预算项目支出总额的</w:t>
      </w:r>
      <w:r>
        <w:rPr>
          <w:rFonts w:hint="eastAsia" w:ascii="Times New Roman" w:hAnsi="Times New Roman" w:eastAsia="仿宋_GB2312" w:cs="Times New Roman"/>
          <w:spacing w:val="-3"/>
          <w:highlight w:val="none"/>
          <w:u w:val="none" w:color="auto"/>
          <w:lang w:val="en-US" w:eastAsia="zh-CN"/>
        </w:rPr>
        <w:t>100</w:t>
      </w:r>
      <w:r>
        <w:rPr>
          <w:rFonts w:hint="default" w:ascii="Times New Roman" w:hAnsi="Times New Roman" w:eastAsia="仿宋_GB2312" w:cs="Times New Roman"/>
          <w:spacing w:val="-3"/>
          <w:highlight w:val="none"/>
          <w:u w:val="none" w:color="auto"/>
        </w:rPr>
        <w:t>%。从</w:t>
      </w:r>
      <w:r>
        <w:rPr>
          <w:rFonts w:hint="default" w:ascii="Times New Roman" w:hAnsi="Times New Roman" w:eastAsia="仿宋_GB2312" w:cs="Times New Roman"/>
          <w:spacing w:val="-6"/>
          <w:highlight w:val="none"/>
          <w:u w:val="none" w:color="auto"/>
        </w:rPr>
        <w:t>绩效评价情况来看，部门支出管理及绩效较好。在管理方面，学校制定了各项财</w:t>
      </w:r>
      <w:r>
        <w:rPr>
          <w:rFonts w:hint="default" w:ascii="Times New Roman" w:hAnsi="Times New Roman" w:eastAsia="仿宋_GB2312" w:cs="Times New Roman"/>
          <w:spacing w:val="-6"/>
          <w:u w:val="none" w:color="auto"/>
        </w:rPr>
        <w:t>务管理制度和业务管理制度，财务和业务管理制度合法、合规、完整。预算资金全部到位，预算执行率较高，资金使用合规。在产出方面，绩效目标完成率较高。在效益方面，整体工作具有较好的社会效益，服务对象满意率较高。</w:t>
      </w:r>
    </w:p>
    <w:p w14:paraId="3C77A17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0" w:firstLineChars="200"/>
        <w:rPr>
          <w:rFonts w:hint="default" w:ascii="Times New Roman" w:hAnsi="Times New Roman" w:eastAsia="楷体_GB2312" w:cs="Times New Roman"/>
          <w:sz w:val="32"/>
          <w:szCs w:val="32"/>
          <w:u w:val="none" w:color="auto"/>
        </w:rPr>
      </w:pPr>
      <w:r>
        <w:rPr>
          <w:rFonts w:hint="eastAsia" w:ascii="Times New Roman" w:hAnsi="Times New Roman" w:eastAsia="楷体_GB2312" w:cs="Times New Roman"/>
          <w:spacing w:val="-5"/>
          <w:sz w:val="32"/>
          <w:szCs w:val="32"/>
          <w:u w:val="none" w:color="auto"/>
          <w:lang w:eastAsia="zh-CN"/>
        </w:rPr>
        <w:t>（</w:t>
      </w:r>
      <w:r>
        <w:rPr>
          <w:rFonts w:hint="default" w:ascii="Times New Roman" w:hAnsi="Times New Roman" w:eastAsia="楷体_GB2312" w:cs="Times New Roman"/>
          <w:spacing w:val="-5"/>
          <w:sz w:val="32"/>
          <w:szCs w:val="32"/>
          <w:u w:val="none" w:color="auto"/>
        </w:rPr>
        <w:t>二</w:t>
      </w:r>
      <w:r>
        <w:rPr>
          <w:rFonts w:hint="eastAsia" w:ascii="Times New Roman" w:hAnsi="Times New Roman" w:eastAsia="楷体_GB2312" w:cs="Times New Roman"/>
          <w:spacing w:val="-5"/>
          <w:sz w:val="32"/>
          <w:szCs w:val="32"/>
          <w:u w:val="none" w:color="auto"/>
          <w:lang w:eastAsia="zh-CN"/>
        </w:rPr>
        <w:t>）</w:t>
      </w:r>
      <w:r>
        <w:rPr>
          <w:rFonts w:hint="default" w:ascii="Times New Roman" w:hAnsi="Times New Roman" w:eastAsia="楷体_GB2312" w:cs="Times New Roman"/>
          <w:spacing w:val="-5"/>
          <w:sz w:val="32"/>
          <w:szCs w:val="32"/>
          <w:u w:val="none" w:color="auto"/>
        </w:rPr>
        <w:t>部门</w:t>
      </w:r>
      <w:r>
        <w:rPr>
          <w:rFonts w:hint="eastAsia" w:ascii="Times New Roman" w:hAnsi="Times New Roman" w:eastAsia="楷体_GB2312" w:cs="Times New Roman"/>
          <w:spacing w:val="-5"/>
          <w:sz w:val="32"/>
          <w:szCs w:val="32"/>
          <w:u w:val="none" w:color="auto"/>
          <w:lang w:eastAsia="zh-CN"/>
        </w:rPr>
        <w:t>（</w:t>
      </w:r>
      <w:r>
        <w:rPr>
          <w:rFonts w:hint="default" w:ascii="Times New Roman" w:hAnsi="Times New Roman" w:eastAsia="楷体_GB2312" w:cs="Times New Roman"/>
          <w:spacing w:val="-5"/>
          <w:sz w:val="32"/>
          <w:szCs w:val="32"/>
          <w:u w:val="none" w:color="auto"/>
        </w:rPr>
        <w:t>单位</w:t>
      </w:r>
      <w:r>
        <w:rPr>
          <w:rFonts w:hint="eastAsia" w:ascii="Times New Roman" w:hAnsi="Times New Roman" w:eastAsia="楷体_GB2312" w:cs="Times New Roman"/>
          <w:spacing w:val="-5"/>
          <w:sz w:val="32"/>
          <w:szCs w:val="32"/>
          <w:u w:val="none" w:color="auto"/>
          <w:lang w:eastAsia="zh-CN"/>
        </w:rPr>
        <w:t>）</w:t>
      </w:r>
      <w:r>
        <w:rPr>
          <w:rFonts w:hint="default" w:ascii="Times New Roman" w:hAnsi="Times New Roman" w:eastAsia="楷体_GB2312" w:cs="Times New Roman"/>
          <w:spacing w:val="-5"/>
          <w:sz w:val="32"/>
          <w:szCs w:val="32"/>
          <w:u w:val="none" w:color="auto"/>
        </w:rPr>
        <w:t>整体支出自评结果</w:t>
      </w:r>
    </w:p>
    <w:p w14:paraId="64AD786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16" w:firstLineChars="200"/>
        <w:rPr>
          <w:rFonts w:hint="default" w:ascii="Times New Roman" w:hAnsi="Times New Roman" w:eastAsia="仿宋_GB2312" w:cs="Times New Roman"/>
          <w:snapToGrid w:val="0"/>
          <w:color w:val="000000"/>
          <w:spacing w:val="-6"/>
          <w:kern w:val="0"/>
          <w:sz w:val="32"/>
          <w:szCs w:val="32"/>
          <w:u w:val="none" w:color="auto"/>
          <w:lang w:val="en-US" w:eastAsia="en-US" w:bidi="ar-SA"/>
        </w:rPr>
      </w:pPr>
      <w:r>
        <w:rPr>
          <w:rFonts w:hint="default" w:ascii="Times New Roman" w:hAnsi="Times New Roman" w:eastAsia="仿宋_GB2312" w:cs="Times New Roman"/>
          <w:snapToGrid w:val="0"/>
          <w:color w:val="000000"/>
          <w:spacing w:val="-6"/>
          <w:kern w:val="0"/>
          <w:sz w:val="32"/>
          <w:szCs w:val="32"/>
          <w:highlight w:val="none"/>
          <w:u w:val="none" w:color="auto"/>
          <w:lang w:val="en-US" w:eastAsia="en-US" w:bidi="ar-SA"/>
        </w:rPr>
        <w:t>我单位组织开展整体支出绩效自评，资金</w:t>
      </w:r>
      <w:r>
        <w:rPr>
          <w:rFonts w:hint="eastAsia" w:ascii="Times New Roman" w:hAnsi="Times New Roman" w:eastAsia="仿宋_GB2312" w:cs="Times New Roman"/>
          <w:snapToGrid w:val="0"/>
          <w:color w:val="000000"/>
          <w:spacing w:val="-6"/>
          <w:kern w:val="0"/>
          <w:sz w:val="32"/>
          <w:szCs w:val="32"/>
          <w:highlight w:val="none"/>
          <w:u w:val="none" w:color="auto"/>
          <w:lang w:val="en-US" w:eastAsia="zh-CN" w:bidi="ar-SA"/>
        </w:rPr>
        <w:t>48.5</w:t>
      </w:r>
      <w:r>
        <w:rPr>
          <w:rFonts w:hint="default" w:ascii="Times New Roman" w:hAnsi="Times New Roman" w:eastAsia="仿宋_GB2312" w:cs="Times New Roman"/>
          <w:snapToGrid w:val="0"/>
          <w:color w:val="000000"/>
          <w:spacing w:val="-6"/>
          <w:kern w:val="0"/>
          <w:sz w:val="32"/>
          <w:szCs w:val="32"/>
          <w:highlight w:val="none"/>
          <w:u w:val="none" w:color="auto"/>
          <w:lang w:val="en-US" w:eastAsia="en-US" w:bidi="ar-SA"/>
        </w:rPr>
        <w:t>万元，从评价情况来看，武汉市光谷第八初级中学202</w:t>
      </w:r>
      <w:r>
        <w:rPr>
          <w:rFonts w:hint="eastAsia" w:ascii="Times New Roman" w:hAnsi="Times New Roman" w:eastAsia="仿宋_GB2312" w:cs="Times New Roman"/>
          <w:snapToGrid w:val="0"/>
          <w:color w:val="000000"/>
          <w:spacing w:val="-6"/>
          <w:kern w:val="0"/>
          <w:sz w:val="32"/>
          <w:szCs w:val="32"/>
          <w:highlight w:val="none"/>
          <w:u w:val="none" w:color="auto"/>
          <w:lang w:val="en-US" w:eastAsia="zh-CN" w:bidi="ar-SA"/>
        </w:rPr>
        <w:t>4</w:t>
      </w:r>
      <w:r>
        <w:rPr>
          <w:rFonts w:hint="default" w:ascii="Times New Roman" w:hAnsi="Times New Roman" w:eastAsia="仿宋_GB2312" w:cs="Times New Roman"/>
          <w:snapToGrid w:val="0"/>
          <w:color w:val="000000"/>
          <w:spacing w:val="-6"/>
          <w:kern w:val="0"/>
          <w:sz w:val="32"/>
          <w:szCs w:val="32"/>
          <w:highlight w:val="none"/>
          <w:u w:val="none" w:color="auto"/>
          <w:lang w:val="en-US" w:eastAsia="en-US" w:bidi="ar-SA"/>
        </w:rPr>
        <w:t>年部门支出管理及</w:t>
      </w:r>
      <w:r>
        <w:rPr>
          <w:rFonts w:hint="default" w:ascii="Times New Roman" w:hAnsi="Times New Roman" w:eastAsia="仿宋_GB2312" w:cs="Times New Roman"/>
          <w:snapToGrid w:val="0"/>
          <w:color w:val="000000"/>
          <w:spacing w:val="-6"/>
          <w:kern w:val="0"/>
          <w:sz w:val="32"/>
          <w:szCs w:val="32"/>
          <w:u w:val="none" w:color="auto"/>
          <w:lang w:val="en-US" w:eastAsia="en-US" w:bidi="ar-SA"/>
        </w:rPr>
        <w:t>绩效较好，预算执行率较高，资金使用合规。在产出方面，绩效目标完成率较高；在效益方面，合理开支，做到把资金用在关键、合理的地方，克服困难，勤俭办学；在管理方面，学校制定了各项财务管理制度，财务工作做到合法、合规、完整。</w:t>
      </w:r>
    </w:p>
    <w:p w14:paraId="35E1594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12" w:firstLineChars="200"/>
        <w:rPr>
          <w:rFonts w:hint="default" w:ascii="Times New Roman" w:hAnsi="Times New Roman" w:eastAsia="楷体_GB2312" w:cs="Times New Roman"/>
          <w:sz w:val="32"/>
          <w:szCs w:val="32"/>
          <w:u w:val="none" w:color="auto"/>
        </w:rPr>
      </w:pPr>
      <w:r>
        <w:rPr>
          <w:rFonts w:hint="eastAsia" w:ascii="Times New Roman" w:hAnsi="Times New Roman" w:eastAsia="楷体_GB2312" w:cs="Times New Roman"/>
          <w:spacing w:val="-7"/>
          <w:sz w:val="32"/>
          <w:szCs w:val="32"/>
          <w:u w:val="none" w:color="auto"/>
          <w:lang w:eastAsia="zh-CN"/>
        </w:rPr>
        <w:t>（</w:t>
      </w:r>
      <w:r>
        <w:rPr>
          <w:rFonts w:hint="default" w:ascii="Times New Roman" w:hAnsi="Times New Roman" w:eastAsia="楷体_GB2312" w:cs="Times New Roman"/>
          <w:spacing w:val="-7"/>
          <w:sz w:val="32"/>
          <w:szCs w:val="32"/>
          <w:u w:val="none" w:color="auto"/>
        </w:rPr>
        <w:t>三</w:t>
      </w:r>
      <w:r>
        <w:rPr>
          <w:rFonts w:hint="eastAsia" w:ascii="Times New Roman" w:hAnsi="Times New Roman" w:eastAsia="楷体_GB2312" w:cs="Times New Roman"/>
          <w:spacing w:val="-7"/>
          <w:sz w:val="32"/>
          <w:szCs w:val="32"/>
          <w:u w:val="none" w:color="auto"/>
          <w:lang w:eastAsia="zh-CN"/>
        </w:rPr>
        <w:t>）</w:t>
      </w:r>
      <w:r>
        <w:rPr>
          <w:rFonts w:hint="default" w:ascii="Times New Roman" w:hAnsi="Times New Roman" w:eastAsia="楷体_GB2312" w:cs="Times New Roman"/>
          <w:spacing w:val="-7"/>
          <w:sz w:val="32"/>
          <w:szCs w:val="32"/>
          <w:u w:val="none" w:color="auto"/>
        </w:rPr>
        <w:t>项目支出自评结果</w:t>
      </w:r>
    </w:p>
    <w:p w14:paraId="18BA8C42">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24" w:firstLineChars="200"/>
        <w:rPr>
          <w:rFonts w:hint="default" w:ascii="Times New Roman" w:hAnsi="Times New Roman" w:eastAsia="仿宋_GB2312" w:cs="Times New Roman"/>
          <w:spacing w:val="-1"/>
          <w:highlight w:val="none"/>
          <w:u w:val="none" w:color="auto"/>
        </w:rPr>
      </w:pPr>
      <w:r>
        <w:rPr>
          <w:rFonts w:hint="default" w:ascii="Times New Roman" w:hAnsi="Times New Roman" w:eastAsia="仿宋_GB2312" w:cs="Times New Roman"/>
          <w:spacing w:val="-4"/>
          <w:highlight w:val="none"/>
          <w:u w:val="none" w:color="auto"/>
        </w:rPr>
        <w:t>我单位在202</w:t>
      </w:r>
      <w:r>
        <w:rPr>
          <w:rFonts w:hint="eastAsia" w:ascii="Times New Roman" w:hAnsi="Times New Roman" w:eastAsia="仿宋_GB2312" w:cs="Times New Roman"/>
          <w:spacing w:val="-4"/>
          <w:highlight w:val="none"/>
          <w:u w:val="none" w:color="auto"/>
          <w:lang w:val="en-US" w:eastAsia="zh-CN"/>
        </w:rPr>
        <w:t>4</w:t>
      </w:r>
      <w:r>
        <w:rPr>
          <w:rFonts w:hint="default" w:ascii="Times New Roman" w:hAnsi="Times New Roman" w:eastAsia="仿宋_GB2312" w:cs="Times New Roman"/>
          <w:spacing w:val="-4"/>
          <w:highlight w:val="none"/>
          <w:u w:val="none" w:color="auto"/>
        </w:rPr>
        <w:t>年度部门决算中反映所有项目绩效自</w:t>
      </w:r>
      <w:r>
        <w:rPr>
          <w:rFonts w:hint="default" w:ascii="Times New Roman" w:hAnsi="Times New Roman" w:eastAsia="仿宋_GB2312" w:cs="Times New Roman"/>
          <w:spacing w:val="-1"/>
          <w:highlight w:val="none"/>
          <w:u w:val="none" w:color="auto"/>
        </w:rPr>
        <w:t>评结果共涉及</w:t>
      </w:r>
      <w:r>
        <w:rPr>
          <w:rFonts w:hint="eastAsia" w:ascii="Times New Roman" w:hAnsi="Times New Roman" w:eastAsia="仿宋_GB2312" w:cs="Times New Roman"/>
          <w:spacing w:val="-1"/>
          <w:highlight w:val="none"/>
          <w:u w:val="none" w:color="auto"/>
          <w:lang w:val="en-US" w:eastAsia="zh-CN"/>
        </w:rPr>
        <w:t>1</w:t>
      </w:r>
      <w:r>
        <w:rPr>
          <w:rFonts w:hint="default" w:ascii="Times New Roman" w:hAnsi="Times New Roman" w:eastAsia="仿宋_GB2312" w:cs="Times New Roman"/>
          <w:spacing w:val="-1"/>
          <w:highlight w:val="none"/>
          <w:u w:val="none" w:color="auto"/>
        </w:rPr>
        <w:t>个一级项目。</w:t>
      </w:r>
    </w:p>
    <w:p w14:paraId="64522420">
      <w:pPr>
        <w:pStyle w:val="2"/>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08" w:firstLineChars="200"/>
        <w:rPr>
          <w:rFonts w:hint="default" w:ascii="Times New Roman" w:hAnsi="Times New Roman" w:eastAsia="仿宋_GB2312" w:cs="Times New Roman"/>
          <w:spacing w:val="-8"/>
          <w:highlight w:val="none"/>
          <w:u w:val="none" w:color="auto"/>
        </w:rPr>
      </w:pPr>
      <w:r>
        <w:rPr>
          <w:rFonts w:hint="default" w:ascii="Times New Roman" w:hAnsi="Times New Roman" w:eastAsia="仿宋_GB2312" w:cs="Times New Roman"/>
          <w:spacing w:val="-8"/>
          <w:highlight w:val="none"/>
          <w:u w:val="none" w:color="auto"/>
        </w:rPr>
        <w:t>城乡义务教育补助经费项目绩效自评综述：项目全年预算数</w:t>
      </w:r>
    </w:p>
    <w:p w14:paraId="67054592">
      <w:pPr>
        <w:pStyle w:val="2"/>
        <w:keepNext w:val="0"/>
        <w:keepLines w:val="0"/>
        <w:pageBreakBefore w:val="0"/>
        <w:widowControl w:val="0"/>
        <w:kinsoku/>
        <w:wordWrap/>
        <w:overflowPunct/>
        <w:topLinePunct w:val="0"/>
        <w:autoSpaceDE w:val="0"/>
        <w:autoSpaceDN w:val="0"/>
        <w:bidi w:val="0"/>
        <w:adjustRightInd w:val="0"/>
        <w:snapToGrid w:val="0"/>
        <w:spacing w:line="560" w:lineRule="exact"/>
        <w:ind w:right="0"/>
        <w:rPr>
          <w:rFonts w:hint="default" w:ascii="Times New Roman" w:hAnsi="Times New Roman" w:eastAsia="仿宋_GB2312" w:cs="Times New Roman"/>
          <w:spacing w:val="-8"/>
          <w:highlight w:val="none"/>
          <w:u w:val="none" w:color="auto"/>
        </w:rPr>
      </w:pPr>
      <w:r>
        <w:rPr>
          <w:rFonts w:hint="default" w:ascii="Times New Roman" w:hAnsi="Times New Roman" w:eastAsia="仿宋_GB2312" w:cs="Times New Roman"/>
          <w:spacing w:val="-8"/>
          <w:highlight w:val="none"/>
          <w:u w:val="none" w:color="auto"/>
        </w:rPr>
        <w:t>为</w:t>
      </w:r>
      <w:r>
        <w:rPr>
          <w:rFonts w:hint="eastAsia" w:ascii="Times New Roman" w:hAnsi="Times New Roman" w:eastAsia="仿宋_GB2312" w:cs="Times New Roman"/>
          <w:spacing w:val="-8"/>
          <w:highlight w:val="none"/>
          <w:u w:val="none" w:color="auto"/>
          <w:lang w:val="en-US" w:eastAsia="zh-CN"/>
        </w:rPr>
        <w:t>48.5</w:t>
      </w:r>
      <w:r>
        <w:rPr>
          <w:rFonts w:hint="default" w:ascii="Times New Roman" w:hAnsi="Times New Roman" w:eastAsia="仿宋_GB2312" w:cs="Times New Roman"/>
          <w:spacing w:val="-8"/>
          <w:highlight w:val="none"/>
          <w:u w:val="none" w:color="auto"/>
        </w:rPr>
        <w:t>万元，执行数为</w:t>
      </w:r>
      <w:r>
        <w:rPr>
          <w:rFonts w:hint="eastAsia" w:ascii="Times New Roman" w:hAnsi="Times New Roman" w:eastAsia="仿宋_GB2312" w:cs="Times New Roman"/>
          <w:spacing w:val="-8"/>
          <w:highlight w:val="none"/>
          <w:u w:val="none" w:color="auto"/>
          <w:lang w:val="en-US" w:eastAsia="zh-CN"/>
        </w:rPr>
        <w:t>48.5</w:t>
      </w:r>
      <w:r>
        <w:rPr>
          <w:rFonts w:hint="default" w:ascii="Times New Roman" w:hAnsi="Times New Roman" w:eastAsia="仿宋_GB2312" w:cs="Times New Roman"/>
          <w:spacing w:val="-8"/>
          <w:highlight w:val="none"/>
          <w:u w:val="none" w:color="auto"/>
        </w:rPr>
        <w:t>万元，完成预算的100%。主要用于学</w:t>
      </w:r>
    </w:p>
    <w:p w14:paraId="1BC3C187">
      <w:pPr>
        <w:pStyle w:val="2"/>
        <w:keepNext w:val="0"/>
        <w:keepLines w:val="0"/>
        <w:pageBreakBefore w:val="0"/>
        <w:widowControl w:val="0"/>
        <w:kinsoku/>
        <w:wordWrap/>
        <w:overflowPunct/>
        <w:topLinePunct w:val="0"/>
        <w:autoSpaceDE w:val="0"/>
        <w:autoSpaceDN w:val="0"/>
        <w:bidi w:val="0"/>
        <w:adjustRightInd w:val="0"/>
        <w:snapToGrid w:val="0"/>
        <w:spacing w:line="560" w:lineRule="exact"/>
        <w:ind w:right="0"/>
        <w:rPr>
          <w:rFonts w:hint="eastAsia" w:ascii="Times New Roman" w:hAnsi="Times New Roman" w:eastAsia="仿宋_GB2312" w:cs="Times New Roman"/>
          <w:spacing w:val="-8"/>
          <w:highlight w:val="none"/>
          <w:u w:val="none" w:color="auto"/>
          <w:lang w:eastAsia="zh-CN"/>
        </w:rPr>
      </w:pPr>
      <w:r>
        <w:rPr>
          <w:rFonts w:hint="default" w:ascii="Times New Roman" w:hAnsi="Times New Roman" w:eastAsia="仿宋_GB2312" w:cs="Times New Roman"/>
          <w:spacing w:val="-8"/>
          <w:highlight w:val="none"/>
          <w:u w:val="none" w:color="auto"/>
        </w:rPr>
        <w:t>校义务教育经费的办公费、水电费、维修（护）费等补助费用</w:t>
      </w:r>
      <w:r>
        <w:rPr>
          <w:rFonts w:hint="eastAsia" w:ascii="Times New Roman" w:hAnsi="Times New Roman" w:eastAsia="仿宋_GB2312" w:cs="Times New Roman"/>
          <w:spacing w:val="-8"/>
          <w:highlight w:val="none"/>
          <w:u w:val="none" w:color="auto"/>
          <w:lang w:eastAsia="zh-CN"/>
        </w:rPr>
        <w:t>。</w:t>
      </w:r>
    </w:p>
    <w:p w14:paraId="53BA8E5F">
      <w:pPr>
        <w:keepNext w:val="0"/>
        <w:keepLines w:val="0"/>
        <w:pageBreakBefore w:val="0"/>
        <w:widowControl w:val="0"/>
        <w:numPr>
          <w:ilvl w:val="0"/>
          <w:numId w:val="3"/>
        </w:numPr>
        <w:kinsoku/>
        <w:wordWrap/>
        <w:overflowPunct/>
        <w:topLinePunct w:val="0"/>
        <w:autoSpaceDE w:val="0"/>
        <w:autoSpaceDN w:val="0"/>
        <w:bidi w:val="0"/>
        <w:adjustRightInd w:val="0"/>
        <w:snapToGrid w:val="0"/>
        <w:spacing w:line="560" w:lineRule="exact"/>
        <w:ind w:left="0" w:right="0" w:firstLine="640" w:firstLineChars="200"/>
        <w:textAlignment w:val="auto"/>
        <w:outlineLvl w:val="9"/>
        <w:rPr>
          <w:rFonts w:hint="default" w:ascii="Times New Roman" w:hAnsi="Times New Roman" w:eastAsia="楷体_GB2312" w:cs="Times New Roman"/>
          <w:sz w:val="32"/>
          <w:szCs w:val="32"/>
          <w:u w:val="none" w:color="auto"/>
        </w:rPr>
      </w:pPr>
      <w:r>
        <w:rPr>
          <w:rFonts w:hint="default" w:ascii="Times New Roman" w:hAnsi="Times New Roman" w:eastAsia="楷体_GB2312" w:cs="Times New Roman"/>
          <w:sz w:val="32"/>
          <w:szCs w:val="32"/>
          <w:u w:val="none" w:color="auto"/>
        </w:rPr>
        <w:t>绩效自评结果应用情况</w:t>
      </w:r>
    </w:p>
    <w:p w14:paraId="7A182ADC">
      <w:pPr>
        <w:pStyle w:val="2"/>
        <w:keepNext w:val="0"/>
        <w:keepLines w:val="0"/>
        <w:pageBreakBefore w:val="0"/>
        <w:widowControl w:val="0"/>
        <w:numPr>
          <w:ilvl w:val="0"/>
          <w:numId w:val="4"/>
        </w:numPr>
        <w:tabs>
          <w:tab w:val="clear" w:pos="312"/>
        </w:tabs>
        <w:kinsoku/>
        <w:wordWrap/>
        <w:overflowPunct/>
        <w:topLinePunct w:val="0"/>
        <w:autoSpaceDE w:val="0"/>
        <w:autoSpaceDN w:val="0"/>
        <w:bidi w:val="0"/>
        <w:adjustRightInd w:val="0"/>
        <w:snapToGrid w:val="0"/>
        <w:spacing w:line="560" w:lineRule="exact"/>
        <w:ind w:right="0" w:rightChars="0" w:firstLine="608" w:firstLineChars="200"/>
        <w:rPr>
          <w:rFonts w:hint="eastAsia" w:ascii="Times New Roman" w:hAnsi="Times New Roman" w:eastAsia="仿宋_GB2312" w:cs="Times New Roman"/>
          <w:spacing w:val="-8"/>
          <w:u w:val="none" w:color="auto"/>
        </w:rPr>
      </w:pPr>
      <w:r>
        <w:rPr>
          <w:rFonts w:hint="eastAsia" w:ascii="Times New Roman" w:hAnsi="Times New Roman" w:eastAsia="仿宋_GB2312" w:cs="Times New Roman"/>
          <w:spacing w:val="-8"/>
          <w:u w:val="none" w:color="auto"/>
        </w:rPr>
        <w:t>统一预算管理、预算编制规范化。坚持勤俭办学的方针，按照量入为出，兼顾保证重点，收支平衡的原则，合理编制年度预算，不得赤字预算，不得随意变更和调整预算。基本支出预算要按国家统一的“末”级科目进行细化编制，按轻重缓急原则合理安排，切实提高预算编制的科学性、准确性和规范性。</w:t>
      </w:r>
    </w:p>
    <w:p w14:paraId="757FB80F">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08" w:firstLineChars="200"/>
        <w:rPr>
          <w:rFonts w:hint="default" w:ascii="Times New Roman" w:hAnsi="Times New Roman" w:eastAsia="仿宋_GB2312" w:cs="Times New Roman"/>
          <w:b/>
          <w:bCs/>
          <w:sz w:val="32"/>
          <w:szCs w:val="32"/>
          <w:u w:val="none" w:color="auto"/>
        </w:rPr>
      </w:pPr>
      <w:r>
        <w:rPr>
          <w:rFonts w:hint="eastAsia" w:ascii="Times New Roman" w:hAnsi="Times New Roman" w:eastAsia="仿宋_GB2312" w:cs="Times New Roman"/>
          <w:spacing w:val="-8"/>
          <w:u w:val="none" w:color="auto"/>
          <w:lang w:val="en-US" w:eastAsia="zh-CN"/>
        </w:rPr>
        <w:t>2.</w:t>
      </w:r>
      <w:r>
        <w:rPr>
          <w:rFonts w:hint="eastAsia" w:ascii="Times New Roman" w:hAnsi="Times New Roman" w:eastAsia="仿宋_GB2312" w:cs="Times New Roman"/>
          <w:spacing w:val="-8"/>
          <w:u w:val="none" w:color="auto"/>
        </w:rPr>
        <w:t>切实加强财务管理。严格按照预算批复的支出项目和规定标准执行，打好支出审核关，各项支出据实列支，严禁虚列虚支、虚报冒领和挤占挪用；加强资产管理，建全资产台账，做到账账相符、账物相符；民主理财，实行财务公开，确保资金使用规范和效益。</w:t>
      </w:r>
    </w:p>
    <w:p w14:paraId="307BF2C8">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08" w:firstLineChars="200"/>
        <w:rPr>
          <w:rFonts w:hint="default" w:ascii="Times New Roman" w:hAnsi="Times New Roman" w:eastAsia="仿宋_GB2312" w:cs="Times New Roman"/>
          <w:b/>
          <w:bCs/>
          <w:sz w:val="32"/>
          <w:szCs w:val="32"/>
          <w:u w:val="none" w:color="auto"/>
        </w:rPr>
      </w:pPr>
      <w:r>
        <w:rPr>
          <w:rFonts w:hint="eastAsia" w:ascii="Times New Roman" w:hAnsi="Times New Roman" w:eastAsia="仿宋_GB2312" w:cs="Times New Roman"/>
          <w:spacing w:val="-8"/>
          <w:u w:val="none" w:color="auto"/>
          <w:lang w:val="en-US" w:eastAsia="zh-CN"/>
        </w:rPr>
        <w:t>3.</w:t>
      </w:r>
      <w:r>
        <w:rPr>
          <w:rFonts w:hint="eastAsia" w:ascii="Times New Roman" w:hAnsi="Times New Roman" w:eastAsia="仿宋_GB2312" w:cs="Times New Roman"/>
          <w:spacing w:val="-8"/>
          <w:u w:val="none" w:color="auto"/>
        </w:rPr>
        <w:t>实施全面绩效评价体系，提升学校财务管理绩效。全面实施以绩效导向的全面预算评价体系，制定科学、完善、切合实际的考核项目和标准，强化对预算管理全过程的资金使用实施考核、评价，通过绩效评价反映学校各部门、各项目预算执行情况、及时掌握资金使用情况、使各项经济活动实现信息共享、资源共享，提高资金使用率，为学校领导的决策提供参考，促进学校健康平衡发展。</w:t>
      </w:r>
      <w:r>
        <w:rPr>
          <w:rFonts w:hint="default" w:ascii="Times New Roman" w:hAnsi="Times New Roman" w:eastAsia="仿宋_GB2312" w:cs="Times New Roman"/>
          <w:b/>
          <w:bCs/>
          <w:sz w:val="32"/>
          <w:szCs w:val="32"/>
          <w:u w:val="none" w:color="auto"/>
        </w:rPr>
        <w:br w:type="page"/>
      </w:r>
    </w:p>
    <w:p w14:paraId="71A564C7">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方正小标宋_GBK" w:hAnsi="方正小标宋_GBK" w:eastAsia="方正小标宋_GBK" w:cs="方正小标宋_GBK"/>
          <w:sz w:val="44"/>
          <w:szCs w:val="44"/>
          <w:u w:val="none" w:color="auto"/>
        </w:rPr>
      </w:pPr>
      <w:r>
        <w:rPr>
          <w:rFonts w:hint="eastAsia" w:ascii="方正小标宋_GBK" w:hAnsi="方正小标宋_GBK" w:eastAsia="方正小标宋_GBK" w:cs="方正小标宋_GBK"/>
          <w:spacing w:val="-2"/>
          <w:sz w:val="44"/>
          <w:szCs w:val="44"/>
          <w:u w:val="none" w:color="auto"/>
        </w:rPr>
        <w:t>第四部分</w:t>
      </w:r>
      <w:r>
        <w:rPr>
          <w:rFonts w:hint="eastAsia" w:ascii="Times New Roman" w:hAnsi="方正小标宋_GBK" w:eastAsia="方正小标宋_GBK" w:cs="方正小标宋_GBK"/>
          <w:spacing w:val="-2"/>
          <w:sz w:val="44"/>
          <w:szCs w:val="44"/>
          <w:u w:val="none" w:color="auto"/>
        </w:rPr>
        <w:t>202</w:t>
      </w:r>
      <w:r>
        <w:rPr>
          <w:rFonts w:hint="eastAsia" w:ascii="Times New Roman" w:hAnsi="方正小标宋_GBK" w:eastAsia="方正小标宋_GBK" w:cs="方正小标宋_GBK"/>
          <w:spacing w:val="-2"/>
          <w:sz w:val="44"/>
          <w:szCs w:val="44"/>
          <w:u w:val="none" w:color="auto"/>
          <w:lang w:val="en-US" w:eastAsia="zh-CN"/>
        </w:rPr>
        <w:t>4</w:t>
      </w:r>
      <w:r>
        <w:rPr>
          <w:rFonts w:hint="eastAsia" w:ascii="方正小标宋_GBK" w:hAnsi="方正小标宋_GBK" w:eastAsia="方正小标宋_GBK" w:cs="方正小标宋_GBK"/>
          <w:spacing w:val="-2"/>
          <w:sz w:val="44"/>
          <w:szCs w:val="44"/>
          <w:u w:val="none" w:color="auto"/>
        </w:rPr>
        <w:t>年重点工作完成情况</w:t>
      </w:r>
    </w:p>
    <w:p w14:paraId="06EAE49F">
      <w:pPr>
        <w:spacing w:line="249" w:lineRule="auto"/>
        <w:rPr>
          <w:rFonts w:hint="default" w:ascii="Times New Roman" w:hAnsi="Times New Roman" w:cs="Times New Roman"/>
          <w:sz w:val="21"/>
          <w:u w:val="none" w:color="auto"/>
        </w:rPr>
      </w:pPr>
    </w:p>
    <w:p w14:paraId="357C6F7C">
      <w:pPr>
        <w:pStyle w:val="2"/>
        <w:numPr>
          <w:ilvl w:val="0"/>
          <w:numId w:val="5"/>
        </w:numPr>
        <w:spacing w:before="104" w:line="283" w:lineRule="auto"/>
        <w:ind w:left="1471" w:right="4738" w:hanging="705"/>
        <w:rPr>
          <w:rFonts w:hint="default" w:ascii="Times New Roman" w:hAnsi="Times New Roman" w:eastAsia="黑体" w:cs="Times New Roman"/>
          <w:spacing w:val="-2"/>
          <w:u w:val="none" w:color="auto"/>
        </w:rPr>
      </w:pPr>
      <w:r>
        <w:rPr>
          <w:rFonts w:hint="default" w:ascii="Times New Roman" w:hAnsi="Times New Roman" w:eastAsia="黑体" w:cs="Times New Roman"/>
          <w:spacing w:val="-2"/>
          <w:u w:val="none" w:color="auto"/>
        </w:rPr>
        <w:t>重点工作事项标题</w:t>
      </w:r>
    </w:p>
    <w:p w14:paraId="7FDB3F3D">
      <w:pPr>
        <w:pStyle w:val="2"/>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08" w:firstLineChars="200"/>
        <w:rPr>
          <w:rFonts w:hint="eastAsia" w:ascii="Times New Roman" w:hAnsi="Times New Roman" w:eastAsia="黑体" w:cs="Times New Roman"/>
          <w:spacing w:val="-2"/>
          <w:u w:val="none" w:color="auto"/>
          <w:lang w:eastAsia="zh-CN"/>
        </w:rPr>
      </w:pPr>
      <w:r>
        <w:rPr>
          <w:rFonts w:hint="eastAsia" w:ascii="Times New Roman" w:hAnsi="Times New Roman" w:eastAsia="仿宋_GB2312" w:cs="Times New Roman"/>
          <w:spacing w:val="-8"/>
          <w:u w:val="none" w:color="auto"/>
          <w:lang w:eastAsia="zh-CN"/>
        </w:rPr>
        <w:t>2024</w:t>
      </w:r>
      <w:r>
        <w:rPr>
          <w:rFonts w:hint="eastAsia" w:ascii="Times New Roman" w:hAnsi="Times New Roman" w:eastAsia="仿宋_GB2312" w:cs="Times New Roman"/>
          <w:spacing w:val="-8"/>
          <w:u w:val="none" w:color="auto"/>
        </w:rPr>
        <w:t>年度，学校坚持党建引领，导航学校发展，坚持党员教师先锋模范作用。学校认真落实党组织领导的校长负责制，切实遵循工作流程，突出党支部对学校各项工作的监督引领作用。以党建+，撬动学校文化迭代，课堂改革，课程建设，德育浸润。优化教育生态，积蓄教育力量。</w:t>
      </w:r>
    </w:p>
    <w:p w14:paraId="75A23612">
      <w:pPr>
        <w:pStyle w:val="2"/>
        <w:spacing w:before="218" w:line="283" w:lineRule="auto"/>
        <w:ind w:left="1471" w:right="4738" w:hanging="705"/>
        <w:rPr>
          <w:rFonts w:hint="eastAsia" w:ascii="Times New Roman" w:hAnsi="Times New Roman" w:eastAsia="仿宋" w:cs="Times New Roman"/>
          <w:u w:val="none" w:color="auto"/>
          <w:lang w:eastAsia="zh-CN"/>
        </w:rPr>
      </w:pPr>
      <w:r>
        <w:rPr>
          <w:rFonts w:hint="default" w:ascii="Times New Roman" w:hAnsi="Times New Roman" w:eastAsia="黑体" w:cs="Times New Roman"/>
          <w:spacing w:val="-2"/>
          <w:u w:val="none" w:color="auto"/>
        </w:rPr>
        <w:t>二、重点工作事项标题</w:t>
      </w:r>
    </w:p>
    <w:tbl>
      <w:tblPr>
        <w:tblStyle w:val="10"/>
        <w:tblW w:w="1036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9"/>
        <w:gridCol w:w="1530"/>
        <w:gridCol w:w="2653"/>
        <w:gridCol w:w="5357"/>
      </w:tblGrid>
      <w:tr w14:paraId="12B11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5" w:hRule="atLeast"/>
          <w:jc w:val="center"/>
        </w:trPr>
        <w:tc>
          <w:tcPr>
            <w:tcW w:w="829" w:type="dxa"/>
            <w:vAlign w:val="center"/>
          </w:tcPr>
          <w:p w14:paraId="0F094103">
            <w:pPr>
              <w:keepNext w:val="0"/>
              <w:keepLines w:val="0"/>
              <w:pageBreakBefore w:val="0"/>
              <w:wordWrap/>
              <w:overflowPunct/>
              <w:topLinePunct w:val="0"/>
              <w:autoSpaceDE w:val="0"/>
              <w:autoSpaceDN w:val="0"/>
              <w:bidi w:val="0"/>
              <w:adjustRightInd w:val="0"/>
              <w:snapToGrid w:val="0"/>
              <w:spacing w:before="104" w:line="500" w:lineRule="exact"/>
              <w:jc w:val="center"/>
              <w:rPr>
                <w:rFonts w:hint="default" w:ascii="Times New Roman" w:hAnsi="Times New Roman" w:eastAsia="仿宋" w:cs="Times New Roman"/>
                <w:sz w:val="32"/>
                <w:szCs w:val="32"/>
                <w:u w:val="none" w:color="auto"/>
              </w:rPr>
            </w:pPr>
            <w:r>
              <w:rPr>
                <w:rFonts w:hint="default" w:ascii="Times New Roman" w:hAnsi="Times New Roman" w:eastAsia="仿宋_GB2312" w:cs="Times New Roman"/>
                <w:spacing w:val="-9"/>
                <w:sz w:val="32"/>
                <w:szCs w:val="32"/>
                <w:u w:val="none" w:color="auto"/>
              </w:rPr>
              <w:t>序号</w:t>
            </w:r>
          </w:p>
        </w:tc>
        <w:tc>
          <w:tcPr>
            <w:tcW w:w="1530" w:type="dxa"/>
            <w:vAlign w:val="center"/>
          </w:tcPr>
          <w:p w14:paraId="493BD697">
            <w:pPr>
              <w:keepNext w:val="0"/>
              <w:keepLines w:val="0"/>
              <w:pageBreakBefore w:val="0"/>
              <w:wordWrap/>
              <w:overflowPunct/>
              <w:topLinePunct w:val="0"/>
              <w:autoSpaceDE w:val="0"/>
              <w:autoSpaceDN w:val="0"/>
              <w:bidi w:val="0"/>
              <w:adjustRightInd w:val="0"/>
              <w:snapToGrid w:val="0"/>
              <w:spacing w:before="104" w:line="500" w:lineRule="exact"/>
              <w:jc w:val="center"/>
              <w:rPr>
                <w:rFonts w:hint="default" w:ascii="Times New Roman" w:hAnsi="Times New Roman" w:eastAsia="仿宋" w:cs="Times New Roman"/>
                <w:sz w:val="32"/>
                <w:szCs w:val="32"/>
                <w:u w:val="none" w:color="auto"/>
              </w:rPr>
            </w:pPr>
            <w:r>
              <w:rPr>
                <w:rFonts w:hint="default" w:ascii="Times New Roman" w:hAnsi="Times New Roman" w:eastAsia="仿宋_GB2312" w:cs="Times New Roman"/>
                <w:spacing w:val="-8"/>
                <w:sz w:val="32"/>
                <w:szCs w:val="32"/>
                <w:u w:val="none" w:color="auto"/>
              </w:rPr>
              <w:t>重要事项</w:t>
            </w:r>
          </w:p>
        </w:tc>
        <w:tc>
          <w:tcPr>
            <w:tcW w:w="2653" w:type="dxa"/>
            <w:vAlign w:val="center"/>
          </w:tcPr>
          <w:p w14:paraId="78546A6D">
            <w:pPr>
              <w:keepNext w:val="0"/>
              <w:keepLines w:val="0"/>
              <w:pageBreakBefore w:val="0"/>
              <w:wordWrap/>
              <w:overflowPunct/>
              <w:topLinePunct w:val="0"/>
              <w:autoSpaceDE w:val="0"/>
              <w:autoSpaceDN w:val="0"/>
              <w:bidi w:val="0"/>
              <w:adjustRightInd w:val="0"/>
              <w:snapToGrid w:val="0"/>
              <w:spacing w:before="104" w:line="500" w:lineRule="exact"/>
              <w:jc w:val="center"/>
              <w:rPr>
                <w:rFonts w:hint="default" w:ascii="Times New Roman" w:hAnsi="Times New Roman" w:eastAsia="仿宋" w:cs="Times New Roman"/>
                <w:sz w:val="32"/>
                <w:szCs w:val="32"/>
                <w:u w:val="none" w:color="auto"/>
              </w:rPr>
            </w:pPr>
            <w:r>
              <w:rPr>
                <w:rFonts w:hint="default" w:ascii="Times New Roman" w:hAnsi="Times New Roman" w:eastAsia="仿宋_GB2312" w:cs="Times New Roman"/>
                <w:spacing w:val="-4"/>
                <w:sz w:val="32"/>
                <w:szCs w:val="32"/>
                <w:u w:val="none" w:color="auto"/>
              </w:rPr>
              <w:t>工作内容及目标</w:t>
            </w:r>
          </w:p>
        </w:tc>
        <w:tc>
          <w:tcPr>
            <w:tcW w:w="5357" w:type="dxa"/>
            <w:vAlign w:val="center"/>
          </w:tcPr>
          <w:p w14:paraId="5EB121AD">
            <w:pPr>
              <w:keepNext w:val="0"/>
              <w:keepLines w:val="0"/>
              <w:pageBreakBefore w:val="0"/>
              <w:wordWrap/>
              <w:overflowPunct/>
              <w:topLinePunct w:val="0"/>
              <w:autoSpaceDE w:val="0"/>
              <w:autoSpaceDN w:val="0"/>
              <w:bidi w:val="0"/>
              <w:adjustRightInd w:val="0"/>
              <w:snapToGrid w:val="0"/>
              <w:spacing w:before="104" w:line="500" w:lineRule="exact"/>
              <w:jc w:val="center"/>
              <w:rPr>
                <w:rFonts w:hint="default" w:ascii="Times New Roman" w:hAnsi="Times New Roman" w:eastAsia="仿宋" w:cs="Times New Roman"/>
                <w:sz w:val="32"/>
                <w:szCs w:val="32"/>
                <w:u w:val="none" w:color="auto"/>
              </w:rPr>
            </w:pPr>
            <w:r>
              <w:rPr>
                <w:rFonts w:hint="default" w:ascii="Times New Roman" w:hAnsi="Times New Roman" w:eastAsia="仿宋_GB2312" w:cs="Times New Roman"/>
                <w:spacing w:val="-7"/>
                <w:sz w:val="32"/>
                <w:szCs w:val="32"/>
                <w:u w:val="none" w:color="auto"/>
              </w:rPr>
              <w:t>完成情况</w:t>
            </w:r>
          </w:p>
        </w:tc>
      </w:tr>
      <w:tr w14:paraId="352054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3" w:hRule="atLeast"/>
          <w:jc w:val="center"/>
        </w:trPr>
        <w:tc>
          <w:tcPr>
            <w:tcW w:w="829" w:type="dxa"/>
            <w:vAlign w:val="center"/>
          </w:tcPr>
          <w:p w14:paraId="2A3E7AA6">
            <w:pPr>
              <w:keepNext w:val="0"/>
              <w:keepLines w:val="0"/>
              <w:pageBreakBefore w:val="0"/>
              <w:wordWrap/>
              <w:overflowPunct/>
              <w:topLinePunct w:val="0"/>
              <w:autoSpaceDE w:val="0"/>
              <w:autoSpaceDN w:val="0"/>
              <w:bidi w:val="0"/>
              <w:adjustRightInd w:val="0"/>
              <w:snapToGrid w:val="0"/>
              <w:spacing w:before="159" w:line="500" w:lineRule="exact"/>
              <w:jc w:val="center"/>
              <w:rPr>
                <w:rFonts w:hint="default" w:ascii="Times New Roman" w:hAnsi="Times New Roman" w:eastAsia="仿宋_GB2312" w:cs="Times New Roman"/>
                <w:snapToGrid w:val="0"/>
                <w:color w:val="000000"/>
                <w:spacing w:val="-8"/>
                <w:kern w:val="0"/>
                <w:sz w:val="32"/>
                <w:szCs w:val="32"/>
                <w:u w:val="none" w:color="auto"/>
                <w:lang w:val="en-US" w:eastAsia="zh-CN" w:bidi="ar-SA"/>
              </w:rPr>
            </w:pPr>
            <w:r>
              <w:rPr>
                <w:rFonts w:hint="eastAsia" w:ascii="Times New Roman" w:hAnsi="Times New Roman" w:eastAsia="仿宋_GB2312" w:cs="Times New Roman"/>
                <w:snapToGrid w:val="0"/>
                <w:color w:val="000000"/>
                <w:spacing w:val="-8"/>
                <w:kern w:val="0"/>
                <w:sz w:val="32"/>
                <w:szCs w:val="32"/>
                <w:u w:val="none" w:color="auto"/>
                <w:lang w:val="en-US" w:eastAsia="zh-CN" w:bidi="ar-SA"/>
              </w:rPr>
              <w:t>1</w:t>
            </w:r>
          </w:p>
        </w:tc>
        <w:tc>
          <w:tcPr>
            <w:tcW w:w="1530" w:type="dxa"/>
            <w:vAlign w:val="center"/>
          </w:tcPr>
          <w:p w14:paraId="3A90A7C9">
            <w:pPr>
              <w:pStyle w:val="11"/>
              <w:keepNext w:val="0"/>
              <w:keepLines w:val="0"/>
              <w:pageBreakBefore w:val="0"/>
              <w:wordWrap/>
              <w:overflowPunct/>
              <w:topLinePunct w:val="0"/>
              <w:autoSpaceDE w:val="0"/>
              <w:autoSpaceDN w:val="0"/>
              <w:bidi w:val="0"/>
              <w:adjustRightInd w:val="0"/>
              <w:snapToGrid w:val="0"/>
              <w:spacing w:line="500" w:lineRule="exact"/>
              <w:jc w:val="center"/>
              <w:rPr>
                <w:rFonts w:hint="default" w:ascii="Times New Roman" w:hAnsi="Times New Roman" w:eastAsia="仿宋_GB2312" w:cs="Times New Roman"/>
                <w:snapToGrid w:val="0"/>
                <w:color w:val="000000"/>
                <w:spacing w:val="-8"/>
                <w:kern w:val="0"/>
                <w:sz w:val="32"/>
                <w:szCs w:val="32"/>
                <w:u w:val="none" w:color="auto"/>
                <w:lang w:val="en-US" w:eastAsia="zh-CN" w:bidi="ar-SA"/>
              </w:rPr>
            </w:pPr>
            <w:r>
              <w:rPr>
                <w:rFonts w:hint="eastAsia" w:ascii="Times New Roman" w:hAnsi="Times New Roman" w:eastAsia="仿宋_GB2312" w:cs="Times New Roman"/>
                <w:snapToGrid w:val="0"/>
                <w:color w:val="000000"/>
                <w:spacing w:val="-8"/>
                <w:kern w:val="0"/>
                <w:sz w:val="32"/>
                <w:szCs w:val="32"/>
                <w:u w:val="none" w:color="auto"/>
                <w:lang w:val="en-US" w:eastAsia="zh-CN" w:bidi="ar-SA"/>
              </w:rPr>
              <w:t>文化立校</w:t>
            </w:r>
          </w:p>
        </w:tc>
        <w:tc>
          <w:tcPr>
            <w:tcW w:w="2653" w:type="dxa"/>
            <w:vAlign w:val="center"/>
          </w:tcPr>
          <w:p w14:paraId="142D0866">
            <w:pPr>
              <w:pStyle w:val="11"/>
              <w:keepNext w:val="0"/>
              <w:keepLines w:val="0"/>
              <w:pageBreakBefore w:val="0"/>
              <w:wordWrap/>
              <w:overflowPunct/>
              <w:topLinePunct w:val="0"/>
              <w:autoSpaceDE w:val="0"/>
              <w:autoSpaceDN w:val="0"/>
              <w:bidi w:val="0"/>
              <w:adjustRightInd w:val="0"/>
              <w:snapToGrid w:val="0"/>
              <w:spacing w:line="500" w:lineRule="exact"/>
              <w:jc w:val="center"/>
              <w:rPr>
                <w:rFonts w:hint="default" w:ascii="Times New Roman" w:hAnsi="Times New Roman" w:eastAsia="仿宋_GB2312" w:cs="Times New Roman"/>
                <w:snapToGrid w:val="0"/>
                <w:color w:val="000000"/>
                <w:spacing w:val="-8"/>
                <w:kern w:val="0"/>
                <w:sz w:val="32"/>
                <w:szCs w:val="32"/>
                <w:u w:val="none" w:color="auto"/>
                <w:lang w:val="en-US" w:eastAsia="zh-CN" w:bidi="ar-SA"/>
              </w:rPr>
            </w:pPr>
            <w:r>
              <w:rPr>
                <w:rFonts w:hint="eastAsia" w:ascii="Times New Roman" w:hAnsi="Times New Roman" w:eastAsia="仿宋_GB2312" w:cs="Times New Roman"/>
                <w:snapToGrid w:val="0"/>
                <w:color w:val="000000"/>
                <w:spacing w:val="-8"/>
                <w:kern w:val="0"/>
                <w:sz w:val="32"/>
                <w:szCs w:val="32"/>
                <w:u w:val="none" w:color="auto"/>
                <w:lang w:val="en-US" w:eastAsia="zh-CN" w:bidi="ar-SA"/>
              </w:rPr>
              <w:t>重文化传承，完成文化迭代</w:t>
            </w:r>
          </w:p>
        </w:tc>
        <w:tc>
          <w:tcPr>
            <w:tcW w:w="5357" w:type="dxa"/>
            <w:vAlign w:val="center"/>
          </w:tcPr>
          <w:p w14:paraId="0AACB042">
            <w:pPr>
              <w:keepNext w:val="0"/>
              <w:keepLines w:val="0"/>
              <w:pageBreakBefore w:val="0"/>
              <w:widowControl w:val="0"/>
              <w:kinsoku/>
              <w:wordWrap/>
              <w:overflowPunct/>
              <w:topLinePunct w:val="0"/>
              <w:autoSpaceDE w:val="0"/>
              <w:autoSpaceDN w:val="0"/>
              <w:bidi w:val="0"/>
              <w:adjustRightInd w:val="0"/>
              <w:snapToGrid w:val="0"/>
              <w:spacing w:line="500" w:lineRule="exact"/>
              <w:ind w:firstLine="640" w:firstLineChars="200"/>
              <w:textAlignment w:val="auto"/>
              <w:rPr>
                <w:rFonts w:hint="default" w:ascii="仿宋_GB2312" w:hAnsi="仿宋_GB2312" w:eastAsia="仿宋_GB2312" w:cs="仿宋_GB2312"/>
                <w:bCs/>
                <w:kern w:val="44"/>
                <w:sz w:val="32"/>
                <w:szCs w:val="32"/>
                <w:highlight w:val="none"/>
                <w:u w:val="none" w:color="auto"/>
                <w:lang w:val="en-US" w:eastAsia="en-US"/>
              </w:rPr>
            </w:pPr>
            <w:r>
              <w:rPr>
                <w:rFonts w:hint="default" w:ascii="仿宋_GB2312" w:hAnsi="仿宋_GB2312" w:eastAsia="仿宋_GB2312" w:cs="仿宋_GB2312"/>
                <w:bCs/>
                <w:kern w:val="44"/>
                <w:sz w:val="32"/>
                <w:szCs w:val="32"/>
                <w:highlight w:val="none"/>
                <w:u w:val="none" w:color="auto"/>
                <w:lang w:val="en-US" w:eastAsia="en-US"/>
              </w:rPr>
              <w:t>学校倡导花育教育，核心是相信种子的力量。分别从课堂、课程、德育、教师提出主张，践行理念。这一文化标识也逐渐内化为师生的一致行动。今年我校又将文化表述结合当下的情况给予现实表达：把每个孩子放在心上，让每个孩子充满希望。这一文化内核有根有魂，引导老师们关注全体，因材施教，绽放每一个。</w:t>
            </w:r>
          </w:p>
        </w:tc>
      </w:tr>
      <w:tr w14:paraId="0DC48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jc w:val="center"/>
        </w:trPr>
        <w:tc>
          <w:tcPr>
            <w:tcW w:w="829" w:type="dxa"/>
            <w:vAlign w:val="center"/>
          </w:tcPr>
          <w:p w14:paraId="1FD59DAD">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en-US"/>
              </w:rPr>
            </w:pPr>
            <w:r>
              <w:rPr>
                <w:rFonts w:hint="default" w:ascii="仿宋_GB2312" w:hAnsi="仿宋_GB2312" w:eastAsia="仿宋_GB2312" w:cs="仿宋_GB2312"/>
                <w:bCs/>
                <w:kern w:val="44"/>
                <w:sz w:val="32"/>
                <w:szCs w:val="32"/>
                <w:highlight w:val="none"/>
                <w:u w:val="none" w:color="auto"/>
                <w:lang w:val="en-US" w:eastAsia="en-US"/>
              </w:rPr>
              <w:t>2</w:t>
            </w:r>
          </w:p>
        </w:tc>
        <w:tc>
          <w:tcPr>
            <w:tcW w:w="1530" w:type="dxa"/>
            <w:vAlign w:val="center"/>
          </w:tcPr>
          <w:p w14:paraId="4C13B315">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课堂研究进一步深入</w:t>
            </w:r>
          </w:p>
        </w:tc>
        <w:tc>
          <w:tcPr>
            <w:tcW w:w="2653" w:type="dxa"/>
            <w:vAlign w:val="center"/>
          </w:tcPr>
          <w:p w14:paraId="2EC3122D">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形成课堂共识，质量提升的关键在课堂，课堂提升的关键在学习方式的转变。</w:t>
            </w:r>
          </w:p>
        </w:tc>
        <w:tc>
          <w:tcPr>
            <w:tcW w:w="5357" w:type="dxa"/>
            <w:vAlign w:val="center"/>
          </w:tcPr>
          <w:p w14:paraId="2D2196B2">
            <w:pPr>
              <w:keepNext w:val="0"/>
              <w:keepLines w:val="0"/>
              <w:pageBreakBefore w:val="0"/>
              <w:widowControl w:val="0"/>
              <w:kinsoku/>
              <w:wordWrap/>
              <w:overflowPunct/>
              <w:topLinePunct w:val="0"/>
              <w:autoSpaceDE w:val="0"/>
              <w:autoSpaceDN w:val="0"/>
              <w:bidi w:val="0"/>
              <w:adjustRightInd w:val="0"/>
              <w:snapToGrid w:val="0"/>
              <w:spacing w:line="500" w:lineRule="exact"/>
              <w:ind w:firstLine="640" w:firstLineChars="200"/>
              <w:textAlignment w:val="auto"/>
              <w:rPr>
                <w:rFonts w:hint="default" w:ascii="仿宋_GB2312" w:hAnsi="仿宋_GB2312" w:eastAsia="仿宋_GB2312" w:cs="仿宋_GB2312"/>
                <w:bCs/>
                <w:kern w:val="44"/>
                <w:sz w:val="32"/>
                <w:szCs w:val="32"/>
                <w:highlight w:val="none"/>
                <w:u w:val="none" w:color="auto"/>
                <w:lang w:val="en-US" w:eastAsia="en-US"/>
              </w:rPr>
            </w:pPr>
            <w:r>
              <w:rPr>
                <w:rFonts w:hint="default" w:ascii="仿宋_GB2312" w:hAnsi="仿宋_GB2312" w:eastAsia="仿宋_GB2312" w:cs="仿宋_GB2312"/>
                <w:bCs/>
                <w:kern w:val="44"/>
                <w:sz w:val="32"/>
                <w:szCs w:val="32"/>
                <w:highlight w:val="none"/>
                <w:u w:val="none" w:color="auto"/>
                <w:lang w:val="en-US" w:eastAsia="en-US"/>
              </w:rPr>
              <w:t>立足课堂现状，发现典型，研究典型，寻找课堂特殊。不断反思引领让老师们关注课堂，研究课堂，实现课堂效率提升。目前学校理科教学分层结对兵教兵形成一定特色。</w:t>
            </w:r>
          </w:p>
        </w:tc>
      </w:tr>
      <w:tr w14:paraId="18678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jc w:val="center"/>
        </w:trPr>
        <w:tc>
          <w:tcPr>
            <w:tcW w:w="829" w:type="dxa"/>
            <w:vAlign w:val="center"/>
          </w:tcPr>
          <w:p w14:paraId="3EF3DC1E">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en-US"/>
              </w:rPr>
            </w:pPr>
            <w:r>
              <w:rPr>
                <w:rFonts w:hint="default" w:ascii="仿宋_GB2312" w:hAnsi="仿宋_GB2312" w:eastAsia="仿宋_GB2312" w:cs="仿宋_GB2312"/>
                <w:bCs/>
                <w:kern w:val="44"/>
                <w:sz w:val="32"/>
                <w:szCs w:val="32"/>
                <w:highlight w:val="none"/>
                <w:u w:val="none" w:color="auto"/>
                <w:lang w:val="en-US" w:eastAsia="en-US"/>
              </w:rPr>
              <w:t>3</w:t>
            </w:r>
          </w:p>
        </w:tc>
        <w:tc>
          <w:tcPr>
            <w:tcW w:w="1530" w:type="dxa"/>
            <w:vAlign w:val="center"/>
          </w:tcPr>
          <w:p w14:paraId="52AEBF88">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重构课程体系</w:t>
            </w:r>
          </w:p>
        </w:tc>
        <w:tc>
          <w:tcPr>
            <w:tcW w:w="2653" w:type="dxa"/>
            <w:vAlign w:val="center"/>
          </w:tcPr>
          <w:p w14:paraId="38C7A933">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进一步丰富课程体系</w:t>
            </w:r>
          </w:p>
        </w:tc>
        <w:tc>
          <w:tcPr>
            <w:tcW w:w="5357" w:type="dxa"/>
            <w:vAlign w:val="center"/>
          </w:tcPr>
          <w:p w14:paraId="2A07732D">
            <w:pPr>
              <w:keepNext w:val="0"/>
              <w:keepLines w:val="0"/>
              <w:pageBreakBefore w:val="0"/>
              <w:widowControl w:val="0"/>
              <w:kinsoku/>
              <w:wordWrap/>
              <w:overflowPunct/>
              <w:topLinePunct w:val="0"/>
              <w:autoSpaceDE w:val="0"/>
              <w:autoSpaceDN w:val="0"/>
              <w:bidi w:val="0"/>
              <w:adjustRightInd w:val="0"/>
              <w:snapToGrid w:val="0"/>
              <w:spacing w:line="500" w:lineRule="exact"/>
              <w:ind w:firstLine="640" w:firstLineChars="200"/>
              <w:textAlignment w:val="auto"/>
              <w:rPr>
                <w:rFonts w:hint="default" w:ascii="仿宋_GB2312" w:hAnsi="仿宋_GB2312" w:eastAsia="仿宋_GB2312" w:cs="仿宋_GB2312"/>
                <w:bCs/>
                <w:kern w:val="44"/>
                <w:sz w:val="32"/>
                <w:szCs w:val="32"/>
                <w:highlight w:val="none"/>
                <w:u w:val="none" w:color="auto"/>
                <w:lang w:val="en-US" w:eastAsia="en-US"/>
              </w:rPr>
            </w:pPr>
            <w:r>
              <w:rPr>
                <w:rFonts w:hint="default" w:ascii="仿宋_GB2312" w:hAnsi="仿宋_GB2312" w:eastAsia="仿宋_GB2312" w:cs="仿宋_GB2312"/>
                <w:bCs/>
                <w:kern w:val="44"/>
                <w:sz w:val="32"/>
                <w:szCs w:val="32"/>
                <w:highlight w:val="none"/>
                <w:u w:val="none" w:color="auto"/>
                <w:lang w:val="en-US" w:eastAsia="en-US"/>
              </w:rPr>
              <w:t>加强课程融合的思考和践行，让德育活动课程化，活动课程融合化，深挖德育课程的育人功能。学校进一步厘清课程体系以及课程的载体功能，在新课程方案背景下核心素养的形成地位。坚持素养导向，坚持大课程观，不断优化课程结构体系，丰富课程资源。</w:t>
            </w:r>
          </w:p>
        </w:tc>
      </w:tr>
      <w:tr w14:paraId="24F62B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829" w:type="dxa"/>
            <w:vAlign w:val="center"/>
          </w:tcPr>
          <w:p w14:paraId="0F7EC375">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4</w:t>
            </w:r>
          </w:p>
        </w:tc>
        <w:tc>
          <w:tcPr>
            <w:tcW w:w="1530" w:type="dxa"/>
            <w:vAlign w:val="center"/>
          </w:tcPr>
          <w:p w14:paraId="6520E940">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重视师生关系</w:t>
            </w:r>
          </w:p>
        </w:tc>
        <w:tc>
          <w:tcPr>
            <w:tcW w:w="2653" w:type="dxa"/>
            <w:vAlign w:val="center"/>
          </w:tcPr>
          <w:p w14:paraId="64B69216">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强调师生关系就是生产力</w:t>
            </w:r>
          </w:p>
        </w:tc>
        <w:tc>
          <w:tcPr>
            <w:tcW w:w="5357" w:type="dxa"/>
            <w:vAlign w:val="center"/>
          </w:tcPr>
          <w:p w14:paraId="1A478CD8">
            <w:pPr>
              <w:keepNext w:val="0"/>
              <w:keepLines w:val="0"/>
              <w:pageBreakBefore w:val="0"/>
              <w:widowControl w:val="0"/>
              <w:kinsoku/>
              <w:wordWrap/>
              <w:overflowPunct/>
              <w:topLinePunct w:val="0"/>
              <w:autoSpaceDE w:val="0"/>
              <w:autoSpaceDN w:val="0"/>
              <w:bidi w:val="0"/>
              <w:adjustRightInd w:val="0"/>
              <w:snapToGrid w:val="0"/>
              <w:spacing w:line="500" w:lineRule="exact"/>
              <w:ind w:firstLine="640" w:firstLineChars="200"/>
              <w:textAlignment w:val="auto"/>
              <w:rPr>
                <w:rFonts w:hint="default" w:ascii="仿宋_GB2312" w:hAnsi="仿宋_GB2312" w:eastAsia="仿宋_GB2312" w:cs="仿宋_GB2312"/>
                <w:bCs/>
                <w:kern w:val="44"/>
                <w:sz w:val="32"/>
                <w:szCs w:val="32"/>
                <w:highlight w:val="none"/>
                <w:u w:val="none" w:color="auto"/>
                <w:lang w:val="en-US" w:eastAsia="en-US"/>
              </w:rPr>
            </w:pPr>
            <w:r>
              <w:rPr>
                <w:rFonts w:hint="default" w:ascii="仿宋_GB2312" w:hAnsi="仿宋_GB2312" w:eastAsia="仿宋_GB2312" w:cs="仿宋_GB2312"/>
                <w:bCs/>
                <w:kern w:val="44"/>
                <w:sz w:val="32"/>
                <w:szCs w:val="32"/>
                <w:highlight w:val="none"/>
                <w:u w:val="none" w:color="auto"/>
                <w:lang w:val="en-US" w:eastAsia="en-US"/>
              </w:rPr>
              <w:t>教育学就是关系学，教育学首先是师生关系。影响师生关系的因素很多，但师生关系的主导方在教师，教师应该主动承担起建立良好师生关系的责任。良好的师生关系与教师的专业素养和个人气质和敬业精神深度关联。建立良好师生关系一是课堂，二是活动，关键是班主任。强调课堂意识：上好课，是教师的天职</w:t>
            </w:r>
            <w:r>
              <w:rPr>
                <w:rFonts w:hint="eastAsia" w:ascii="仿宋_GB2312" w:hAnsi="仿宋_GB2312" w:eastAsia="仿宋_GB2312" w:cs="仿宋_GB2312"/>
                <w:bCs/>
                <w:kern w:val="44"/>
                <w:sz w:val="32"/>
                <w:szCs w:val="32"/>
                <w:highlight w:val="none"/>
                <w:u w:val="none" w:color="auto"/>
                <w:lang w:val="en-US" w:eastAsia="zh-CN"/>
              </w:rPr>
              <w:t>。教师要敬畏课堂，研究课堂，驾驭课堂，创新课堂，每位老师都是德育工作者，都在示范引领学生发展。活动是师生交流互动坦诚相见的载体，为很多棘手的管理问题提供了沉浸式处理的环境。精心设计、组织开展主题明确、内容丰富、形式多样、吸引力强的基于学生立场的系列活动，以鲜明正确的价值导向引导学生，以积极向上的力量激励学生，促进学生形成良好的思想品德和行为习惯。</w:t>
            </w:r>
          </w:p>
        </w:tc>
      </w:tr>
      <w:tr w14:paraId="492F0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829" w:type="dxa"/>
            <w:vAlign w:val="center"/>
          </w:tcPr>
          <w:p w14:paraId="7B66C907">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eastAsia"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5</w:t>
            </w:r>
          </w:p>
        </w:tc>
        <w:tc>
          <w:tcPr>
            <w:tcW w:w="1530" w:type="dxa"/>
            <w:vAlign w:val="center"/>
          </w:tcPr>
          <w:p w14:paraId="17679345">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重视德育浸润</w:t>
            </w:r>
          </w:p>
        </w:tc>
        <w:tc>
          <w:tcPr>
            <w:tcW w:w="2653" w:type="dxa"/>
            <w:vAlign w:val="center"/>
          </w:tcPr>
          <w:p w14:paraId="4881987B">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打造书香班级，强调学生自洽</w:t>
            </w:r>
          </w:p>
        </w:tc>
        <w:tc>
          <w:tcPr>
            <w:tcW w:w="5357" w:type="dxa"/>
            <w:vAlign w:val="center"/>
          </w:tcPr>
          <w:p w14:paraId="2EEC081B">
            <w:pPr>
              <w:keepNext w:val="0"/>
              <w:keepLines w:val="0"/>
              <w:pageBreakBefore w:val="0"/>
              <w:widowControl w:val="0"/>
              <w:kinsoku/>
              <w:wordWrap/>
              <w:overflowPunct/>
              <w:topLinePunct w:val="0"/>
              <w:autoSpaceDE w:val="0"/>
              <w:autoSpaceDN w:val="0"/>
              <w:bidi w:val="0"/>
              <w:adjustRightInd w:val="0"/>
              <w:snapToGrid w:val="0"/>
              <w:spacing w:line="500" w:lineRule="exact"/>
              <w:ind w:firstLine="640" w:firstLineChars="200"/>
              <w:textAlignment w:val="auto"/>
              <w:rPr>
                <w:rFonts w:hint="default" w:ascii="仿宋_GB2312" w:hAnsi="仿宋_GB2312" w:eastAsia="仿宋_GB2312" w:cs="仿宋_GB2312"/>
                <w:bCs/>
                <w:kern w:val="44"/>
                <w:sz w:val="32"/>
                <w:szCs w:val="32"/>
                <w:highlight w:val="none"/>
                <w:u w:val="none" w:color="auto"/>
                <w:lang w:val="en-US" w:eastAsia="zh-CN"/>
              </w:rPr>
            </w:pPr>
            <w:r>
              <w:rPr>
                <w:rFonts w:hint="default" w:ascii="仿宋_GB2312" w:hAnsi="仿宋_GB2312" w:eastAsia="仿宋_GB2312" w:cs="仿宋_GB2312"/>
                <w:bCs/>
                <w:kern w:val="44"/>
                <w:sz w:val="32"/>
                <w:szCs w:val="32"/>
                <w:highlight w:val="none"/>
                <w:u w:val="none" w:color="auto"/>
                <w:lang w:val="en-US" w:eastAsia="zh-CN"/>
              </w:rPr>
              <w:t>本学年，学校持续开展魅力班级评比活动，打造书香班级，一班一品。从班级名片，到班徽设计，再到班级软硬件环境的布置，让教室成为学生眷念的场所。学校充分利用公众号，展示班级文化，学生成长状态，学生活动的瞬间，让学生充满自信，提升获得感。重视自我教育，强调学生自治。</w:t>
            </w:r>
          </w:p>
        </w:tc>
      </w:tr>
      <w:tr w14:paraId="03F0E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829" w:type="dxa"/>
            <w:vAlign w:val="center"/>
          </w:tcPr>
          <w:p w14:paraId="6969A4CD">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6</w:t>
            </w:r>
          </w:p>
        </w:tc>
        <w:tc>
          <w:tcPr>
            <w:tcW w:w="1530" w:type="dxa"/>
            <w:vAlign w:val="center"/>
          </w:tcPr>
          <w:p w14:paraId="6E46E0A7">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整合社会资源，拓宽育人路径</w:t>
            </w:r>
          </w:p>
        </w:tc>
        <w:tc>
          <w:tcPr>
            <w:tcW w:w="2653" w:type="dxa"/>
            <w:vAlign w:val="center"/>
          </w:tcPr>
          <w:p w14:paraId="6FB30650">
            <w:pPr>
              <w:keepNext w:val="0"/>
              <w:keepLines w:val="0"/>
              <w:pageBreakBefore w:val="0"/>
              <w:widowControl w:val="0"/>
              <w:kinsoku/>
              <w:wordWrap/>
              <w:overflowPunct/>
              <w:topLinePunct w:val="0"/>
              <w:autoSpaceDE w:val="0"/>
              <w:autoSpaceDN w:val="0"/>
              <w:bidi w:val="0"/>
              <w:adjustRightInd w:val="0"/>
              <w:snapToGrid w:val="0"/>
              <w:spacing w:line="500" w:lineRule="exact"/>
              <w:jc w:val="center"/>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家校协同育人，实现全系统育人</w:t>
            </w:r>
          </w:p>
        </w:tc>
        <w:tc>
          <w:tcPr>
            <w:tcW w:w="5357" w:type="dxa"/>
            <w:vAlign w:val="center"/>
          </w:tcPr>
          <w:p w14:paraId="69DF17F6">
            <w:pPr>
              <w:keepNext w:val="0"/>
              <w:keepLines w:val="0"/>
              <w:pageBreakBefore w:val="0"/>
              <w:widowControl w:val="0"/>
              <w:kinsoku/>
              <w:wordWrap/>
              <w:overflowPunct/>
              <w:topLinePunct w:val="0"/>
              <w:autoSpaceDE w:val="0"/>
              <w:autoSpaceDN w:val="0"/>
              <w:bidi w:val="0"/>
              <w:adjustRightInd w:val="0"/>
              <w:snapToGrid w:val="0"/>
              <w:spacing w:line="500" w:lineRule="exact"/>
              <w:ind w:firstLine="640" w:firstLineChars="200"/>
              <w:textAlignment w:val="auto"/>
              <w:rPr>
                <w:rFonts w:hint="default" w:ascii="仿宋_GB2312" w:hAnsi="仿宋_GB2312" w:eastAsia="仿宋_GB2312" w:cs="仿宋_GB2312"/>
                <w:bCs/>
                <w:kern w:val="44"/>
                <w:sz w:val="32"/>
                <w:szCs w:val="32"/>
                <w:highlight w:val="none"/>
                <w:u w:val="none" w:color="auto"/>
                <w:lang w:val="en-US" w:eastAsia="zh-CN"/>
              </w:rPr>
            </w:pPr>
            <w:r>
              <w:rPr>
                <w:rFonts w:hint="eastAsia" w:ascii="仿宋_GB2312" w:hAnsi="仿宋_GB2312" w:eastAsia="仿宋_GB2312" w:cs="仿宋_GB2312"/>
                <w:bCs/>
                <w:kern w:val="44"/>
                <w:sz w:val="32"/>
                <w:szCs w:val="32"/>
                <w:highlight w:val="none"/>
                <w:u w:val="none" w:color="auto"/>
                <w:lang w:val="en-US" w:eastAsia="zh-CN"/>
              </w:rPr>
              <w:t>充分利用社会平台，依托街道、社区，强化家校社协同育人机制，加强与花山街社区基金会的联系，协作开展“花漾育学”奖学、助学、研学等系列活动。</w:t>
            </w:r>
          </w:p>
        </w:tc>
      </w:tr>
    </w:tbl>
    <w:p w14:paraId="6ECCD1ED">
      <w:pPr>
        <w:pageBreakBefore w:val="0"/>
        <w:widowControl w:val="0"/>
        <w:kinsoku/>
        <w:wordWrap/>
        <w:overflowPunct/>
        <w:topLinePunct w:val="0"/>
        <w:bidi w:val="0"/>
        <w:adjustRightInd w:val="0"/>
        <w:snapToGrid w:val="0"/>
        <w:spacing w:line="600" w:lineRule="exact"/>
        <w:ind w:firstLine="640" w:firstLineChars="200"/>
        <w:textAlignment w:val="auto"/>
        <w:rPr>
          <w:rFonts w:hint="default" w:ascii="Times New Roman" w:hAnsi="Times New Roman" w:cs="Times New Roman"/>
          <w:u w:val="none" w:color="auto"/>
          <w:lang w:val="en-US" w:eastAsia="zh-CN"/>
        </w:rPr>
      </w:pPr>
      <w:r>
        <w:rPr>
          <w:rFonts w:hint="default" w:ascii="仿宋_GB2312" w:hAnsi="仿宋_GB2312" w:eastAsia="仿宋_GB2312" w:cs="仿宋_GB2312"/>
          <w:bCs/>
          <w:kern w:val="44"/>
          <w:sz w:val="32"/>
          <w:szCs w:val="32"/>
          <w:highlight w:val="none"/>
          <w:u w:val="none" w:color="auto"/>
          <w:lang w:val="en-US" w:eastAsia="zh-CN"/>
        </w:rPr>
        <w:br w:type="page"/>
      </w:r>
    </w:p>
    <w:p w14:paraId="6B145024">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方正小标宋_GBK" w:hAnsi="方正小标宋_GBK" w:eastAsia="方正小标宋_GBK" w:cs="方正小标宋_GBK"/>
          <w:spacing w:val="-2"/>
          <w:sz w:val="44"/>
          <w:szCs w:val="44"/>
          <w:u w:val="none" w:color="auto"/>
        </w:rPr>
      </w:pPr>
      <w:r>
        <w:rPr>
          <w:rFonts w:hint="default" w:ascii="方正小标宋_GBK" w:hAnsi="方正小标宋_GBK" w:eastAsia="方正小标宋_GBK" w:cs="方正小标宋_GBK"/>
          <w:spacing w:val="-2"/>
          <w:sz w:val="44"/>
          <w:szCs w:val="44"/>
          <w:u w:val="none" w:color="auto"/>
        </w:rPr>
        <w:t>第五部分名词解释</w:t>
      </w:r>
    </w:p>
    <w:p w14:paraId="3E124D15">
      <w:pPr>
        <w:spacing w:line="398" w:lineRule="auto"/>
        <w:rPr>
          <w:rFonts w:hint="default" w:ascii="Times New Roman" w:hAnsi="Times New Roman" w:cs="Times New Roman"/>
          <w:sz w:val="21"/>
          <w:u w:val="none" w:color="auto"/>
        </w:rPr>
      </w:pPr>
    </w:p>
    <w:p w14:paraId="180A0A48">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56"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4"/>
          <w:u w:val="none" w:color="auto"/>
          <w:lang w:eastAsia="zh-CN"/>
        </w:rPr>
        <w:t>（</w:t>
      </w:r>
      <w:r>
        <w:rPr>
          <w:rFonts w:hint="default" w:ascii="Times New Roman" w:hAnsi="Times New Roman" w:eastAsia="仿宋_GB2312" w:cs="Times New Roman"/>
          <w:spacing w:val="4"/>
          <w:u w:val="none" w:color="auto"/>
        </w:rPr>
        <w:t>一</w:t>
      </w:r>
      <w:r>
        <w:rPr>
          <w:rFonts w:hint="default" w:ascii="Times New Roman" w:hAnsi="Times New Roman" w:eastAsia="仿宋_GB2312" w:cs="Times New Roman"/>
          <w:spacing w:val="4"/>
          <w:u w:val="none" w:color="auto"/>
          <w:lang w:eastAsia="zh-CN"/>
        </w:rPr>
        <w:t>）</w:t>
      </w:r>
      <w:r>
        <w:rPr>
          <w:rFonts w:hint="default" w:ascii="Times New Roman" w:hAnsi="Times New Roman" w:eastAsia="仿宋_GB2312" w:cs="Times New Roman"/>
          <w:spacing w:val="4"/>
          <w:u w:val="none" w:color="auto"/>
        </w:rPr>
        <w:t>一般公共预算财政拨款收入：指</w:t>
      </w:r>
      <w:r>
        <w:rPr>
          <w:rFonts w:hint="default" w:ascii="Times New Roman" w:hAnsi="Times New Roman" w:eastAsia="仿宋_GB2312" w:cs="Times New Roman"/>
          <w:spacing w:val="4"/>
          <w:u w:val="none" w:color="auto"/>
          <w:lang w:eastAsia="zh-CN"/>
        </w:rPr>
        <w:t>区</w:t>
      </w:r>
      <w:r>
        <w:rPr>
          <w:rFonts w:hint="default" w:ascii="Times New Roman" w:hAnsi="Times New Roman" w:eastAsia="仿宋_GB2312" w:cs="Times New Roman"/>
          <w:spacing w:val="4"/>
          <w:u w:val="none" w:color="auto"/>
        </w:rPr>
        <w:t>级财政一般公共预</w:t>
      </w:r>
      <w:r>
        <w:rPr>
          <w:rFonts w:hint="default" w:ascii="Times New Roman" w:hAnsi="Times New Roman" w:eastAsia="仿宋_GB2312" w:cs="Times New Roman"/>
          <w:spacing w:val="-1"/>
          <w:u w:val="none" w:color="auto"/>
        </w:rPr>
        <w:t>算当年拨付的资金。</w:t>
      </w:r>
    </w:p>
    <w:p w14:paraId="09016E0B">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二</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政府性基金预算财政拨款收入：指</w:t>
      </w:r>
      <w:r>
        <w:rPr>
          <w:rFonts w:hint="default" w:ascii="Times New Roman" w:hAnsi="Times New Roman" w:eastAsia="仿宋_GB2312" w:cs="Times New Roman"/>
          <w:spacing w:val="-7"/>
          <w:u w:val="none" w:color="auto"/>
          <w:lang w:eastAsia="zh-CN"/>
        </w:rPr>
        <w:t>区</w:t>
      </w:r>
      <w:r>
        <w:rPr>
          <w:rFonts w:hint="default" w:ascii="Times New Roman" w:hAnsi="Times New Roman" w:eastAsia="仿宋_GB2312" w:cs="Times New Roman"/>
          <w:spacing w:val="-7"/>
          <w:u w:val="none" w:color="auto"/>
        </w:rPr>
        <w:t>级财政政</w:t>
      </w:r>
      <w:r>
        <w:rPr>
          <w:rFonts w:hint="default" w:ascii="Times New Roman" w:hAnsi="Times New Roman" w:eastAsia="仿宋_GB2312" w:cs="Times New Roman"/>
          <w:spacing w:val="-8"/>
          <w:u w:val="none" w:color="auto"/>
        </w:rPr>
        <w:t>府性基金</w:t>
      </w:r>
      <w:r>
        <w:rPr>
          <w:rFonts w:hint="default" w:ascii="Times New Roman" w:hAnsi="Times New Roman" w:eastAsia="仿宋_GB2312" w:cs="Times New Roman"/>
          <w:spacing w:val="-1"/>
          <w:u w:val="none" w:color="auto"/>
        </w:rPr>
        <w:t>预算当年拨付的资金。</w:t>
      </w:r>
    </w:p>
    <w:p w14:paraId="5E81CE2D">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08"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8"/>
          <w:u w:val="none" w:color="auto"/>
          <w:lang w:eastAsia="zh-CN"/>
        </w:rPr>
        <w:t>（</w:t>
      </w:r>
      <w:r>
        <w:rPr>
          <w:rFonts w:hint="default" w:ascii="Times New Roman" w:hAnsi="Times New Roman" w:eastAsia="仿宋_GB2312" w:cs="Times New Roman"/>
          <w:spacing w:val="-8"/>
          <w:u w:val="none" w:color="auto"/>
        </w:rPr>
        <w:t>三</w:t>
      </w:r>
      <w:r>
        <w:rPr>
          <w:rFonts w:hint="default" w:ascii="Times New Roman" w:hAnsi="Times New Roman" w:eastAsia="仿宋_GB2312" w:cs="Times New Roman"/>
          <w:spacing w:val="-8"/>
          <w:u w:val="none" w:color="auto"/>
          <w:lang w:eastAsia="zh-CN"/>
        </w:rPr>
        <w:t>）</w:t>
      </w:r>
      <w:r>
        <w:rPr>
          <w:rFonts w:hint="default" w:ascii="Times New Roman" w:hAnsi="Times New Roman" w:eastAsia="仿宋_GB2312" w:cs="Times New Roman"/>
          <w:spacing w:val="-8"/>
          <w:u w:val="none" w:color="auto"/>
        </w:rPr>
        <w:t>国有资本经营预算财政拨款收入：指</w:t>
      </w:r>
      <w:r>
        <w:rPr>
          <w:rFonts w:hint="default" w:ascii="Times New Roman" w:hAnsi="Times New Roman" w:eastAsia="仿宋_GB2312" w:cs="Times New Roman"/>
          <w:spacing w:val="-8"/>
          <w:u w:val="none" w:color="auto"/>
          <w:lang w:eastAsia="zh-CN"/>
        </w:rPr>
        <w:t>区</w:t>
      </w:r>
      <w:r>
        <w:rPr>
          <w:rFonts w:hint="default" w:ascii="Times New Roman" w:hAnsi="Times New Roman" w:eastAsia="仿宋_GB2312" w:cs="Times New Roman"/>
          <w:spacing w:val="-8"/>
          <w:u w:val="none" w:color="auto"/>
        </w:rPr>
        <w:t>级财政国有资本</w:t>
      </w:r>
      <w:r>
        <w:rPr>
          <w:rFonts w:hint="default" w:ascii="Times New Roman" w:hAnsi="Times New Roman" w:eastAsia="仿宋_GB2312" w:cs="Times New Roman"/>
          <w:spacing w:val="-2"/>
          <w:u w:val="none" w:color="auto"/>
        </w:rPr>
        <w:t>经营预算当年拨付的资金。</w:t>
      </w:r>
    </w:p>
    <w:p w14:paraId="07FA4B85">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四</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上级补助收入：指从事业单位主管部门和上级</w:t>
      </w:r>
      <w:r>
        <w:rPr>
          <w:rFonts w:hint="default" w:ascii="Times New Roman" w:hAnsi="Times New Roman" w:eastAsia="仿宋_GB2312" w:cs="Times New Roman"/>
          <w:spacing w:val="-8"/>
          <w:u w:val="none" w:color="auto"/>
        </w:rPr>
        <w:t>单位取得</w:t>
      </w:r>
      <w:r>
        <w:rPr>
          <w:rFonts w:hint="default" w:ascii="Times New Roman" w:hAnsi="Times New Roman" w:eastAsia="仿宋_GB2312" w:cs="Times New Roman"/>
          <w:spacing w:val="-5"/>
          <w:u w:val="none" w:color="auto"/>
        </w:rPr>
        <w:t>的非财政补助收入。</w:t>
      </w:r>
    </w:p>
    <w:p w14:paraId="6DAF86E0">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五</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事业收入：指事业单位开展专业业务活动及其辅助活动</w:t>
      </w:r>
      <w:r>
        <w:rPr>
          <w:rFonts w:hint="default" w:ascii="Times New Roman" w:hAnsi="Times New Roman" w:eastAsia="仿宋_GB2312" w:cs="Times New Roman"/>
          <w:spacing w:val="-3"/>
          <w:u w:val="none" w:color="auto"/>
        </w:rPr>
        <w:t>取得的收入。</w:t>
      </w:r>
    </w:p>
    <w:p w14:paraId="7CCF56C0">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六</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经营收入：指事业单位在专业业务活动及其辅助活动之</w:t>
      </w:r>
      <w:r>
        <w:rPr>
          <w:rFonts w:hint="default" w:ascii="Times New Roman" w:hAnsi="Times New Roman" w:eastAsia="仿宋_GB2312" w:cs="Times New Roman"/>
          <w:spacing w:val="-2"/>
          <w:u w:val="none" w:color="auto"/>
        </w:rPr>
        <w:t>外开展非独立核算经营活动取得的收入。</w:t>
      </w:r>
    </w:p>
    <w:p w14:paraId="0D72C05D">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08" w:firstLineChars="200"/>
        <w:textAlignment w:val="baseline"/>
        <w:rPr>
          <w:rFonts w:hint="default" w:ascii="Times New Roman" w:hAnsi="Times New Roman" w:eastAsia="仿宋_GB2312" w:cs="Times New Roman"/>
          <w:u w:val="none" w:color="auto"/>
          <w:lang w:eastAsia="zh-CN"/>
        </w:rPr>
      </w:pPr>
      <w:r>
        <w:rPr>
          <w:rFonts w:hint="default" w:ascii="Times New Roman" w:hAnsi="Times New Roman" w:eastAsia="仿宋_GB2312" w:cs="Times New Roman"/>
          <w:spacing w:val="-8"/>
          <w:u w:val="none" w:color="auto"/>
          <w:lang w:eastAsia="zh-CN"/>
        </w:rPr>
        <w:t>（</w:t>
      </w:r>
      <w:r>
        <w:rPr>
          <w:rFonts w:hint="default" w:ascii="Times New Roman" w:hAnsi="Times New Roman" w:eastAsia="仿宋_GB2312" w:cs="Times New Roman"/>
          <w:spacing w:val="-8"/>
          <w:u w:val="none" w:color="auto"/>
        </w:rPr>
        <w:t>七</w:t>
      </w:r>
      <w:r>
        <w:rPr>
          <w:rFonts w:hint="default" w:ascii="Times New Roman" w:hAnsi="Times New Roman" w:eastAsia="仿宋_GB2312" w:cs="Times New Roman"/>
          <w:spacing w:val="-8"/>
          <w:u w:val="none" w:color="auto"/>
          <w:lang w:eastAsia="zh-CN"/>
        </w:rPr>
        <w:t>）</w:t>
      </w:r>
      <w:r>
        <w:rPr>
          <w:rFonts w:hint="default" w:ascii="Times New Roman" w:hAnsi="Times New Roman" w:eastAsia="仿宋_GB2312" w:cs="Times New Roman"/>
          <w:spacing w:val="-8"/>
          <w:u w:val="none" w:color="auto"/>
        </w:rPr>
        <w:t>其他收入：指单位取得的除上述“一般公共预算财政拨</w:t>
      </w:r>
      <w:r>
        <w:rPr>
          <w:rFonts w:hint="default" w:ascii="Times New Roman" w:hAnsi="Times New Roman" w:eastAsia="仿宋_GB2312" w:cs="Times New Roman"/>
          <w:spacing w:val="-16"/>
          <w:u w:val="none" w:color="auto"/>
        </w:rPr>
        <w:t>款收入”、“政府性基金预算财政拨款收入”、“国有资本经营预</w:t>
      </w:r>
      <w:r>
        <w:rPr>
          <w:rFonts w:hint="default" w:ascii="Times New Roman" w:hAnsi="Times New Roman" w:eastAsia="仿宋_GB2312" w:cs="Times New Roman"/>
          <w:spacing w:val="-26"/>
          <w:u w:val="none" w:color="auto"/>
        </w:rPr>
        <w:t>算财政拨款收入”、“上级补助收入”、“事业收入”、</w:t>
      </w:r>
      <w:r>
        <w:rPr>
          <w:rFonts w:hint="default" w:ascii="Times New Roman" w:hAnsi="Times New Roman" w:eastAsia="仿宋_GB2312" w:cs="Times New Roman"/>
          <w:spacing w:val="-27"/>
          <w:u w:val="none" w:color="auto"/>
        </w:rPr>
        <w:t>“经营收入”</w:t>
      </w:r>
      <w:r>
        <w:rPr>
          <w:rFonts w:hint="default" w:ascii="Times New Roman" w:hAnsi="Times New Roman" w:eastAsia="仿宋_GB2312" w:cs="Times New Roman"/>
          <w:spacing w:val="-1"/>
          <w:u w:val="none" w:color="auto"/>
        </w:rPr>
        <w:t>等收入以外的各项收入。</w:t>
      </w:r>
      <w:r>
        <w:rPr>
          <w:rFonts w:hint="default" w:ascii="Times New Roman" w:hAnsi="Times New Roman" w:eastAsia="仿宋_GB2312" w:cs="Times New Roman"/>
          <w:spacing w:val="-1"/>
          <w:u w:val="none" w:color="auto"/>
          <w:lang w:eastAsia="zh-CN"/>
        </w:rPr>
        <w:t>（</w:t>
      </w:r>
      <w:r>
        <w:rPr>
          <w:rFonts w:hint="default" w:ascii="Times New Roman" w:hAnsi="Times New Roman" w:eastAsia="仿宋_GB2312" w:cs="Times New Roman"/>
          <w:spacing w:val="-1"/>
          <w:u w:val="none" w:color="auto"/>
        </w:rPr>
        <w:t>该项名词解释中“上述……等收入”请依据部门收入的实际情况进行解释</w:t>
      </w:r>
      <w:r>
        <w:rPr>
          <w:rFonts w:hint="default" w:ascii="Times New Roman" w:hAnsi="Times New Roman" w:eastAsia="仿宋_GB2312" w:cs="Times New Roman"/>
          <w:spacing w:val="-1"/>
          <w:u w:val="none" w:color="auto"/>
          <w:lang w:eastAsia="zh-CN"/>
        </w:rPr>
        <w:t>）</w:t>
      </w:r>
    </w:p>
    <w:p w14:paraId="2BD0F64F">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八</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使用非财政拨款结余</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含专用结余</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：指事业单位按预算</w:t>
      </w:r>
      <w:r>
        <w:rPr>
          <w:rFonts w:hint="default" w:ascii="Times New Roman" w:hAnsi="Times New Roman" w:eastAsia="仿宋_GB2312" w:cs="Times New Roman"/>
          <w:spacing w:val="6"/>
          <w:u w:val="none" w:color="auto"/>
        </w:rPr>
        <w:t>管理要求使用非财政拨款结余</w:t>
      </w:r>
      <w:r>
        <w:rPr>
          <w:rFonts w:hint="default" w:ascii="Times New Roman" w:hAnsi="Times New Roman" w:eastAsia="仿宋_GB2312" w:cs="Times New Roman"/>
          <w:spacing w:val="6"/>
          <w:u w:val="none" w:color="auto"/>
          <w:lang w:eastAsia="zh-CN"/>
        </w:rPr>
        <w:t>（</w:t>
      </w:r>
      <w:r>
        <w:rPr>
          <w:rFonts w:hint="default" w:ascii="Times New Roman" w:hAnsi="Times New Roman" w:eastAsia="仿宋_GB2312" w:cs="Times New Roman"/>
          <w:spacing w:val="6"/>
          <w:u w:val="none" w:color="auto"/>
        </w:rPr>
        <w:t>含专用结余</w:t>
      </w:r>
      <w:r>
        <w:rPr>
          <w:rFonts w:hint="default" w:ascii="Times New Roman" w:hAnsi="Times New Roman" w:eastAsia="仿宋_GB2312" w:cs="Times New Roman"/>
          <w:spacing w:val="6"/>
          <w:u w:val="none" w:color="auto"/>
          <w:lang w:eastAsia="zh-CN"/>
        </w:rPr>
        <w:t>）</w:t>
      </w:r>
      <w:r>
        <w:rPr>
          <w:rFonts w:hint="default" w:ascii="Times New Roman" w:hAnsi="Times New Roman" w:eastAsia="仿宋_GB2312" w:cs="Times New Roman"/>
          <w:spacing w:val="6"/>
          <w:u w:val="none" w:color="auto"/>
        </w:rPr>
        <w:t>弥补收支差额的金</w:t>
      </w:r>
      <w:r>
        <w:rPr>
          <w:rFonts w:hint="default" w:ascii="Times New Roman" w:hAnsi="Times New Roman" w:eastAsia="仿宋_GB2312" w:cs="Times New Roman"/>
          <w:spacing w:val="-10"/>
          <w:u w:val="none" w:color="auto"/>
        </w:rPr>
        <w:t>额。</w:t>
      </w:r>
    </w:p>
    <w:p w14:paraId="025F2365">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jc w:val="both"/>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九</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年初结转和结余：指单位以前年度尚未完成、</w:t>
      </w:r>
      <w:r>
        <w:rPr>
          <w:rFonts w:hint="default" w:ascii="Times New Roman" w:hAnsi="Times New Roman" w:eastAsia="仿宋_GB2312" w:cs="Times New Roman"/>
          <w:spacing w:val="-8"/>
          <w:u w:val="none" w:color="auto"/>
        </w:rPr>
        <w:t>结转到本</w:t>
      </w:r>
      <w:r>
        <w:rPr>
          <w:rFonts w:hint="default" w:ascii="Times New Roman" w:hAnsi="Times New Roman" w:eastAsia="仿宋_GB2312" w:cs="Times New Roman"/>
          <w:spacing w:val="-5"/>
          <w:u w:val="none" w:color="auto"/>
        </w:rPr>
        <w:t>年仍按原规定用途继续使用的资金，或项目已完成等产生的结余资金。</w:t>
      </w:r>
    </w:p>
    <w:p w14:paraId="5C98DFF9">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24" w:firstLineChars="200"/>
        <w:textAlignment w:val="baseline"/>
        <w:rPr>
          <w:rFonts w:hint="default" w:ascii="Times New Roman" w:hAnsi="Times New Roman" w:eastAsia="仿宋_GB2312" w:cs="Times New Roman"/>
          <w:u w:val="none" w:color="auto"/>
          <w:lang w:eastAsia="zh-CN"/>
        </w:rPr>
      </w:pPr>
      <w:r>
        <w:rPr>
          <w:rFonts w:hint="default" w:ascii="Times New Roman" w:hAnsi="Times New Roman" w:eastAsia="仿宋_GB2312" w:cs="Times New Roman"/>
          <w:spacing w:val="-4"/>
          <w:u w:val="none" w:color="auto"/>
          <w:lang w:eastAsia="zh-CN"/>
        </w:rPr>
        <w:t>（</w:t>
      </w:r>
      <w:r>
        <w:rPr>
          <w:rFonts w:hint="default" w:ascii="Times New Roman" w:hAnsi="Times New Roman" w:eastAsia="仿宋_GB2312" w:cs="Times New Roman"/>
          <w:spacing w:val="-4"/>
          <w:u w:val="none" w:color="auto"/>
        </w:rPr>
        <w:t>十</w:t>
      </w:r>
      <w:r>
        <w:rPr>
          <w:rFonts w:hint="default" w:ascii="Times New Roman" w:hAnsi="Times New Roman" w:eastAsia="仿宋_GB2312" w:cs="Times New Roman"/>
          <w:spacing w:val="-4"/>
          <w:u w:val="none" w:color="auto"/>
          <w:lang w:eastAsia="zh-CN"/>
        </w:rPr>
        <w:t>）</w:t>
      </w:r>
      <w:r>
        <w:rPr>
          <w:rFonts w:hint="default" w:ascii="Times New Roman" w:hAnsi="Times New Roman" w:eastAsia="仿宋_GB2312" w:cs="Times New Roman"/>
          <w:spacing w:val="-4"/>
          <w:u w:val="none" w:color="auto"/>
        </w:rPr>
        <w:t>本部门使用的支出功能分类科目</w:t>
      </w:r>
      <w:r>
        <w:rPr>
          <w:rFonts w:hint="default" w:ascii="Times New Roman" w:hAnsi="Times New Roman" w:eastAsia="仿宋_GB2312" w:cs="Times New Roman"/>
          <w:spacing w:val="-4"/>
          <w:u w:val="none" w:color="auto"/>
          <w:lang w:eastAsia="zh-CN"/>
        </w:rPr>
        <w:t>（</w:t>
      </w:r>
      <w:r>
        <w:rPr>
          <w:rFonts w:hint="default" w:ascii="Times New Roman" w:hAnsi="Times New Roman" w:eastAsia="仿宋_GB2312" w:cs="Times New Roman"/>
          <w:spacing w:val="-4"/>
          <w:u w:val="none" w:color="auto"/>
        </w:rPr>
        <w:t>到项级</w:t>
      </w:r>
      <w:r>
        <w:rPr>
          <w:rFonts w:hint="default" w:ascii="Times New Roman" w:hAnsi="Times New Roman" w:eastAsia="仿宋_GB2312" w:cs="Times New Roman"/>
          <w:spacing w:val="-4"/>
          <w:u w:val="none" w:color="auto"/>
          <w:lang w:eastAsia="zh-CN"/>
        </w:rPr>
        <w:t>）</w:t>
      </w:r>
    </w:p>
    <w:p w14:paraId="0CF548DA">
      <w:pPr>
        <w:pStyle w:val="2"/>
        <w:keepNext w:val="0"/>
        <w:keepLines w:val="0"/>
        <w:pageBreakBefore w:val="0"/>
        <w:widowControl w:val="0"/>
        <w:kinsoku/>
        <w:wordWrap/>
        <w:overflowPunct/>
        <w:topLinePunct w:val="0"/>
        <w:autoSpaceDE w:val="0"/>
        <w:autoSpaceDN w:val="0"/>
        <w:bidi w:val="0"/>
        <w:adjustRightInd w:val="0"/>
        <w:snapToGrid w:val="0"/>
        <w:spacing w:line="580" w:lineRule="exact"/>
        <w:ind w:right="0" w:firstLine="632" w:firstLineChars="200"/>
        <w:textAlignment w:val="baseline"/>
        <w:rPr>
          <w:rFonts w:hint="eastAsia" w:ascii="Times New Roman" w:hAnsi="Times New Roman" w:eastAsia="仿宋_GB2312" w:cs="Times New Roman"/>
          <w:spacing w:val="18"/>
          <w:u w:val="none" w:color="auto"/>
          <w:lang w:eastAsia="zh-CN"/>
        </w:rPr>
      </w:pPr>
      <w:r>
        <w:rPr>
          <w:rFonts w:hint="default" w:ascii="Times New Roman" w:hAnsi="Times New Roman" w:eastAsia="仿宋_GB2312" w:cs="Times New Roman"/>
          <w:spacing w:val="-2"/>
          <w:u w:val="none" w:color="auto"/>
        </w:rPr>
        <w:t>1.一般公共服务</w:t>
      </w:r>
      <w:r>
        <w:rPr>
          <w:rFonts w:hint="default" w:ascii="Times New Roman" w:hAnsi="Times New Roman" w:eastAsia="仿宋_GB2312" w:cs="Times New Roman"/>
          <w:spacing w:val="-2"/>
          <w:u w:val="none" w:color="auto"/>
          <w:lang w:eastAsia="zh-CN"/>
        </w:rPr>
        <w:t>（</w:t>
      </w:r>
      <w:r>
        <w:rPr>
          <w:rFonts w:hint="default" w:ascii="Times New Roman" w:hAnsi="Times New Roman" w:eastAsia="仿宋_GB2312" w:cs="Times New Roman"/>
          <w:spacing w:val="-2"/>
          <w:u w:val="none" w:color="auto"/>
        </w:rPr>
        <w:t>类</w:t>
      </w:r>
      <w:r>
        <w:rPr>
          <w:rFonts w:hint="default" w:ascii="Times New Roman" w:hAnsi="Times New Roman" w:eastAsia="仿宋_GB2312" w:cs="Times New Roman"/>
          <w:spacing w:val="-2"/>
          <w:u w:val="none" w:color="auto"/>
          <w:lang w:eastAsia="zh-CN"/>
        </w:rPr>
        <w:t>）</w:t>
      </w:r>
      <w:r>
        <w:rPr>
          <w:rFonts w:hint="default" w:ascii="Times New Roman" w:hAnsi="Times New Roman" w:eastAsia="仿宋_GB2312" w:cs="Times New Roman"/>
          <w:spacing w:val="-2"/>
          <w:u w:val="none" w:color="auto"/>
        </w:rPr>
        <w:t>财政事务</w:t>
      </w:r>
      <w:r>
        <w:rPr>
          <w:rFonts w:hint="default" w:ascii="Times New Roman" w:hAnsi="Times New Roman" w:eastAsia="仿宋_GB2312" w:cs="Times New Roman"/>
          <w:spacing w:val="-2"/>
          <w:u w:val="none" w:color="auto"/>
          <w:lang w:eastAsia="zh-CN"/>
        </w:rPr>
        <w:t>（</w:t>
      </w:r>
      <w:r>
        <w:rPr>
          <w:rFonts w:hint="default" w:ascii="Times New Roman" w:hAnsi="Times New Roman" w:eastAsia="仿宋_GB2312" w:cs="Times New Roman"/>
          <w:spacing w:val="-2"/>
          <w:u w:val="none" w:color="auto"/>
        </w:rPr>
        <w:t>款</w:t>
      </w:r>
      <w:r>
        <w:rPr>
          <w:rFonts w:hint="default" w:ascii="Times New Roman" w:hAnsi="Times New Roman" w:eastAsia="仿宋_GB2312" w:cs="Times New Roman"/>
          <w:spacing w:val="-2"/>
          <w:u w:val="none" w:color="auto"/>
          <w:lang w:eastAsia="zh-CN"/>
        </w:rPr>
        <w:t>）</w:t>
      </w:r>
      <w:r>
        <w:rPr>
          <w:rFonts w:hint="default" w:ascii="Times New Roman" w:hAnsi="Times New Roman" w:eastAsia="仿宋_GB2312" w:cs="Times New Roman"/>
          <w:spacing w:val="-2"/>
          <w:u w:val="none" w:color="auto"/>
        </w:rPr>
        <w:t>行政运行</w:t>
      </w:r>
      <w:r>
        <w:rPr>
          <w:rFonts w:hint="default" w:ascii="Times New Roman" w:hAnsi="Times New Roman" w:eastAsia="仿宋_GB2312" w:cs="Times New Roman"/>
          <w:spacing w:val="-2"/>
          <w:u w:val="none" w:color="auto"/>
          <w:lang w:eastAsia="zh-CN"/>
        </w:rPr>
        <w:t>（</w:t>
      </w:r>
      <w:r>
        <w:rPr>
          <w:rFonts w:hint="default" w:ascii="Times New Roman" w:hAnsi="Times New Roman" w:eastAsia="仿宋_GB2312" w:cs="Times New Roman"/>
          <w:spacing w:val="-2"/>
          <w:u w:val="none" w:color="auto"/>
        </w:rPr>
        <w:t>项</w:t>
      </w:r>
      <w:r>
        <w:rPr>
          <w:rFonts w:hint="default" w:ascii="Times New Roman" w:hAnsi="Times New Roman" w:eastAsia="仿宋_GB2312" w:cs="Times New Roman"/>
          <w:spacing w:val="-2"/>
          <w:u w:val="none" w:color="auto"/>
          <w:lang w:eastAsia="zh-CN"/>
        </w:rPr>
        <w:t>）</w:t>
      </w:r>
    </w:p>
    <w:p w14:paraId="469008EE">
      <w:pPr>
        <w:pStyle w:val="2"/>
        <w:keepNext w:val="0"/>
        <w:keepLines w:val="0"/>
        <w:pageBreakBefore w:val="0"/>
        <w:widowControl w:val="0"/>
        <w:kinsoku/>
        <w:wordWrap/>
        <w:overflowPunct/>
        <w:topLinePunct w:val="0"/>
        <w:autoSpaceDE w:val="0"/>
        <w:autoSpaceDN w:val="0"/>
        <w:bidi w:val="0"/>
        <w:adjustRightInd w:val="0"/>
        <w:snapToGrid w:val="0"/>
        <w:spacing w:line="580" w:lineRule="exact"/>
        <w:ind w:right="0" w:firstLine="568"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18"/>
          <w:u w:val="none" w:color="auto"/>
        </w:rPr>
        <w:t>2.……</w:t>
      </w:r>
    </w:p>
    <w:p w14:paraId="042AF566">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24" w:firstLineChars="200"/>
        <w:textAlignment w:val="baseline"/>
        <w:rPr>
          <w:rFonts w:hint="default" w:ascii="Times New Roman" w:hAnsi="Times New Roman" w:eastAsia="仿宋_GB2312" w:cs="Times New Roman"/>
          <w:u w:val="none" w:color="auto"/>
          <w:lang w:eastAsia="zh-CN"/>
        </w:rPr>
      </w:pPr>
      <w:r>
        <w:rPr>
          <w:rFonts w:hint="default" w:ascii="Times New Roman" w:hAnsi="Times New Roman" w:eastAsia="仿宋_GB2312" w:cs="Times New Roman"/>
          <w:spacing w:val="-4"/>
          <w:u w:val="none" w:color="auto"/>
          <w:lang w:eastAsia="zh-CN"/>
        </w:rPr>
        <w:t>（</w:t>
      </w:r>
      <w:r>
        <w:rPr>
          <w:rFonts w:hint="default" w:ascii="Times New Roman" w:hAnsi="Times New Roman" w:eastAsia="仿宋_GB2312" w:cs="Times New Roman"/>
          <w:spacing w:val="-4"/>
          <w:u w:val="none" w:color="auto"/>
        </w:rPr>
        <w:t>参考《202</w:t>
      </w:r>
      <w:r>
        <w:rPr>
          <w:rFonts w:hint="eastAsia" w:ascii="Times New Roman" w:hAnsi="Times New Roman" w:eastAsia="仿宋_GB2312" w:cs="Times New Roman"/>
          <w:spacing w:val="-4"/>
          <w:u w:val="none" w:color="auto"/>
          <w:lang w:val="en-US" w:eastAsia="zh-CN"/>
        </w:rPr>
        <w:t>4</w:t>
      </w:r>
      <w:r>
        <w:rPr>
          <w:rFonts w:hint="default" w:ascii="Times New Roman" w:hAnsi="Times New Roman" w:eastAsia="仿宋_GB2312" w:cs="Times New Roman"/>
          <w:spacing w:val="-4"/>
          <w:u w:val="none" w:color="auto"/>
        </w:rPr>
        <w:t>年政府收支分类科目》说明逐项解释</w:t>
      </w:r>
      <w:r>
        <w:rPr>
          <w:rFonts w:hint="default" w:ascii="Times New Roman" w:hAnsi="Times New Roman" w:eastAsia="仿宋_GB2312" w:cs="Times New Roman"/>
          <w:spacing w:val="-4"/>
          <w:u w:val="none" w:color="auto"/>
          <w:lang w:eastAsia="zh-CN"/>
        </w:rPr>
        <w:t>）</w:t>
      </w:r>
    </w:p>
    <w:p w14:paraId="52B45A8B">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十一</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结余分配：指单位按照会计制度规定缴纳企</w:t>
      </w:r>
      <w:r>
        <w:rPr>
          <w:rFonts w:hint="default" w:ascii="Times New Roman" w:hAnsi="Times New Roman" w:eastAsia="仿宋_GB2312" w:cs="Times New Roman"/>
          <w:spacing w:val="-8"/>
          <w:u w:val="none" w:color="auto"/>
        </w:rPr>
        <w:t>业所得税</w:t>
      </w:r>
      <w:r>
        <w:rPr>
          <w:rFonts w:hint="default" w:ascii="Times New Roman" w:hAnsi="Times New Roman" w:eastAsia="仿宋_GB2312" w:cs="Times New Roman"/>
          <w:spacing w:val="-2"/>
          <w:u w:val="none" w:color="auto"/>
        </w:rPr>
        <w:t>以及从非财政拨款结余或经营结余中提取各类结余的情况。</w:t>
      </w:r>
    </w:p>
    <w:p w14:paraId="4C8986E5">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十二</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年末结转和结余：指单位按有关规定结转到</w:t>
      </w:r>
      <w:r>
        <w:rPr>
          <w:rFonts w:hint="default" w:ascii="Times New Roman" w:hAnsi="Times New Roman" w:eastAsia="仿宋_GB2312" w:cs="Times New Roman"/>
          <w:spacing w:val="-8"/>
          <w:u w:val="none" w:color="auto"/>
        </w:rPr>
        <w:t>下年或以</w:t>
      </w:r>
      <w:r>
        <w:rPr>
          <w:rFonts w:hint="default" w:ascii="Times New Roman" w:hAnsi="Times New Roman" w:eastAsia="仿宋_GB2312" w:cs="Times New Roman"/>
          <w:spacing w:val="-1"/>
          <w:u w:val="none" w:color="auto"/>
        </w:rPr>
        <w:t>后年度继续使用的资金，或项目已完成等产生的结余资金。</w:t>
      </w:r>
    </w:p>
    <w:p w14:paraId="1A0DBA3D">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十三</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基本支出：指为保障机构正常运转、完成日</w:t>
      </w:r>
      <w:r>
        <w:rPr>
          <w:rFonts w:hint="default" w:ascii="Times New Roman" w:hAnsi="Times New Roman" w:eastAsia="仿宋_GB2312" w:cs="Times New Roman"/>
          <w:spacing w:val="-8"/>
          <w:u w:val="none" w:color="auto"/>
        </w:rPr>
        <w:t>常工作任</w:t>
      </w:r>
      <w:r>
        <w:rPr>
          <w:rFonts w:hint="default" w:ascii="Times New Roman" w:hAnsi="Times New Roman" w:eastAsia="仿宋_GB2312" w:cs="Times New Roman"/>
          <w:spacing w:val="-1"/>
          <w:u w:val="none" w:color="auto"/>
        </w:rPr>
        <w:t>务而发生的人员支出和公用支出。</w:t>
      </w:r>
    </w:p>
    <w:p w14:paraId="752A8ABA">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十四</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项目支出：指在基本支出之外为完成特定行</w:t>
      </w:r>
      <w:r>
        <w:rPr>
          <w:rFonts w:hint="default" w:ascii="Times New Roman" w:hAnsi="Times New Roman" w:eastAsia="仿宋_GB2312" w:cs="Times New Roman"/>
          <w:spacing w:val="-8"/>
          <w:u w:val="none" w:color="auto"/>
        </w:rPr>
        <w:t>政任务或</w:t>
      </w:r>
      <w:r>
        <w:rPr>
          <w:rFonts w:hint="default" w:ascii="Times New Roman" w:hAnsi="Times New Roman" w:eastAsia="仿宋_GB2312" w:cs="Times New Roman"/>
          <w:spacing w:val="-2"/>
          <w:u w:val="none" w:color="auto"/>
        </w:rPr>
        <w:t>事业发展目标所发生的支出。</w:t>
      </w:r>
    </w:p>
    <w:p w14:paraId="1CBB6825">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12"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十五</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经营支出：指事业单位在专业活动及辅助活</w:t>
      </w:r>
      <w:r>
        <w:rPr>
          <w:rFonts w:hint="default" w:ascii="Times New Roman" w:hAnsi="Times New Roman" w:eastAsia="仿宋_GB2312" w:cs="Times New Roman"/>
          <w:spacing w:val="-8"/>
          <w:u w:val="none" w:color="auto"/>
        </w:rPr>
        <w:t>动之外开</w:t>
      </w:r>
      <w:r>
        <w:rPr>
          <w:rFonts w:hint="default" w:ascii="Times New Roman" w:hAnsi="Times New Roman" w:eastAsia="仿宋_GB2312" w:cs="Times New Roman"/>
          <w:spacing w:val="-1"/>
          <w:u w:val="none" w:color="auto"/>
        </w:rPr>
        <w:t>展非独立核算经营活动发生的支出。</w:t>
      </w:r>
    </w:p>
    <w:p w14:paraId="64A9F6B4">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28" w:firstLineChars="200"/>
        <w:jc w:val="both"/>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3"/>
          <w:u w:val="none" w:color="auto"/>
          <w:lang w:eastAsia="zh-CN"/>
        </w:rPr>
        <w:t>（</w:t>
      </w:r>
      <w:r>
        <w:rPr>
          <w:rFonts w:hint="default" w:ascii="Times New Roman" w:hAnsi="Times New Roman" w:eastAsia="仿宋_GB2312" w:cs="Times New Roman"/>
          <w:spacing w:val="-3"/>
          <w:u w:val="none" w:color="auto"/>
        </w:rPr>
        <w:t>十六</w:t>
      </w:r>
      <w:r>
        <w:rPr>
          <w:rFonts w:hint="default" w:ascii="Times New Roman" w:hAnsi="Times New Roman" w:eastAsia="仿宋_GB2312" w:cs="Times New Roman"/>
          <w:spacing w:val="-3"/>
          <w:u w:val="none" w:color="auto"/>
          <w:lang w:eastAsia="zh-CN"/>
        </w:rPr>
        <w:t>）</w:t>
      </w:r>
      <w:r>
        <w:rPr>
          <w:rFonts w:hint="default" w:ascii="Times New Roman" w:hAnsi="Times New Roman" w:eastAsia="仿宋_GB2312" w:cs="Times New Roman"/>
          <w:spacing w:val="-3"/>
          <w:u w:val="none" w:color="auto"/>
        </w:rPr>
        <w:t>“三公”经费：纳入市级财政预决算管理的“三公”</w:t>
      </w:r>
      <w:r>
        <w:rPr>
          <w:rFonts w:hint="default" w:ascii="Times New Roman" w:hAnsi="Times New Roman" w:eastAsia="仿宋_GB2312" w:cs="Times New Roman"/>
          <w:spacing w:val="-5"/>
          <w:u w:val="none" w:color="auto"/>
        </w:rPr>
        <w:t>经费，是指部门用财政拨款安排的因公出国</w:t>
      </w:r>
      <w:r>
        <w:rPr>
          <w:rFonts w:hint="default" w:ascii="Times New Roman" w:hAnsi="Times New Roman" w:eastAsia="仿宋_GB2312" w:cs="Times New Roman"/>
          <w:spacing w:val="-5"/>
          <w:u w:val="none" w:color="auto"/>
          <w:lang w:eastAsia="zh-CN"/>
        </w:rPr>
        <w:t>（</w:t>
      </w:r>
      <w:r>
        <w:rPr>
          <w:rFonts w:hint="default" w:ascii="Times New Roman" w:hAnsi="Times New Roman" w:eastAsia="仿宋_GB2312" w:cs="Times New Roman"/>
          <w:spacing w:val="-5"/>
          <w:u w:val="none" w:color="auto"/>
        </w:rPr>
        <w:t>境</w:t>
      </w:r>
      <w:r>
        <w:rPr>
          <w:rFonts w:hint="default" w:ascii="Times New Roman" w:hAnsi="Times New Roman" w:eastAsia="仿宋_GB2312" w:cs="Times New Roman"/>
          <w:spacing w:val="-5"/>
          <w:u w:val="none" w:color="auto"/>
          <w:lang w:eastAsia="zh-CN"/>
        </w:rPr>
        <w:t>）</w:t>
      </w:r>
      <w:r>
        <w:rPr>
          <w:rFonts w:hint="default" w:ascii="Times New Roman" w:hAnsi="Times New Roman" w:eastAsia="仿宋_GB2312" w:cs="Times New Roman"/>
          <w:spacing w:val="-5"/>
          <w:u w:val="none" w:color="auto"/>
        </w:rPr>
        <w:t>费、公务用</w:t>
      </w:r>
      <w:r>
        <w:rPr>
          <w:rFonts w:hint="default" w:ascii="Times New Roman" w:hAnsi="Times New Roman" w:eastAsia="仿宋_GB2312" w:cs="Times New Roman"/>
          <w:spacing w:val="-8"/>
          <w:u w:val="none" w:color="auto"/>
        </w:rPr>
        <w:t>车购置及运行维护费和公务接待费。其中，因公出国</w:t>
      </w:r>
      <w:r>
        <w:rPr>
          <w:rFonts w:hint="default" w:ascii="Times New Roman" w:hAnsi="Times New Roman" w:eastAsia="仿宋_GB2312" w:cs="Times New Roman"/>
          <w:spacing w:val="-8"/>
          <w:u w:val="none" w:color="auto"/>
          <w:lang w:eastAsia="zh-CN"/>
        </w:rPr>
        <w:t>（</w:t>
      </w:r>
      <w:r>
        <w:rPr>
          <w:rFonts w:hint="default" w:ascii="Times New Roman" w:hAnsi="Times New Roman" w:eastAsia="仿宋_GB2312" w:cs="Times New Roman"/>
          <w:spacing w:val="-8"/>
          <w:u w:val="none" w:color="auto"/>
        </w:rPr>
        <w:t>境</w:t>
      </w:r>
      <w:r>
        <w:rPr>
          <w:rFonts w:hint="default" w:ascii="Times New Roman" w:hAnsi="Times New Roman" w:eastAsia="仿宋_GB2312" w:cs="Times New Roman"/>
          <w:spacing w:val="-8"/>
          <w:u w:val="none" w:color="auto"/>
          <w:lang w:eastAsia="zh-CN"/>
        </w:rPr>
        <w:t>）</w:t>
      </w:r>
      <w:r>
        <w:rPr>
          <w:rFonts w:hint="default" w:ascii="Times New Roman" w:hAnsi="Times New Roman" w:eastAsia="仿宋_GB2312" w:cs="Times New Roman"/>
          <w:spacing w:val="-8"/>
          <w:u w:val="none" w:color="auto"/>
        </w:rPr>
        <w:t>费反映</w:t>
      </w:r>
      <w:r>
        <w:rPr>
          <w:rFonts w:hint="default" w:ascii="Times New Roman" w:hAnsi="Times New Roman" w:eastAsia="仿宋_GB2312" w:cs="Times New Roman"/>
          <w:spacing w:val="-5"/>
          <w:u w:val="none" w:color="auto"/>
        </w:rPr>
        <w:t>单位公务出国</w:t>
      </w:r>
      <w:r>
        <w:rPr>
          <w:rFonts w:hint="default" w:ascii="Times New Roman" w:hAnsi="Times New Roman" w:eastAsia="仿宋_GB2312" w:cs="Times New Roman"/>
          <w:spacing w:val="-5"/>
          <w:u w:val="none" w:color="auto"/>
          <w:lang w:eastAsia="zh-CN"/>
        </w:rPr>
        <w:t>（</w:t>
      </w:r>
      <w:r>
        <w:rPr>
          <w:rFonts w:hint="default" w:ascii="Times New Roman" w:hAnsi="Times New Roman" w:eastAsia="仿宋_GB2312" w:cs="Times New Roman"/>
          <w:spacing w:val="-5"/>
          <w:u w:val="none" w:color="auto"/>
        </w:rPr>
        <w:t>境</w:t>
      </w:r>
      <w:r>
        <w:rPr>
          <w:rFonts w:hint="default" w:ascii="Times New Roman" w:hAnsi="Times New Roman" w:eastAsia="仿宋_GB2312" w:cs="Times New Roman"/>
          <w:spacing w:val="-5"/>
          <w:u w:val="none" w:color="auto"/>
          <w:lang w:eastAsia="zh-CN"/>
        </w:rPr>
        <w:t>）</w:t>
      </w:r>
      <w:r>
        <w:rPr>
          <w:rFonts w:hint="default" w:ascii="Times New Roman" w:hAnsi="Times New Roman" w:eastAsia="仿宋_GB2312" w:cs="Times New Roman"/>
          <w:spacing w:val="-5"/>
          <w:u w:val="none" w:color="auto"/>
        </w:rPr>
        <w:t>的国际旅费、国外城市间交通费、住宿费、伙食费、培训费、公杂费等支出；公务用车购置及运行维护费反映</w:t>
      </w:r>
      <w:r>
        <w:rPr>
          <w:rFonts w:hint="default" w:ascii="Times New Roman" w:hAnsi="Times New Roman" w:eastAsia="仿宋_GB2312" w:cs="Times New Roman"/>
          <w:spacing w:val="-7"/>
          <w:u w:val="none" w:color="auto"/>
        </w:rPr>
        <w:t>单位公务用车购置支出</w:t>
      </w:r>
      <w:r>
        <w:rPr>
          <w:rFonts w:hint="default" w:ascii="Times New Roman" w:hAnsi="Times New Roman" w:eastAsia="仿宋_GB2312" w:cs="Times New Roman"/>
          <w:spacing w:val="-7"/>
          <w:u w:val="none" w:color="auto"/>
          <w:lang w:eastAsia="zh-CN"/>
        </w:rPr>
        <w:t>（</w:t>
      </w:r>
      <w:r>
        <w:rPr>
          <w:rFonts w:hint="default" w:ascii="Times New Roman" w:hAnsi="Times New Roman" w:eastAsia="仿宋_GB2312" w:cs="Times New Roman"/>
          <w:spacing w:val="-7"/>
          <w:u w:val="none" w:color="auto"/>
        </w:rPr>
        <w:t>含车辆购置税、牌照</w:t>
      </w:r>
      <w:r>
        <w:rPr>
          <w:rFonts w:hint="default" w:ascii="Times New Roman" w:hAnsi="Times New Roman" w:eastAsia="仿宋_GB2312" w:cs="Times New Roman"/>
          <w:spacing w:val="-8"/>
          <w:u w:val="none" w:color="auto"/>
        </w:rPr>
        <w:t>费</w:t>
      </w:r>
      <w:r>
        <w:rPr>
          <w:rFonts w:hint="default" w:ascii="Times New Roman" w:hAnsi="Times New Roman" w:eastAsia="仿宋_GB2312" w:cs="Times New Roman"/>
          <w:spacing w:val="-8"/>
          <w:u w:val="none" w:color="auto"/>
          <w:lang w:eastAsia="zh-CN"/>
        </w:rPr>
        <w:t>）</w:t>
      </w:r>
      <w:r>
        <w:rPr>
          <w:rFonts w:hint="default" w:ascii="Times New Roman" w:hAnsi="Times New Roman" w:eastAsia="仿宋_GB2312" w:cs="Times New Roman"/>
          <w:spacing w:val="-8"/>
          <w:u w:val="none" w:color="auto"/>
        </w:rPr>
        <w:t>及燃料费、维修</w:t>
      </w:r>
      <w:r>
        <w:rPr>
          <w:rFonts w:hint="default" w:ascii="Times New Roman" w:hAnsi="Times New Roman" w:eastAsia="仿宋_GB2312" w:cs="Times New Roman"/>
          <w:spacing w:val="-5"/>
          <w:u w:val="none" w:color="auto"/>
        </w:rPr>
        <w:t>费、过桥过路费、保险费、安全奖励费用等支出；公务接待费反</w:t>
      </w:r>
      <w:r>
        <w:rPr>
          <w:rFonts w:hint="default" w:ascii="Times New Roman" w:hAnsi="Times New Roman" w:eastAsia="仿宋_GB2312" w:cs="Times New Roman"/>
          <w:spacing w:val="-1"/>
          <w:u w:val="none" w:color="auto"/>
        </w:rPr>
        <w:t>映单位按规定开支的各类公务接待</w:t>
      </w:r>
      <w:r>
        <w:rPr>
          <w:rFonts w:hint="default" w:ascii="Times New Roman" w:hAnsi="Times New Roman" w:eastAsia="仿宋_GB2312" w:cs="Times New Roman"/>
          <w:spacing w:val="-1"/>
          <w:u w:val="none" w:color="auto"/>
          <w:lang w:eastAsia="zh-CN"/>
        </w:rPr>
        <w:t>（</w:t>
      </w:r>
      <w:r>
        <w:rPr>
          <w:rFonts w:hint="default" w:ascii="Times New Roman" w:hAnsi="Times New Roman" w:eastAsia="仿宋_GB2312" w:cs="Times New Roman"/>
          <w:spacing w:val="-1"/>
          <w:u w:val="none" w:color="auto"/>
        </w:rPr>
        <w:t>含外宾接待</w:t>
      </w:r>
      <w:r>
        <w:rPr>
          <w:rFonts w:hint="default" w:ascii="Times New Roman" w:hAnsi="Times New Roman" w:eastAsia="仿宋_GB2312" w:cs="Times New Roman"/>
          <w:spacing w:val="-1"/>
          <w:u w:val="none" w:color="auto"/>
          <w:lang w:eastAsia="zh-CN"/>
        </w:rPr>
        <w:t>）</w:t>
      </w:r>
      <w:r>
        <w:rPr>
          <w:rFonts w:hint="default" w:ascii="Times New Roman" w:hAnsi="Times New Roman" w:eastAsia="仿宋_GB2312" w:cs="Times New Roman"/>
          <w:spacing w:val="-1"/>
          <w:u w:val="none" w:color="auto"/>
        </w:rPr>
        <w:t>费用。</w:t>
      </w:r>
    </w:p>
    <w:p w14:paraId="4D3B0F75">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2" w:firstLineChars="200"/>
        <w:jc w:val="both"/>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2"/>
          <w:u w:val="none" w:color="auto"/>
          <w:lang w:eastAsia="zh-CN"/>
        </w:rPr>
        <w:t>（</w:t>
      </w:r>
      <w:r>
        <w:rPr>
          <w:rFonts w:hint="default" w:ascii="Times New Roman" w:hAnsi="Times New Roman" w:eastAsia="仿宋_GB2312" w:cs="Times New Roman"/>
          <w:spacing w:val="-2"/>
          <w:u w:val="none" w:color="auto"/>
        </w:rPr>
        <w:t>十七</w:t>
      </w:r>
      <w:r>
        <w:rPr>
          <w:rFonts w:hint="default" w:ascii="Times New Roman" w:hAnsi="Times New Roman" w:eastAsia="仿宋_GB2312" w:cs="Times New Roman"/>
          <w:spacing w:val="-2"/>
          <w:u w:val="none" w:color="auto"/>
          <w:lang w:eastAsia="zh-CN"/>
        </w:rPr>
        <w:t>）</w:t>
      </w:r>
      <w:r>
        <w:rPr>
          <w:rFonts w:hint="default" w:ascii="Times New Roman" w:hAnsi="Times New Roman" w:eastAsia="仿宋_GB2312" w:cs="Times New Roman"/>
          <w:spacing w:val="-2"/>
          <w:u w:val="none" w:color="auto"/>
        </w:rPr>
        <w:t>机关运行经费：指为保障行政单位</w:t>
      </w:r>
      <w:r>
        <w:rPr>
          <w:rFonts w:hint="default" w:ascii="Times New Roman" w:hAnsi="Times New Roman" w:eastAsia="仿宋_GB2312" w:cs="Times New Roman"/>
          <w:spacing w:val="-2"/>
          <w:u w:val="none" w:color="auto"/>
          <w:lang w:eastAsia="zh-CN"/>
        </w:rPr>
        <w:t>（</w:t>
      </w:r>
      <w:r>
        <w:rPr>
          <w:rFonts w:hint="default" w:ascii="Times New Roman" w:hAnsi="Times New Roman" w:eastAsia="仿宋_GB2312" w:cs="Times New Roman"/>
          <w:spacing w:val="-2"/>
          <w:u w:val="none" w:color="auto"/>
        </w:rPr>
        <w:t>包括参照公务员</w:t>
      </w:r>
      <w:r>
        <w:rPr>
          <w:rFonts w:hint="default" w:ascii="Times New Roman" w:hAnsi="Times New Roman" w:eastAsia="仿宋_GB2312" w:cs="Times New Roman"/>
          <w:spacing w:val="1"/>
          <w:u w:val="none" w:color="auto"/>
        </w:rPr>
        <w:t>法管理的事业单位</w:t>
      </w:r>
      <w:r>
        <w:rPr>
          <w:rFonts w:hint="default" w:ascii="Times New Roman" w:hAnsi="Times New Roman" w:eastAsia="仿宋_GB2312" w:cs="Times New Roman"/>
          <w:spacing w:val="1"/>
          <w:u w:val="none" w:color="auto"/>
          <w:lang w:eastAsia="zh-CN"/>
        </w:rPr>
        <w:t>）</w:t>
      </w:r>
      <w:r>
        <w:rPr>
          <w:rFonts w:hint="default" w:ascii="Times New Roman" w:hAnsi="Times New Roman" w:eastAsia="仿宋_GB2312" w:cs="Times New Roman"/>
          <w:spacing w:val="1"/>
          <w:u w:val="none" w:color="auto"/>
        </w:rPr>
        <w:t>运行用于购买货物和服务的各项资金，</w:t>
      </w:r>
      <w:r>
        <w:rPr>
          <w:rFonts w:hint="default" w:ascii="Times New Roman" w:hAnsi="Times New Roman" w:eastAsia="仿宋_GB2312" w:cs="Times New Roman"/>
          <w:u w:val="none" w:color="auto"/>
        </w:rPr>
        <w:t>包括</w:t>
      </w:r>
      <w:r>
        <w:rPr>
          <w:rFonts w:hint="default" w:ascii="Times New Roman" w:hAnsi="Times New Roman" w:eastAsia="仿宋_GB2312" w:cs="Times New Roman"/>
          <w:spacing w:val="-5"/>
          <w:u w:val="none" w:color="auto"/>
        </w:rPr>
        <w:t>办公费、印刷费、邮电费、差旅费、会议费、福利费、日常维修费、专用材料及一般设备购置费、办公用房水电费、办公用房取</w:t>
      </w:r>
      <w:r>
        <w:rPr>
          <w:rFonts w:hint="default" w:ascii="Times New Roman" w:hAnsi="Times New Roman" w:eastAsia="仿宋_GB2312" w:cs="Times New Roman"/>
          <w:spacing w:val="-13"/>
          <w:u w:val="none" w:color="auto"/>
        </w:rPr>
        <w:t>暖费、办公用房物业管理费、公务用车运行维护费以及其他费用。</w:t>
      </w:r>
    </w:p>
    <w:p w14:paraId="56B06000">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08" w:firstLineChars="200"/>
        <w:textAlignment w:val="baseline"/>
        <w:rPr>
          <w:rFonts w:hint="default" w:ascii="Times New Roman" w:hAnsi="Times New Roman" w:eastAsia="仿宋_GB2312" w:cs="Times New Roman"/>
          <w:u w:val="none" w:color="auto"/>
        </w:rPr>
      </w:pPr>
      <w:r>
        <w:rPr>
          <w:rFonts w:hint="default" w:ascii="Times New Roman" w:hAnsi="Times New Roman" w:eastAsia="仿宋_GB2312" w:cs="Times New Roman"/>
          <w:spacing w:val="-8"/>
          <w:u w:val="none" w:color="auto"/>
          <w:lang w:eastAsia="zh-CN"/>
        </w:rPr>
        <w:t>（</w:t>
      </w:r>
      <w:r>
        <w:rPr>
          <w:rFonts w:hint="default" w:ascii="Times New Roman" w:hAnsi="Times New Roman" w:eastAsia="仿宋_GB2312" w:cs="Times New Roman"/>
          <w:spacing w:val="-8"/>
          <w:u w:val="none" w:color="auto"/>
        </w:rPr>
        <w:t>十八</w:t>
      </w:r>
      <w:r>
        <w:rPr>
          <w:rFonts w:hint="default" w:ascii="Times New Roman" w:hAnsi="Times New Roman" w:eastAsia="仿宋_GB2312" w:cs="Times New Roman"/>
          <w:spacing w:val="-8"/>
          <w:u w:val="none" w:color="auto"/>
          <w:lang w:eastAsia="zh-CN"/>
        </w:rPr>
        <w:t>）</w:t>
      </w:r>
      <w:r>
        <w:rPr>
          <w:rFonts w:hint="default" w:ascii="Times New Roman" w:hAnsi="Times New Roman" w:eastAsia="仿宋_GB2312" w:cs="Times New Roman"/>
          <w:spacing w:val="-8"/>
          <w:u w:val="none" w:color="auto"/>
        </w:rPr>
        <w:t>其他专用名词。</w:t>
      </w:r>
    </w:p>
    <w:p w14:paraId="3D95B901">
      <w:pPr>
        <w:rPr>
          <w:rFonts w:hint="default" w:ascii="Times New Roman" w:hAnsi="Times New Roman" w:cs="Times New Roman"/>
          <w:spacing w:val="-4"/>
          <w:u w:val="none" w:color="auto"/>
          <w:lang w:eastAsia="zh-CN"/>
        </w:rPr>
      </w:pPr>
      <w:r>
        <w:rPr>
          <w:rFonts w:hint="default" w:ascii="Times New Roman" w:hAnsi="Times New Roman" w:cs="Times New Roman"/>
          <w:spacing w:val="-4"/>
          <w:u w:val="none" w:color="auto"/>
          <w:lang w:eastAsia="zh-CN"/>
        </w:rPr>
        <w:br w:type="page"/>
      </w:r>
    </w:p>
    <w:p w14:paraId="3EE7A4CD">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方正小标宋_GBK" w:hAnsi="方正小标宋_GBK" w:eastAsia="方正小标宋_GBK" w:cs="方正小标宋_GBK"/>
          <w:spacing w:val="-2"/>
          <w:sz w:val="44"/>
          <w:szCs w:val="44"/>
          <w:u w:val="none" w:color="auto"/>
        </w:rPr>
      </w:pPr>
      <w:r>
        <w:rPr>
          <w:rFonts w:hint="default" w:ascii="方正小标宋_GBK" w:hAnsi="方正小标宋_GBK" w:eastAsia="方正小标宋_GBK" w:cs="方正小标宋_GBK"/>
          <w:spacing w:val="-2"/>
          <w:sz w:val="44"/>
          <w:szCs w:val="44"/>
          <w:u w:val="none" w:color="auto"/>
        </w:rPr>
        <w:t>第六部分附件</w:t>
      </w:r>
    </w:p>
    <w:p w14:paraId="5E1CED8E">
      <w:pPr>
        <w:spacing w:line="334" w:lineRule="auto"/>
        <w:rPr>
          <w:rFonts w:hint="default" w:ascii="Times New Roman" w:hAnsi="Times New Roman" w:cs="Times New Roman"/>
          <w:sz w:val="21"/>
          <w:u w:val="none" w:color="auto"/>
        </w:rPr>
      </w:pPr>
    </w:p>
    <w:p w14:paraId="76891946">
      <w:pPr>
        <w:spacing w:line="335" w:lineRule="auto"/>
        <w:rPr>
          <w:rFonts w:hint="default" w:ascii="Times New Roman" w:hAnsi="Times New Roman" w:cs="Times New Roman"/>
          <w:sz w:val="21"/>
          <w:u w:val="none" w:color="auto"/>
        </w:rPr>
      </w:pPr>
    </w:p>
    <w:p w14:paraId="19F45488">
      <w:pPr>
        <w:keepNext w:val="0"/>
        <w:keepLines w:val="0"/>
        <w:pageBreakBefore w:val="0"/>
        <w:widowControl/>
        <w:kinsoku w:val="0"/>
        <w:wordWrap/>
        <w:overflowPunct/>
        <w:topLinePunct w:val="0"/>
        <w:autoSpaceDE w:val="0"/>
        <w:autoSpaceDN w:val="0"/>
        <w:bidi w:val="0"/>
        <w:adjustRightInd w:val="0"/>
        <w:snapToGrid w:val="0"/>
        <w:spacing w:line="580" w:lineRule="exact"/>
        <w:ind w:left="0" w:right="0" w:firstLine="636" w:firstLineChars="200"/>
        <w:textAlignment w:val="baseline"/>
        <w:rPr>
          <w:rFonts w:hint="default" w:ascii="Times New Roman" w:hAnsi="Times New Roman" w:eastAsia="黑体" w:cs="Times New Roman"/>
          <w:spacing w:val="-1"/>
          <w:sz w:val="32"/>
          <w:szCs w:val="32"/>
          <w:u w:val="none" w:color="auto"/>
        </w:rPr>
      </w:pPr>
      <w:r>
        <w:rPr>
          <w:rFonts w:hint="default" w:ascii="Times New Roman" w:hAnsi="Times New Roman" w:eastAsia="黑体" w:cs="Times New Roman"/>
          <w:spacing w:val="-1"/>
          <w:sz w:val="32"/>
          <w:szCs w:val="32"/>
          <w:u w:val="none" w:color="auto"/>
        </w:rPr>
        <w:t>一、202</w:t>
      </w:r>
      <w:r>
        <w:rPr>
          <w:rFonts w:hint="eastAsia" w:ascii="Times New Roman" w:hAnsi="Times New Roman" w:eastAsia="黑体" w:cs="Times New Roman"/>
          <w:spacing w:val="-1"/>
          <w:sz w:val="32"/>
          <w:szCs w:val="32"/>
          <w:u w:val="none" w:color="auto"/>
          <w:lang w:val="en-US" w:eastAsia="zh-CN"/>
        </w:rPr>
        <w:t>4</w:t>
      </w:r>
      <w:r>
        <w:rPr>
          <w:rFonts w:hint="default" w:ascii="Times New Roman" w:hAnsi="Times New Roman" w:eastAsia="黑体" w:cs="Times New Roman"/>
          <w:spacing w:val="-1"/>
          <w:sz w:val="32"/>
          <w:szCs w:val="32"/>
          <w:u w:val="none" w:color="auto"/>
        </w:rPr>
        <w:t>年度</w:t>
      </w:r>
      <w:r>
        <w:rPr>
          <w:rFonts w:hint="eastAsia" w:ascii="Times New Roman" w:hAnsi="Times New Roman" w:eastAsia="黑体" w:cs="Times New Roman"/>
          <w:spacing w:val="-1"/>
          <w:sz w:val="32"/>
          <w:szCs w:val="32"/>
          <w:u w:val="none" w:color="auto"/>
          <w:lang w:val="en-US" w:eastAsia="zh-CN"/>
        </w:rPr>
        <w:t>武汉市光谷第八初级中学</w:t>
      </w:r>
      <w:r>
        <w:rPr>
          <w:rFonts w:hint="default" w:ascii="Times New Roman" w:hAnsi="Times New Roman" w:eastAsia="黑体" w:cs="Times New Roman"/>
          <w:spacing w:val="-1"/>
          <w:sz w:val="32"/>
          <w:szCs w:val="32"/>
          <w:u w:val="none" w:color="auto"/>
        </w:rPr>
        <w:t>整体绩效自评结果</w:t>
      </w:r>
    </w:p>
    <w:p w14:paraId="69209E3F">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u w:val="none" w:color="auto"/>
          <w:lang w:val="en-US" w:eastAsia="zh-CN"/>
        </w:rPr>
      </w:pPr>
      <w:r>
        <w:rPr>
          <w:rFonts w:hint="default" w:ascii="Times New Roman" w:hAnsi="Times New Roman" w:eastAsia="仿宋_GB2312" w:cs="Times New Roman"/>
          <w:spacing w:val="-1"/>
          <w:u w:val="none" w:color="auto"/>
          <w:lang w:val="en-US" w:eastAsia="zh-CN"/>
        </w:rPr>
        <w:t>（一）部门概况：</w:t>
      </w:r>
    </w:p>
    <w:p w14:paraId="2FC8BD5D">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highlight w:val="none"/>
          <w:u w:val="none" w:color="auto"/>
          <w:lang w:val="en-US" w:eastAsia="zh-CN"/>
        </w:rPr>
      </w:pPr>
      <w:r>
        <w:rPr>
          <w:rFonts w:hint="default" w:ascii="Times New Roman" w:hAnsi="Times New Roman" w:eastAsia="仿宋_GB2312" w:cs="Times New Roman"/>
          <w:spacing w:val="-1"/>
          <w:u w:val="none" w:color="auto"/>
          <w:lang w:val="en-US" w:eastAsia="zh-CN"/>
        </w:rPr>
        <w:t>学校主要职能是贯彻落实党和国家的教育方针政策、法律法规，根据上级批示精神，结合本地区的实际，全面实施初中义务教</w:t>
      </w:r>
      <w:r>
        <w:rPr>
          <w:rFonts w:hint="default" w:ascii="Times New Roman" w:hAnsi="Times New Roman" w:eastAsia="仿宋_GB2312" w:cs="Times New Roman"/>
          <w:spacing w:val="-1"/>
          <w:highlight w:val="none"/>
          <w:u w:val="none" w:color="auto"/>
          <w:lang w:val="en-US" w:eastAsia="zh-CN"/>
        </w:rPr>
        <w:t>育，完成初中阶段学历教育，培养全面发展的合格人才。</w:t>
      </w:r>
    </w:p>
    <w:p w14:paraId="37F44BA0">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highlight w:val="none"/>
          <w:u w:val="none" w:color="auto"/>
          <w:lang w:val="en-US" w:eastAsia="zh-CN"/>
        </w:rPr>
      </w:pPr>
      <w:r>
        <w:rPr>
          <w:rFonts w:hint="default" w:ascii="Times New Roman" w:hAnsi="Times New Roman" w:eastAsia="仿宋_GB2312" w:cs="Times New Roman"/>
          <w:spacing w:val="-1"/>
          <w:highlight w:val="none"/>
          <w:u w:val="none" w:color="auto"/>
          <w:lang w:val="en-US" w:eastAsia="zh-CN"/>
        </w:rPr>
        <w:t>武汉市光谷第八级中学核定的事业编制为34人。在职实有人数</w:t>
      </w:r>
      <w:r>
        <w:rPr>
          <w:rFonts w:hint="eastAsia" w:ascii="Times New Roman" w:hAnsi="Times New Roman" w:eastAsia="仿宋_GB2312" w:cs="Times New Roman"/>
          <w:spacing w:val="-1"/>
          <w:highlight w:val="none"/>
          <w:u w:val="none" w:color="auto"/>
          <w:lang w:val="en-US" w:eastAsia="zh-CN"/>
        </w:rPr>
        <w:t>85</w:t>
      </w:r>
      <w:r>
        <w:rPr>
          <w:rFonts w:hint="default" w:ascii="Times New Roman" w:hAnsi="Times New Roman" w:eastAsia="仿宋_GB2312" w:cs="Times New Roman"/>
          <w:spacing w:val="-1"/>
          <w:highlight w:val="none"/>
          <w:u w:val="none" w:color="auto"/>
          <w:lang w:val="en-US" w:eastAsia="zh-CN"/>
        </w:rPr>
        <w:t>人，其中：事业编制</w:t>
      </w:r>
      <w:r>
        <w:rPr>
          <w:rFonts w:hint="eastAsia" w:ascii="Times New Roman" w:hAnsi="Times New Roman" w:eastAsia="仿宋_GB2312" w:cs="Times New Roman"/>
          <w:spacing w:val="-1"/>
          <w:highlight w:val="none"/>
          <w:u w:val="none" w:color="auto"/>
          <w:lang w:val="en-US" w:eastAsia="zh-CN"/>
        </w:rPr>
        <w:t>46</w:t>
      </w:r>
      <w:r>
        <w:rPr>
          <w:rFonts w:hint="default" w:ascii="Times New Roman" w:hAnsi="Times New Roman" w:eastAsia="仿宋_GB2312" w:cs="Times New Roman"/>
          <w:spacing w:val="-1"/>
          <w:highlight w:val="none"/>
          <w:u w:val="none" w:color="auto"/>
          <w:lang w:val="en-US" w:eastAsia="zh-CN"/>
        </w:rPr>
        <w:t>人，聘用制</w:t>
      </w:r>
      <w:r>
        <w:rPr>
          <w:rFonts w:hint="eastAsia" w:ascii="Times New Roman" w:hAnsi="Times New Roman" w:eastAsia="仿宋_GB2312" w:cs="Times New Roman"/>
          <w:spacing w:val="-1"/>
          <w:highlight w:val="none"/>
          <w:u w:val="none" w:color="auto"/>
          <w:lang w:val="en-US" w:eastAsia="zh-CN"/>
        </w:rPr>
        <w:t>39</w:t>
      </w:r>
      <w:r>
        <w:rPr>
          <w:rFonts w:hint="default" w:ascii="Times New Roman" w:hAnsi="Times New Roman" w:eastAsia="仿宋_GB2312" w:cs="Times New Roman"/>
          <w:spacing w:val="-1"/>
          <w:highlight w:val="none"/>
          <w:u w:val="none" w:color="auto"/>
          <w:lang w:val="en-US" w:eastAsia="zh-CN"/>
        </w:rPr>
        <w:t>人。离退休及遗属共</w:t>
      </w:r>
      <w:r>
        <w:rPr>
          <w:rFonts w:hint="eastAsia" w:ascii="Times New Roman" w:hAnsi="Times New Roman" w:eastAsia="仿宋_GB2312" w:cs="Times New Roman"/>
          <w:spacing w:val="-1"/>
          <w:highlight w:val="none"/>
          <w:u w:val="none" w:color="auto"/>
          <w:lang w:val="en-US" w:eastAsia="zh-CN"/>
        </w:rPr>
        <w:t>39</w:t>
      </w:r>
      <w:r>
        <w:rPr>
          <w:rFonts w:hint="default" w:ascii="Times New Roman" w:hAnsi="Times New Roman" w:eastAsia="仿宋_GB2312" w:cs="Times New Roman"/>
          <w:spacing w:val="-1"/>
          <w:highlight w:val="none"/>
          <w:u w:val="none" w:color="auto"/>
          <w:lang w:val="en-US" w:eastAsia="zh-CN"/>
        </w:rPr>
        <w:t>人，其中：退休3</w:t>
      </w:r>
      <w:r>
        <w:rPr>
          <w:rFonts w:hint="eastAsia" w:ascii="Times New Roman" w:hAnsi="Times New Roman" w:eastAsia="仿宋_GB2312" w:cs="Times New Roman"/>
          <w:spacing w:val="-1"/>
          <w:highlight w:val="none"/>
          <w:u w:val="none" w:color="auto"/>
          <w:lang w:val="en-US" w:eastAsia="zh-CN"/>
        </w:rPr>
        <w:t>8</w:t>
      </w:r>
      <w:r>
        <w:rPr>
          <w:rFonts w:hint="default" w:ascii="Times New Roman" w:hAnsi="Times New Roman" w:eastAsia="仿宋_GB2312" w:cs="Times New Roman"/>
          <w:spacing w:val="-1"/>
          <w:highlight w:val="none"/>
          <w:u w:val="none" w:color="auto"/>
          <w:lang w:val="en-US" w:eastAsia="zh-CN"/>
        </w:rPr>
        <w:t>，遗属1人。学校共有学生总数</w:t>
      </w:r>
      <w:r>
        <w:rPr>
          <w:rFonts w:hint="eastAsia" w:ascii="Times New Roman" w:hAnsi="Times New Roman" w:eastAsia="仿宋_GB2312" w:cs="Times New Roman"/>
          <w:spacing w:val="-1"/>
          <w:highlight w:val="none"/>
          <w:u w:val="none" w:color="auto"/>
          <w:lang w:val="en-US" w:eastAsia="zh-CN"/>
        </w:rPr>
        <w:t>1025</w:t>
      </w:r>
      <w:r>
        <w:rPr>
          <w:rFonts w:hint="default" w:ascii="Times New Roman" w:hAnsi="Times New Roman" w:eastAsia="仿宋_GB2312" w:cs="Times New Roman"/>
          <w:spacing w:val="-1"/>
          <w:highlight w:val="none"/>
          <w:u w:val="none" w:color="auto"/>
          <w:lang w:val="en-US" w:eastAsia="zh-CN"/>
        </w:rPr>
        <w:t>人，班级数20个。</w:t>
      </w:r>
    </w:p>
    <w:p w14:paraId="12877A2E">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u w:val="none" w:color="auto"/>
          <w:lang w:val="en-US" w:eastAsia="zh-CN"/>
        </w:rPr>
      </w:pPr>
      <w:r>
        <w:rPr>
          <w:rFonts w:hint="default" w:ascii="Times New Roman" w:hAnsi="Times New Roman" w:eastAsia="仿宋_GB2312" w:cs="Times New Roman"/>
          <w:spacing w:val="-1"/>
          <w:u w:val="none" w:color="auto"/>
          <w:lang w:val="en-US" w:eastAsia="zh-CN"/>
        </w:rPr>
        <w:t>（二）部门整体支出管理及使用情况：</w:t>
      </w:r>
    </w:p>
    <w:p w14:paraId="39D2E88E">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u w:val="none" w:color="auto"/>
          <w:lang w:val="en-US" w:eastAsia="zh-CN"/>
        </w:rPr>
      </w:pPr>
      <w:r>
        <w:rPr>
          <w:rFonts w:hint="default" w:ascii="Times New Roman" w:hAnsi="Times New Roman" w:eastAsia="仿宋_GB2312" w:cs="Times New Roman"/>
          <w:spacing w:val="-1"/>
          <w:u w:val="none" w:color="auto"/>
          <w:lang w:val="en-US" w:eastAsia="zh-CN"/>
        </w:rPr>
        <w:t>贯彻落实党的教育方针，全面实施初级中学阶段义务教育，培养德智体美劳全面发展的人才。足球专项、学校专项、小班化教学试点费等专项经费落实到位，努力创设实施素质教育的优良环境，确保绩效目标圆满完成。达到“全面实施初中义务教育，完成初中阶段学历教育，培养全面发展的合格人才”的办学宗旨。</w:t>
      </w:r>
    </w:p>
    <w:p w14:paraId="605244E8">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eastAsia" w:ascii="Times New Roman" w:hAnsi="Times New Roman" w:eastAsia="仿宋_GB2312" w:cs="Times New Roman"/>
          <w:spacing w:val="-1"/>
          <w:u w:val="none" w:color="auto"/>
          <w:lang w:eastAsia="zh-CN"/>
        </w:rPr>
      </w:pPr>
      <w:r>
        <w:rPr>
          <w:rFonts w:hint="default" w:ascii="Times New Roman" w:hAnsi="Times New Roman" w:eastAsia="仿宋_GB2312" w:cs="Times New Roman"/>
          <w:spacing w:val="-1"/>
          <w:u w:val="none" w:color="auto"/>
          <w:lang w:val="en-US" w:eastAsia="zh-CN"/>
        </w:rPr>
        <w:t>我单位</w:t>
      </w:r>
      <w:r>
        <w:rPr>
          <w:rFonts w:hint="eastAsia" w:ascii="Times New Roman" w:hAnsi="Times New Roman" w:eastAsia="仿宋_GB2312" w:cs="Times New Roman"/>
          <w:spacing w:val="-1"/>
          <w:u w:val="none" w:color="auto"/>
          <w:lang w:val="en-US" w:eastAsia="zh-CN"/>
        </w:rPr>
        <w:t>2024</w:t>
      </w:r>
      <w:r>
        <w:rPr>
          <w:rFonts w:hint="default" w:ascii="Times New Roman" w:hAnsi="Times New Roman" w:eastAsia="仿宋_GB2312" w:cs="Times New Roman"/>
          <w:spacing w:val="-1"/>
          <w:u w:val="none" w:color="auto"/>
          <w:lang w:val="en-US" w:eastAsia="zh-CN"/>
        </w:rPr>
        <w:t>年度一般公共预算财政拨款支出</w:t>
      </w:r>
      <w:r>
        <w:rPr>
          <w:rFonts w:hint="eastAsia" w:ascii="Times New Roman" w:hAnsi="Times New Roman" w:eastAsia="仿宋_GB2312" w:cs="Times New Roman"/>
          <w:spacing w:val="-1"/>
          <w:u w:val="none" w:color="auto"/>
          <w:lang w:val="en-US" w:eastAsia="zh-CN"/>
        </w:rPr>
        <w:t>2647.60</w:t>
      </w:r>
      <w:r>
        <w:rPr>
          <w:rFonts w:hint="default" w:ascii="Times New Roman" w:hAnsi="Times New Roman" w:eastAsia="仿宋_GB2312" w:cs="Times New Roman"/>
          <w:spacing w:val="-1"/>
          <w:u w:val="none" w:color="auto"/>
          <w:lang w:val="en-US" w:eastAsia="zh-CN"/>
        </w:rPr>
        <w:t>万元。基本支出2599.10万元，项目支出48.50万元。基本支出主要用于人员经费和公用经费。项目支出主要用于商品和服务支出。部门整体支出主要产出和效益是：取得的成效主要在于支持学校教育发展方面成效显著,改善办学条件。我校建立健全了资金分配规程和各项财务管理制度，制定了财务报账审批制度，修订完善了培训费、差旅报销等财务管理办法。严格执行因公出国（境）、公务接待和公务用车购置及运行维护政策规定，我校</w:t>
      </w:r>
      <w:r>
        <w:rPr>
          <w:rFonts w:hint="eastAsia" w:ascii="Times New Roman" w:hAnsi="Times New Roman" w:eastAsia="仿宋_GB2312" w:cs="Times New Roman"/>
          <w:spacing w:val="-1"/>
          <w:u w:val="none" w:color="auto"/>
          <w:lang w:val="en-US" w:eastAsia="zh-CN"/>
        </w:rPr>
        <w:t>2024</w:t>
      </w:r>
      <w:r>
        <w:rPr>
          <w:rFonts w:hint="default" w:ascii="Times New Roman" w:hAnsi="Times New Roman" w:eastAsia="仿宋_GB2312" w:cs="Times New Roman"/>
          <w:spacing w:val="-1"/>
          <w:u w:val="none" w:color="auto"/>
          <w:lang w:val="en-US" w:eastAsia="zh-CN"/>
        </w:rPr>
        <w:t>年无因公出国（境）费支出；无公务接待费；无公务用车购置费及公车运行维护费。</w:t>
      </w:r>
    </w:p>
    <w:p w14:paraId="2EE18DF6">
      <w:pPr>
        <w:keepNext w:val="0"/>
        <w:keepLines w:val="0"/>
        <w:pageBreakBefore w:val="0"/>
        <w:widowControl/>
        <w:kinsoku w:val="0"/>
        <w:wordWrap/>
        <w:overflowPunct/>
        <w:topLinePunct w:val="0"/>
        <w:autoSpaceDE w:val="0"/>
        <w:autoSpaceDN w:val="0"/>
        <w:bidi w:val="0"/>
        <w:adjustRightInd w:val="0"/>
        <w:snapToGrid w:val="0"/>
        <w:spacing w:line="580" w:lineRule="exact"/>
        <w:ind w:left="0" w:right="0" w:firstLine="632" w:firstLineChars="200"/>
        <w:textAlignment w:val="baseline"/>
        <w:rPr>
          <w:rFonts w:hint="eastAsia" w:ascii="Times New Roman" w:hAnsi="Times New Roman" w:eastAsia="黑体" w:cs="Times New Roman"/>
          <w:spacing w:val="-2"/>
          <w:sz w:val="32"/>
          <w:szCs w:val="32"/>
          <w:u w:val="none" w:color="auto"/>
          <w:lang w:eastAsia="zh-CN"/>
        </w:rPr>
      </w:pPr>
      <w:r>
        <w:rPr>
          <w:rFonts w:hint="default" w:ascii="Times New Roman" w:hAnsi="Times New Roman" w:eastAsia="黑体" w:cs="Times New Roman"/>
          <w:spacing w:val="-2"/>
          <w:sz w:val="32"/>
          <w:szCs w:val="32"/>
          <w:u w:val="none" w:color="auto"/>
        </w:rPr>
        <w:t>二、202</w:t>
      </w:r>
      <w:r>
        <w:rPr>
          <w:rFonts w:hint="eastAsia" w:ascii="Times New Roman" w:hAnsi="Times New Roman" w:eastAsia="黑体" w:cs="Times New Roman"/>
          <w:spacing w:val="-2"/>
          <w:sz w:val="32"/>
          <w:szCs w:val="32"/>
          <w:u w:val="none" w:color="auto"/>
          <w:lang w:val="en-US" w:eastAsia="zh-CN"/>
        </w:rPr>
        <w:t>4</w:t>
      </w:r>
      <w:r>
        <w:rPr>
          <w:rFonts w:hint="default" w:ascii="Times New Roman" w:hAnsi="Times New Roman" w:eastAsia="黑体" w:cs="Times New Roman"/>
          <w:spacing w:val="-2"/>
          <w:sz w:val="32"/>
          <w:szCs w:val="32"/>
          <w:u w:val="none" w:color="auto"/>
        </w:rPr>
        <w:t>年度项目绩效自评结果</w:t>
      </w:r>
    </w:p>
    <w:p w14:paraId="79405FB2">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highlight w:val="none"/>
          <w:u w:val="none" w:color="auto"/>
          <w:lang w:val="en-US" w:eastAsia="zh-CN"/>
        </w:rPr>
      </w:pPr>
      <w:r>
        <w:rPr>
          <w:rFonts w:hint="eastAsia" w:ascii="Times New Roman" w:hAnsi="Times New Roman" w:eastAsia="仿宋_GB2312" w:cs="Times New Roman"/>
          <w:spacing w:val="-1"/>
          <w:highlight w:val="none"/>
          <w:u w:val="none" w:color="auto"/>
          <w:lang w:val="en-US" w:eastAsia="zh-CN"/>
        </w:rPr>
        <w:t>2024</w:t>
      </w:r>
      <w:r>
        <w:rPr>
          <w:rFonts w:hint="default" w:ascii="Times New Roman" w:hAnsi="Times New Roman" w:eastAsia="仿宋_GB2312" w:cs="Times New Roman"/>
          <w:spacing w:val="-1"/>
          <w:highlight w:val="none"/>
          <w:u w:val="none" w:color="auto"/>
          <w:lang w:val="en-US" w:eastAsia="zh-CN"/>
        </w:rPr>
        <w:t>年度项目支出48.5万元。</w:t>
      </w:r>
    </w:p>
    <w:p w14:paraId="485F8A48">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highlight w:val="none"/>
          <w:u w:val="none" w:color="auto"/>
          <w:lang w:val="en-US" w:eastAsia="zh-CN"/>
        </w:rPr>
      </w:pPr>
      <w:r>
        <w:rPr>
          <w:rFonts w:hint="default" w:ascii="Times New Roman" w:hAnsi="Times New Roman" w:eastAsia="仿宋_GB2312" w:cs="Times New Roman"/>
          <w:spacing w:val="-1"/>
          <w:highlight w:val="none"/>
          <w:u w:val="none" w:color="auto"/>
          <w:lang w:val="en-US" w:eastAsia="zh-CN"/>
        </w:rPr>
        <w:t>1、城乡义务教育补助经费项目绩效自评综述：项目全年预算数为</w:t>
      </w:r>
      <w:r>
        <w:rPr>
          <w:rFonts w:hint="eastAsia" w:ascii="Times New Roman" w:hAnsi="Times New Roman" w:eastAsia="仿宋_GB2312" w:cs="Times New Roman"/>
          <w:spacing w:val="-1"/>
          <w:highlight w:val="none"/>
          <w:u w:val="none" w:color="auto"/>
          <w:lang w:val="en-US" w:eastAsia="zh-CN"/>
        </w:rPr>
        <w:t>48.5</w:t>
      </w:r>
      <w:r>
        <w:rPr>
          <w:rFonts w:hint="default" w:ascii="Times New Roman" w:hAnsi="Times New Roman" w:eastAsia="仿宋_GB2312" w:cs="Times New Roman"/>
          <w:spacing w:val="-1"/>
          <w:highlight w:val="none"/>
          <w:u w:val="none" w:color="auto"/>
          <w:lang w:val="en-US" w:eastAsia="zh-CN"/>
        </w:rPr>
        <w:t>万元，执行数为</w:t>
      </w:r>
      <w:r>
        <w:rPr>
          <w:rFonts w:hint="eastAsia" w:ascii="Times New Roman" w:hAnsi="Times New Roman" w:eastAsia="仿宋_GB2312" w:cs="Times New Roman"/>
          <w:spacing w:val="-1"/>
          <w:highlight w:val="none"/>
          <w:u w:val="none" w:color="auto"/>
          <w:lang w:val="en-US" w:eastAsia="zh-CN"/>
        </w:rPr>
        <w:t>48.5</w:t>
      </w:r>
      <w:r>
        <w:rPr>
          <w:rFonts w:hint="default" w:ascii="Times New Roman" w:hAnsi="Times New Roman" w:eastAsia="仿宋_GB2312" w:cs="Times New Roman"/>
          <w:spacing w:val="-1"/>
          <w:highlight w:val="none"/>
          <w:u w:val="none" w:color="auto"/>
          <w:lang w:val="en-US" w:eastAsia="zh-CN"/>
        </w:rPr>
        <w:t>万元，完成预算的100%。主要产出和效益是：改善并优化学校的办学条件，对校园内一些设施进行了维修和加固；支付水电费的等费用。</w:t>
      </w:r>
    </w:p>
    <w:p w14:paraId="613CDAEE">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u w:val="none" w:color="auto"/>
          <w:lang w:val="en-US" w:eastAsia="zh-CN"/>
        </w:rPr>
      </w:pPr>
      <w:r>
        <w:rPr>
          <w:rFonts w:hint="eastAsia" w:ascii="Times New Roman" w:hAnsi="Times New Roman" w:eastAsia="仿宋_GB2312" w:cs="Times New Roman"/>
          <w:spacing w:val="-1"/>
          <w:u w:val="none" w:color="auto"/>
          <w:lang w:val="en-US" w:eastAsia="zh-CN"/>
        </w:rPr>
        <w:t>2</w:t>
      </w:r>
      <w:r>
        <w:rPr>
          <w:rFonts w:hint="default" w:ascii="Times New Roman" w:hAnsi="Times New Roman" w:eastAsia="仿宋_GB2312" w:cs="Times New Roman"/>
          <w:spacing w:val="-1"/>
          <w:u w:val="none" w:color="auto"/>
          <w:lang w:val="en-US" w:eastAsia="zh-CN"/>
        </w:rPr>
        <w:t>、本年度收入预算执行各项目差异不大，预算执行效果较好。各项目的实施促进学校教育协调发展，年度经费执行根据学校预算金额，专款专用，无违规超范围等使用情况。</w:t>
      </w:r>
    </w:p>
    <w:p w14:paraId="013E7A14">
      <w:pPr>
        <w:keepNext w:val="0"/>
        <w:keepLines w:val="0"/>
        <w:pageBreakBefore w:val="0"/>
        <w:widowControl/>
        <w:kinsoku w:val="0"/>
        <w:wordWrap/>
        <w:overflowPunct/>
        <w:topLinePunct w:val="0"/>
        <w:autoSpaceDE w:val="0"/>
        <w:autoSpaceDN w:val="0"/>
        <w:bidi w:val="0"/>
        <w:adjustRightInd w:val="0"/>
        <w:snapToGrid w:val="0"/>
        <w:spacing w:line="580" w:lineRule="exact"/>
        <w:ind w:left="0" w:right="0" w:firstLine="632" w:firstLineChars="200"/>
        <w:textAlignment w:val="baseline"/>
        <w:rPr>
          <w:rFonts w:hint="default" w:ascii="Times New Roman" w:hAnsi="Times New Roman" w:eastAsia="黑体" w:cs="Times New Roman"/>
          <w:spacing w:val="-2"/>
          <w:sz w:val="32"/>
          <w:szCs w:val="32"/>
          <w:u w:val="none" w:color="auto"/>
          <w:lang w:val="en-US" w:eastAsia="zh-CN"/>
        </w:rPr>
      </w:pPr>
      <w:r>
        <w:rPr>
          <w:rFonts w:hint="default" w:ascii="Times New Roman" w:hAnsi="Times New Roman" w:eastAsia="黑体" w:cs="Times New Roman"/>
          <w:spacing w:val="-2"/>
          <w:sz w:val="32"/>
          <w:szCs w:val="32"/>
          <w:u w:val="none" w:color="auto"/>
          <w:lang w:val="en-US" w:eastAsia="zh-CN"/>
        </w:rPr>
        <w:t>三、本年度部门决算等财务工作开展情况</w:t>
      </w:r>
    </w:p>
    <w:p w14:paraId="161151CB">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u w:val="none" w:color="auto"/>
          <w:lang w:val="en-US" w:eastAsia="zh-CN"/>
        </w:rPr>
      </w:pPr>
      <w:r>
        <w:rPr>
          <w:rFonts w:hint="default" w:ascii="Times New Roman" w:hAnsi="Times New Roman" w:eastAsia="仿宋_GB2312" w:cs="Times New Roman"/>
          <w:spacing w:val="-1"/>
          <w:u w:val="none" w:color="auto"/>
          <w:lang w:val="en-US" w:eastAsia="zh-CN"/>
        </w:rPr>
        <w:t>部门整体支出绩效情况：自评优良</w:t>
      </w:r>
    </w:p>
    <w:p w14:paraId="39D31611">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u w:val="none" w:color="auto"/>
          <w:lang w:val="en-US" w:eastAsia="zh-CN"/>
        </w:rPr>
      </w:pPr>
      <w:r>
        <w:rPr>
          <w:rFonts w:hint="default" w:ascii="Times New Roman" w:hAnsi="Times New Roman" w:eastAsia="仿宋_GB2312" w:cs="Times New Roman"/>
          <w:spacing w:val="-1"/>
          <w:u w:val="none" w:color="auto"/>
          <w:lang w:val="en-US" w:eastAsia="zh-CN"/>
        </w:rPr>
        <w:t>（一）本单位财务管理、绩效管理、决算组织、编报、审核情况在上级有关部门的支持与指导下，圆满完成了上级下达的各项指标任务，合理开支，做到把资金用在关键、合理的地方，克服困难，勤俭办学。在财务管理工作方面做到规范、仔细、认真。</w:t>
      </w:r>
    </w:p>
    <w:p w14:paraId="34E612AA">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u w:val="none" w:color="auto"/>
          <w:lang w:val="en-US" w:eastAsia="zh-CN"/>
        </w:rPr>
      </w:pPr>
      <w:r>
        <w:rPr>
          <w:rFonts w:hint="default" w:ascii="Times New Roman" w:hAnsi="Times New Roman" w:eastAsia="仿宋_GB2312" w:cs="Times New Roman"/>
          <w:spacing w:val="-1"/>
          <w:u w:val="none" w:color="auto"/>
          <w:lang w:val="en-US" w:eastAsia="zh-CN"/>
        </w:rPr>
        <w:t>（二）本单位决算及绩效信息公开工作开展情况：依法实行公开制度，接受社会监督。</w:t>
      </w:r>
    </w:p>
    <w:p w14:paraId="5C458FB5">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u w:val="none" w:color="auto"/>
          <w:lang w:val="en-US" w:eastAsia="zh-CN"/>
        </w:rPr>
      </w:pPr>
      <w:r>
        <w:rPr>
          <w:rFonts w:hint="default" w:ascii="Times New Roman" w:hAnsi="Times New Roman" w:eastAsia="仿宋_GB2312" w:cs="Times New Roman"/>
          <w:spacing w:val="-1"/>
          <w:u w:val="none" w:color="auto"/>
          <w:lang w:val="en-US" w:eastAsia="zh-CN"/>
        </w:rPr>
        <w:t>（三）财务和业务管理制度合法、合规、完整，预算执行率较高，资金使用合规。在产出方面，绩效目标完成率较高。在效益方面，整体工作具有较好的社会效益，服务对象满意度高。</w:t>
      </w:r>
    </w:p>
    <w:p w14:paraId="6608F845">
      <w:pPr>
        <w:pStyle w:val="2"/>
        <w:keepNext w:val="0"/>
        <w:keepLines w:val="0"/>
        <w:pageBreakBefore w:val="0"/>
        <w:widowControl w:val="0"/>
        <w:kinsoku/>
        <w:wordWrap/>
        <w:overflowPunct/>
        <w:topLinePunct w:val="0"/>
        <w:autoSpaceDE w:val="0"/>
        <w:autoSpaceDN w:val="0"/>
        <w:bidi w:val="0"/>
        <w:adjustRightInd w:val="0"/>
        <w:snapToGrid w:val="0"/>
        <w:spacing w:line="580" w:lineRule="exact"/>
        <w:ind w:left="0" w:right="0" w:firstLine="636" w:firstLineChars="200"/>
        <w:jc w:val="both"/>
        <w:textAlignment w:val="baseline"/>
        <w:rPr>
          <w:rFonts w:hint="default" w:ascii="Times New Roman" w:hAnsi="Times New Roman" w:eastAsia="仿宋_GB2312" w:cs="Times New Roman"/>
          <w:spacing w:val="-1"/>
          <w:u w:val="none" w:color="auto"/>
          <w:lang w:val="en-US" w:eastAsia="zh-CN"/>
        </w:rPr>
      </w:pPr>
      <w:r>
        <w:rPr>
          <w:rFonts w:hint="default" w:ascii="Times New Roman" w:hAnsi="Times New Roman" w:eastAsia="仿宋_GB2312" w:cs="Times New Roman"/>
          <w:spacing w:val="-1"/>
          <w:u w:val="none" w:color="auto"/>
          <w:lang w:val="en-US" w:eastAsia="zh-CN"/>
        </w:rPr>
        <w:t>在今后的工作中，我们将更加努力不断的工作和学习，加强自身的业务学习和职业道德素质的提高。进一步建立健全财务制度，规范财务管理，规范教育教学行为；提高教育教学质量，加强校园文化建设，加强学校廉政建设。</w:t>
      </w:r>
    </w:p>
    <w:sectPr>
      <w:footerReference r:id="rId5" w:type="default"/>
      <w:pgSz w:w="11906" w:h="16838"/>
      <w:pgMar w:top="2098" w:right="1474" w:bottom="1701" w:left="158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小标宋_GBK">
    <w:altName w:val="微软雅黑"/>
    <w:panose1 w:val="03000509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EC9C0">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3B491">
                          <w:pPr>
                            <w:pStyle w:val="4"/>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C43B491">
                    <w:pPr>
                      <w:pStyle w:val="4"/>
                      <w:rPr>
                        <w:rFonts w:hint="default" w:ascii="Times New Roman" w:hAnsi="Times New Roman" w:cs="Times New Roman" w:eastAsiaTheme="minorEastAsia"/>
                        <w:sz w:val="28"/>
                        <w:szCs w:val="28"/>
                        <w:lang w:eastAsia="zh-CN"/>
                      </w:rPr>
                    </w:pPr>
                    <w:r>
                      <w:rPr>
                        <w:rFonts w:hint="default" w:ascii="Times New Roman" w:hAnsi="Times New Roman" w:cs="Times New Roman"/>
                        <w:sz w:val="28"/>
                        <w:szCs w:val="28"/>
                        <w:lang w:eastAsia="zh-CN"/>
                      </w:rPr>
                      <w:t>—</w:t>
                    </w: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1</w:t>
                    </w:r>
                    <w:r>
                      <w:rPr>
                        <w:rFonts w:hint="default" w:ascii="Times New Roman" w:hAnsi="Times New Roman" w:cs="Times New Roman"/>
                        <w:sz w:val="28"/>
                        <w:szCs w:val="28"/>
                        <w:lang w:eastAsia="zh-CN"/>
                      </w:rPr>
                      <w:fldChar w:fldCharType="end"/>
                    </w:r>
                    <w:r>
                      <w:rPr>
                        <w:rFonts w:hint="default" w:ascii="Times New Roman" w:hAnsi="Times New Roman" w:cs="Times New Roman"/>
                        <w:sz w:val="28"/>
                        <w:szCs w:val="28"/>
                        <w:lang w:eastAsia="zh-CN"/>
                      </w:rPr>
                      <w:t>—</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4ECE7"/>
    <w:multiLevelType w:val="singleLevel"/>
    <w:tmpl w:val="F544ECE7"/>
    <w:lvl w:ilvl="0" w:tentative="0">
      <w:start w:val="1"/>
      <w:numFmt w:val="decimal"/>
      <w:lvlText w:val="%1."/>
      <w:lvlJc w:val="left"/>
      <w:pPr>
        <w:tabs>
          <w:tab w:val="left" w:pos="312"/>
        </w:tabs>
      </w:pPr>
    </w:lvl>
  </w:abstractNum>
  <w:abstractNum w:abstractNumId="1">
    <w:nsid w:val="2B42923E"/>
    <w:multiLevelType w:val="singleLevel"/>
    <w:tmpl w:val="2B42923E"/>
    <w:lvl w:ilvl="0" w:tentative="0">
      <w:start w:val="8"/>
      <w:numFmt w:val="chineseCounting"/>
      <w:suff w:val="nothing"/>
      <w:lvlText w:val="%1、"/>
      <w:lvlJc w:val="left"/>
      <w:rPr>
        <w:rFonts w:hint="eastAsia"/>
      </w:rPr>
    </w:lvl>
  </w:abstractNum>
  <w:abstractNum w:abstractNumId="2">
    <w:nsid w:val="33292F56"/>
    <w:multiLevelType w:val="singleLevel"/>
    <w:tmpl w:val="33292F56"/>
    <w:lvl w:ilvl="0" w:tentative="0">
      <w:start w:val="1"/>
      <w:numFmt w:val="chineseCounting"/>
      <w:suff w:val="nothing"/>
      <w:lvlText w:val="%1、"/>
      <w:lvlJc w:val="left"/>
      <w:rPr>
        <w:rFonts w:hint="eastAsia"/>
      </w:rPr>
    </w:lvl>
  </w:abstractNum>
  <w:abstractNum w:abstractNumId="3">
    <w:nsid w:val="426097B3"/>
    <w:multiLevelType w:val="singleLevel"/>
    <w:tmpl w:val="426097B3"/>
    <w:lvl w:ilvl="0" w:tentative="0">
      <w:start w:val="3"/>
      <w:numFmt w:val="chineseCounting"/>
      <w:suff w:val="space"/>
      <w:lvlText w:val="第%1部分"/>
      <w:lvlJc w:val="left"/>
      <w:rPr>
        <w:rFonts w:hint="eastAsia"/>
      </w:rPr>
    </w:lvl>
  </w:abstractNum>
  <w:abstractNum w:abstractNumId="4">
    <w:nsid w:val="4C3F1608"/>
    <w:multiLevelType w:val="singleLevel"/>
    <w:tmpl w:val="4C3F1608"/>
    <w:lvl w:ilvl="0" w:tentative="0">
      <w:start w:val="4"/>
      <w:numFmt w:val="chineseCounting"/>
      <w:suff w:val="nothing"/>
      <w:lvlText w:val="（%1）"/>
      <w:lvlJc w:val="left"/>
      <w:rPr>
        <w:rFonts w:hint="eastAsia"/>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5MWVjZTc0ZTk3ZDVlYjMxOTU5ZTNjNmE2NDc2ZDkifQ=="/>
  </w:docVars>
  <w:rsids>
    <w:rsidRoot w:val="00000000"/>
    <w:rsid w:val="007200AE"/>
    <w:rsid w:val="05597B30"/>
    <w:rsid w:val="058825D0"/>
    <w:rsid w:val="05D9289E"/>
    <w:rsid w:val="068838C2"/>
    <w:rsid w:val="07180E92"/>
    <w:rsid w:val="07A67A42"/>
    <w:rsid w:val="0800449F"/>
    <w:rsid w:val="089839BA"/>
    <w:rsid w:val="08C140B5"/>
    <w:rsid w:val="0A5A7755"/>
    <w:rsid w:val="0B492353"/>
    <w:rsid w:val="0FC672B4"/>
    <w:rsid w:val="110F04EA"/>
    <w:rsid w:val="117A5E54"/>
    <w:rsid w:val="11DD1A47"/>
    <w:rsid w:val="12AB744F"/>
    <w:rsid w:val="12FC5EFD"/>
    <w:rsid w:val="12FE3B58"/>
    <w:rsid w:val="13747DAA"/>
    <w:rsid w:val="14290F74"/>
    <w:rsid w:val="172355D3"/>
    <w:rsid w:val="17C4790D"/>
    <w:rsid w:val="1A604FC3"/>
    <w:rsid w:val="1B2466E5"/>
    <w:rsid w:val="1C0E2A35"/>
    <w:rsid w:val="1C817790"/>
    <w:rsid w:val="1DCD7D00"/>
    <w:rsid w:val="1EA41923"/>
    <w:rsid w:val="1EE21DA7"/>
    <w:rsid w:val="1F3C5B49"/>
    <w:rsid w:val="20017382"/>
    <w:rsid w:val="200A1C59"/>
    <w:rsid w:val="21676B90"/>
    <w:rsid w:val="21961EB7"/>
    <w:rsid w:val="21A05F7E"/>
    <w:rsid w:val="22E63D24"/>
    <w:rsid w:val="230706D2"/>
    <w:rsid w:val="2483022C"/>
    <w:rsid w:val="24A43D17"/>
    <w:rsid w:val="253B63A2"/>
    <w:rsid w:val="27857F9B"/>
    <w:rsid w:val="28A65FBE"/>
    <w:rsid w:val="28ED3EC6"/>
    <w:rsid w:val="28F25980"/>
    <w:rsid w:val="2912392D"/>
    <w:rsid w:val="2A857986"/>
    <w:rsid w:val="2BAA4F89"/>
    <w:rsid w:val="2BE83F94"/>
    <w:rsid w:val="2BF42D02"/>
    <w:rsid w:val="2BF7779C"/>
    <w:rsid w:val="2DF33D2D"/>
    <w:rsid w:val="2E474078"/>
    <w:rsid w:val="2F062D4A"/>
    <w:rsid w:val="2F081A5A"/>
    <w:rsid w:val="2F5F53F2"/>
    <w:rsid w:val="2F8119D0"/>
    <w:rsid w:val="306C16BA"/>
    <w:rsid w:val="34572B3B"/>
    <w:rsid w:val="34E97C37"/>
    <w:rsid w:val="34EA2EB6"/>
    <w:rsid w:val="34F62908"/>
    <w:rsid w:val="353B695E"/>
    <w:rsid w:val="35F8004F"/>
    <w:rsid w:val="367D0F7F"/>
    <w:rsid w:val="37FD1273"/>
    <w:rsid w:val="383E20AE"/>
    <w:rsid w:val="390037A2"/>
    <w:rsid w:val="39F72424"/>
    <w:rsid w:val="3BCC6624"/>
    <w:rsid w:val="3C411FBF"/>
    <w:rsid w:val="3C4F2C50"/>
    <w:rsid w:val="3D202B6E"/>
    <w:rsid w:val="3DA60130"/>
    <w:rsid w:val="3DE7202B"/>
    <w:rsid w:val="40586425"/>
    <w:rsid w:val="407F4022"/>
    <w:rsid w:val="40A44CAE"/>
    <w:rsid w:val="40EE263D"/>
    <w:rsid w:val="41140BAD"/>
    <w:rsid w:val="412946A5"/>
    <w:rsid w:val="4268313C"/>
    <w:rsid w:val="43DA5B87"/>
    <w:rsid w:val="44C60C63"/>
    <w:rsid w:val="465D2233"/>
    <w:rsid w:val="467E1CDE"/>
    <w:rsid w:val="47624169"/>
    <w:rsid w:val="4787624B"/>
    <w:rsid w:val="4A5D4FCC"/>
    <w:rsid w:val="4C746661"/>
    <w:rsid w:val="4C8C3F07"/>
    <w:rsid w:val="4C96024D"/>
    <w:rsid w:val="4D555CB1"/>
    <w:rsid w:val="50F6575E"/>
    <w:rsid w:val="51D443D7"/>
    <w:rsid w:val="52ED5CD2"/>
    <w:rsid w:val="542F756E"/>
    <w:rsid w:val="54585F9A"/>
    <w:rsid w:val="54777E46"/>
    <w:rsid w:val="55A82D9F"/>
    <w:rsid w:val="57327F9E"/>
    <w:rsid w:val="57B31914"/>
    <w:rsid w:val="5BA364E3"/>
    <w:rsid w:val="5DE402B6"/>
    <w:rsid w:val="5ECA371C"/>
    <w:rsid w:val="5EEA788C"/>
    <w:rsid w:val="604A5C2C"/>
    <w:rsid w:val="604F1129"/>
    <w:rsid w:val="61AE73DF"/>
    <w:rsid w:val="6271733B"/>
    <w:rsid w:val="62C17492"/>
    <w:rsid w:val="62F51C0D"/>
    <w:rsid w:val="63462575"/>
    <w:rsid w:val="639835A3"/>
    <w:rsid w:val="63C27722"/>
    <w:rsid w:val="641A130C"/>
    <w:rsid w:val="64210BE2"/>
    <w:rsid w:val="643E789A"/>
    <w:rsid w:val="646627A3"/>
    <w:rsid w:val="658F7A85"/>
    <w:rsid w:val="67807FEC"/>
    <w:rsid w:val="684E5161"/>
    <w:rsid w:val="687B3694"/>
    <w:rsid w:val="6B5549CB"/>
    <w:rsid w:val="6B6066A7"/>
    <w:rsid w:val="6B8342AA"/>
    <w:rsid w:val="6B8B53BC"/>
    <w:rsid w:val="6BB34631"/>
    <w:rsid w:val="6BDF592F"/>
    <w:rsid w:val="6D745521"/>
    <w:rsid w:val="6DA422E5"/>
    <w:rsid w:val="6F7F5582"/>
    <w:rsid w:val="6FA755CF"/>
    <w:rsid w:val="6FC7523D"/>
    <w:rsid w:val="70846AFD"/>
    <w:rsid w:val="70944AE4"/>
    <w:rsid w:val="70E57BE1"/>
    <w:rsid w:val="724759C2"/>
    <w:rsid w:val="72614EAD"/>
    <w:rsid w:val="73F15019"/>
    <w:rsid w:val="749073E1"/>
    <w:rsid w:val="75D346FE"/>
    <w:rsid w:val="767D6EE6"/>
    <w:rsid w:val="76BF646F"/>
    <w:rsid w:val="77CA6886"/>
    <w:rsid w:val="7984574E"/>
    <w:rsid w:val="79E71E80"/>
    <w:rsid w:val="7AF0130D"/>
    <w:rsid w:val="7B034F43"/>
    <w:rsid w:val="7CFF46EC"/>
    <w:rsid w:val="7EE12780"/>
    <w:rsid w:val="7F7B4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2"/>
      <w:szCs w:val="32"/>
      <w:lang w:val="en-US" w:eastAsia="en-US" w:bidi="ar-SA"/>
    </w:rPr>
  </w:style>
  <w:style w:type="paragraph" w:styleId="3">
    <w:name w:val="Body Text Indent"/>
    <w:basedOn w:val="1"/>
    <w:next w:val="1"/>
    <w:qFormat/>
    <w:uiPriority w:val="0"/>
    <w:pPr>
      <w:ind w:firstLine="630"/>
    </w:pPr>
    <w:rPr>
      <w:rFonts w:ascii="仿宋_GB2312" w:eastAsia="仿宋_GB2312"/>
      <w:sz w:val="32"/>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footnote text"/>
    <w:basedOn w:val="1"/>
    <w:next w:val="1"/>
    <w:qFormat/>
    <w:uiPriority w:val="0"/>
    <w:pPr>
      <w:snapToGrid w:val="0"/>
      <w:jc w:val="left"/>
    </w:pPr>
    <w:rPr>
      <w:sz w:val="32"/>
    </w:rPr>
  </w:style>
  <w:style w:type="paragraph" w:styleId="7">
    <w:name w:val="Body Text First Indent 2"/>
    <w:basedOn w:val="3"/>
    <w:next w:val="1"/>
    <w:qFormat/>
    <w:uiPriority w:val="0"/>
    <w:pPr>
      <w:widowControl/>
      <w:adjustRightInd/>
      <w:snapToGrid/>
      <w:spacing w:line="540" w:lineRule="exact"/>
      <w:ind w:firstLine="420" w:firstLineChars="0"/>
      <w:jc w:val="left"/>
    </w:pPr>
  </w:style>
  <w:style w:type="table" w:customStyle="1" w:styleId="10">
    <w:name w:val="Table Normal"/>
    <w:semiHidden/>
    <w:unhideWhenUsed/>
    <w:qFormat/>
    <w:uiPriority w:val="0"/>
    <w:tblPr>
      <w:tblCellMar>
        <w:top w:w="0" w:type="dxa"/>
        <w:left w:w="0" w:type="dxa"/>
        <w:bottom w:w="0" w:type="dxa"/>
        <w:right w:w="0" w:type="dxa"/>
      </w:tblCellMar>
    </w:tblPr>
  </w:style>
  <w:style w:type="paragraph" w:customStyle="1" w:styleId="11">
    <w:name w:val="Table Text"/>
    <w:basedOn w:val="1"/>
    <w:semiHidden/>
    <w:qFormat/>
    <w:uiPriority w:val="0"/>
    <w:rPr>
      <w:rFonts w:ascii="Arial" w:hAnsi="Arial" w:eastAsia="Arial" w:cs="Arial"/>
      <w:sz w:val="21"/>
      <w:szCs w:val="21"/>
      <w:lang w:val="en-US" w:eastAsia="en-US" w:bidi="ar-SA"/>
    </w:rPr>
  </w:style>
  <w:style w:type="paragraph" w:customStyle="1" w:styleId="12">
    <w:name w:val="正文缩进 + 首行缩进:  2 字符"/>
    <w:basedOn w:val="1"/>
    <w:qFormat/>
    <w:uiPriority w:val="0"/>
    <w:pPr>
      <w:spacing w:line="560" w:lineRule="exact"/>
      <w:ind w:firstLine="640"/>
    </w:pPr>
    <w:rPr>
      <w:rFonts w:ascii="仿宋" w:hAnsi="仿宋" w:eastAsia="仿宋" w:cs="宋体"/>
      <w:sz w:val="32"/>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chart" Target="charts/chart2.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4920;%20&#22312;%2043&#20809;&#35895;&#20843;&#21021;%20&#38468;&#20214;1-2024&#24180;&#24230;&#37096;&#38376;&#20915;&#31639;&#20844;&#24320;&#27169;&#26495;.doc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24037;&#20316;&#34920;%20&#22312;%2043&#20809;&#35895;&#20843;&#21021;%20&#38468;&#20214;1-2024&#24180;&#24230;&#37096;&#38376;&#20915;&#31639;&#20844;&#24320;&#27169;&#26495;.doc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20850118072"/>
          <c:y val="0.18268416596105"/>
          <c:w val="0.894624253368523"/>
          <c:h val="0.755165114309907"/>
        </c:manualLayout>
      </c:layout>
      <c:barChart>
        <c:barDir val="col"/>
        <c:grouping val="clustered"/>
        <c:varyColors val="0"/>
        <c:ser>
          <c:idx val="0"/>
          <c:order val="0"/>
          <c:tx>
            <c:strRef>
              <c:f>'[工作表 在 43光谷八初 附件1-2024年度部门决算公开模板.docx]Sheet1'!$B$3</c:f>
              <c:strCache>
                <c:ptCount val="1"/>
                <c:pt idx="0">
                  <c:v>收支总计（万元）</c:v>
                </c:pt>
              </c:strCache>
            </c:strRef>
          </c:tx>
          <c:spPr>
            <a:solidFill>
              <a:srgbClr val="5B9BD5">
                <a:alpha val="100000"/>
              </a:srgbClr>
            </a:solidFill>
            <a:ln w="3175">
              <a:noFill/>
            </a:ln>
          </c:spPr>
          <c:invertIfNegative val="0"/>
          <c:dLbls>
            <c:delete val="1"/>
          </c:dLbls>
          <c:cat>
            <c:strRef>
              <c:f>'[工作表 在 43光谷八初 附件1-2024年度部门决算公开模板.docx]Sheet1'!$C$2:$D$2</c:f>
              <c:strCache>
                <c:ptCount val="2"/>
                <c:pt idx="0">
                  <c:v>2023年度</c:v>
                </c:pt>
                <c:pt idx="1">
                  <c:v>2024年度</c:v>
                </c:pt>
              </c:strCache>
            </c:strRef>
          </c:cat>
          <c:val>
            <c:numRef>
              <c:f>'[工作表 在 43光谷八初 附件1-2024年度部门决算公开模板.docx]Sheet1'!$C$3:$D$3</c:f>
              <c:numCache>
                <c:formatCode>General</c:formatCode>
                <c:ptCount val="2"/>
                <c:pt idx="0">
                  <c:v>2613.08</c:v>
                </c:pt>
                <c:pt idx="1">
                  <c:v>2742.94</c:v>
                </c:pt>
              </c:numCache>
            </c:numRef>
          </c:val>
        </c:ser>
        <c:dLbls>
          <c:showLegendKey val="0"/>
          <c:showVal val="0"/>
          <c:showCatName val="0"/>
          <c:showSerName val="0"/>
          <c:showPercent val="0"/>
          <c:showBubbleSize val="0"/>
        </c:dLbls>
        <c:gapWidth val="219"/>
        <c:overlap val="-27"/>
        <c:axId val="785886134"/>
        <c:axId val="761635586"/>
      </c:barChart>
      <c:catAx>
        <c:axId val="785886134"/>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61635586"/>
        <c:crosses val="autoZero"/>
        <c:auto val="1"/>
        <c:lblAlgn val="ctr"/>
        <c:lblOffset val="100"/>
        <c:noMultiLvlLbl val="0"/>
      </c:catAx>
      <c:valAx>
        <c:axId val="76163558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3175"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5886134"/>
        <c:crosses val="autoZero"/>
        <c:crossBetween val="between"/>
      </c:valAx>
      <c:spPr>
        <a:noFill/>
        <a:ln w="3175">
          <a:noFill/>
        </a:ln>
      </c:spPr>
    </c:plotArea>
    <c:legend>
      <c:legendPos val="b"/>
      <c:layout>
        <c:manualLayout>
          <c:xMode val="edge"/>
          <c:yMode val="edge"/>
          <c:x val="0.3795"/>
          <c:y val="0.905"/>
          <c:w val="0.24075"/>
          <c:h val="0.06975"/>
        </c:manualLayout>
      </c:layout>
      <c:overlay val="0"/>
      <c:spPr>
        <a:noFill/>
        <a:ln w="3175">
          <a:noFill/>
        </a:ln>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5317f2e-1925-4d55-8380-68d7057e1449}"/>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50833333333333"/>
          <c:y val="0.037967768369298"/>
          <c:w val="0.882416666666667"/>
          <c:h val="0.756459983611035"/>
        </c:manualLayout>
      </c:layout>
      <c:lineChart>
        <c:grouping val="standard"/>
        <c:varyColors val="0"/>
        <c:ser>
          <c:idx val="0"/>
          <c:order val="0"/>
          <c:tx>
            <c:strRef>
              <c:f>'[工作表 在 43光谷八初 附件1-2024年度部门决算公开模板.docx]Sheet1'!$B$3</c:f>
              <c:strCache>
                <c:ptCount val="1"/>
                <c:pt idx="0">
                  <c:v>一般公共预算收入</c:v>
                </c:pt>
              </c:strCache>
            </c:strRef>
          </c:tx>
          <c:marker>
            <c:symbol val="none"/>
          </c:marker>
          <c:dLbls>
            <c:delete val="1"/>
          </c:dLbls>
          <c:cat>
            <c:strRef>
              <c:f>'[工作表 在 43光谷八初 附件1-2024年度部门决算公开模板.docx]Sheet1'!$C$2:$D$2</c:f>
              <c:strCache>
                <c:ptCount val="2"/>
                <c:pt idx="0">
                  <c:v>2023年度</c:v>
                </c:pt>
                <c:pt idx="1">
                  <c:v>2024年度</c:v>
                </c:pt>
              </c:strCache>
            </c:strRef>
          </c:cat>
          <c:val>
            <c:numRef>
              <c:f>'[工作表 在 43光谷八初 附件1-2024年度部门决算公开模板.docx]Sheet1'!$C$3:$D$3</c:f>
              <c:numCache>
                <c:formatCode>General</c:formatCode>
                <c:ptCount val="2"/>
                <c:pt idx="0">
                  <c:v>2517.77</c:v>
                </c:pt>
                <c:pt idx="1">
                  <c:v>2647.6</c:v>
                </c:pt>
              </c:numCache>
            </c:numRef>
          </c:val>
          <c:smooth val="0"/>
        </c:ser>
        <c:dLbls>
          <c:showLegendKey val="0"/>
          <c:showVal val="0"/>
          <c:showCatName val="0"/>
          <c:showSerName val="0"/>
          <c:showPercent val="0"/>
          <c:showBubbleSize val="0"/>
        </c:dLbls>
        <c:marker val="0"/>
        <c:smooth val="0"/>
        <c:axId val="283858020"/>
        <c:axId val="342302372"/>
      </c:lineChart>
      <c:catAx>
        <c:axId val="283858020"/>
        <c:scaling>
          <c:orientation val="minMax"/>
        </c:scaling>
        <c:delete val="0"/>
        <c:axPos val="b"/>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2302372"/>
        <c:crosses val="autoZero"/>
        <c:auto val="1"/>
        <c:lblAlgn val="ctr"/>
        <c:lblOffset val="100"/>
        <c:noMultiLvlLbl val="0"/>
      </c:catAx>
      <c:valAx>
        <c:axId val="3423023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ln w="3175" cap="flat" cmpd="sng" algn="ctr">
            <a:noFill/>
            <a:prstDash val="solid"/>
            <a:round/>
          </a:ln>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3858020"/>
        <c:crosses val="autoZero"/>
        <c:crossBetween val="between"/>
      </c:valAx>
      <c:spPr>
        <a:noFill/>
        <a:ln w="3175">
          <a:noFill/>
        </a:ln>
      </c:spPr>
    </c:plotArea>
    <c:legend>
      <c:legendPos val="r"/>
      <c:layout>
        <c:manualLayout>
          <c:xMode val="edge"/>
          <c:yMode val="edge"/>
          <c:x val="0.09325"/>
          <c:y val="0.8885"/>
          <c:w val="0.819444444444444"/>
          <c:h val="0.0945038605004306"/>
        </c:manualLayout>
      </c:layout>
      <c:overlay val="0"/>
      <c:spPr>
        <a:noFill/>
        <a:ln w="3175">
          <a:noFill/>
        </a:ln>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a96fef9b-40f7-4592-99fd-b14ad4f8c22f}"/>
      </c:ext>
    </c:extLst>
  </c:chart>
  <c:spPr>
    <a:solidFill>
      <a:schemeClr val="bg1"/>
    </a:solidFill>
    <a:ln w="9525" cap="flat" cmpd="sng" algn="ctr">
      <a:solidFill>
        <a:schemeClr val="tx1">
          <a:lumMod val="15000"/>
          <a:lumOff val="85000"/>
        </a:schemeClr>
      </a:solidFill>
      <a:prstDash val="solid"/>
      <a:round/>
    </a:ln>
    <a:effectLst/>
  </c:spPr>
  <c:txPr>
    <a:bodyPr wrap="square"/>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2726</Words>
  <Characters>3515</Characters>
  <Lines>0</Lines>
  <Paragraphs>0</Paragraphs>
  <TotalTime>45</TotalTime>
  <ScaleCrop>false</ScaleCrop>
  <LinksUpToDate>false</LinksUpToDate>
  <CharactersWithSpaces>3515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Aurora</cp:lastModifiedBy>
  <cp:lastPrinted>2025-09-11T03:25:00Z</cp:lastPrinted>
  <dcterms:modified xsi:type="dcterms:W3CDTF">2025-09-22T02:37:30Z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A815DB95A70D44C18859D3165847FFCE_13</vt:lpwstr>
  </property>
  <property fmtid="{D5CDD505-2E9C-101B-9397-08002B2CF9AE}" pid="4" name="KSOTemplateDocerSaveRecord">
    <vt:lpwstr>eyJoZGlkIjoiYzA5N2MxMDczZjdjMzdiY2FjMTZkNDRhMTBkNzcyNjgiLCJ1c2VySWQiOiIxMDY4MDQyMDkyIn0=</vt:lpwstr>
  </property>
</Properties>
</file>