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BF" w:rsidRDefault="007133B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7133BF" w:rsidRDefault="007133B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7133BF" w:rsidRDefault="007133BF">
      <w:pPr>
        <w:spacing w:line="560" w:lineRule="atLeast"/>
        <w:jc w:val="center"/>
        <w:rPr>
          <w:rFonts w:ascii="创艺简标宋" w:eastAsia="创艺简标宋"/>
          <w:w w:val="90"/>
          <w:kern w:val="44"/>
          <w:sz w:val="52"/>
          <w:szCs w:val="52"/>
        </w:rPr>
      </w:pPr>
    </w:p>
    <w:p w:rsidR="007133BF" w:rsidRDefault="00286CE1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武汉东湖新技术开发区预算项目绩效自评报告</w:t>
      </w: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both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C1680F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</w:t>
      </w:r>
      <w:r w:rsidR="00286CE1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项目名称：</w:t>
      </w:r>
      <w:r w:rsidR="00286CE1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民兵训练及征兵项目</w:t>
      </w:r>
    </w:p>
    <w:p w:rsidR="007133BF" w:rsidRPr="00F90E08" w:rsidRDefault="00286CE1">
      <w:pPr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项目单位：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东湖新技术开发区豹澥街道办事处</w:t>
      </w:r>
    </w:p>
    <w:p w:rsidR="007133BF" w:rsidRDefault="00286CE1">
      <w:pP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    区财政局主管业务处室：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   </w:t>
      </w:r>
      <w:r w:rsidR="00F90E08"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 xml:space="preserve">行财科   </w:t>
      </w:r>
    </w:p>
    <w:p w:rsidR="00F90E08" w:rsidRDefault="00F90E08" w:rsidP="00F90E08">
      <w:pPr>
        <w:ind w:firstLineChars="247" w:firstLine="744"/>
        <w:rPr>
          <w:rFonts w:asciiTheme="minorEastAsia" w:eastAsiaTheme="minorEastAsia" w:hAnsiTheme="minorEastAsia" w:cstheme="minorEastAsia"/>
          <w:b/>
          <w:sz w:val="30"/>
          <w:szCs w:val="30"/>
          <w:u w:val="single"/>
        </w:rPr>
      </w:pPr>
      <w:r w:rsidRPr="00F90E08"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>评价机构：</w:t>
      </w:r>
      <w:r>
        <w:rPr>
          <w:rFonts w:asciiTheme="minorEastAsia" w:eastAsiaTheme="minorEastAsia" w:hAnsiTheme="minorEastAsia" w:cstheme="minorEastAsia" w:hint="eastAsia"/>
          <w:b/>
          <w:sz w:val="30"/>
          <w:szCs w:val="30"/>
          <w:u w:val="single"/>
        </w:rPr>
        <w:t>武汉真道会计师事务有限公司</w:t>
      </w: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7133BF" w:rsidRDefault="007133BF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7133BF" w:rsidRDefault="007133BF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7133BF" w:rsidRDefault="00286CE1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2018年5月</w:t>
      </w:r>
    </w:p>
    <w:p w:rsidR="007133BF" w:rsidRDefault="007133BF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  <w:sectPr w:rsidR="007133BF">
          <w:head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7133BF" w:rsidRDefault="00286CE1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lastRenderedPageBreak/>
        <w:t>武汉东湖新技术开发区豹澥街道办事处2017年民兵训练及征兵项目经费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绩效自评报告</w:t>
      </w:r>
    </w:p>
    <w:p w:rsidR="007133BF" w:rsidRDefault="007133BF">
      <w:pPr>
        <w:pStyle w:val="10"/>
        <w:spacing w:line="360" w:lineRule="auto"/>
        <w:ind w:firstLineChars="0" w:firstLine="0"/>
        <w:rPr>
          <w:rFonts w:ascii="宋体" w:hAnsi="宋体"/>
          <w:b/>
          <w:sz w:val="28"/>
          <w:szCs w:val="28"/>
        </w:rPr>
      </w:pPr>
    </w:p>
    <w:p w:rsidR="007133BF" w:rsidRDefault="00286CE1">
      <w:pPr>
        <w:pStyle w:val="10"/>
        <w:spacing w:line="360" w:lineRule="auto"/>
        <w:ind w:firstLineChars="0" w:firstLine="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一、基本情况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一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项目概况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豹澥街道办事处为了落实民兵训练及征兵，为部队输送了合格兵源，加强国防建设，按照省市区有关政策，对豹澥街道办事处民兵训练及征兵经费予以保障。民兵训练及征兵经费主要用于征兵和民兵训练。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201</w:t>
      </w:r>
      <w:r>
        <w:rPr>
          <w:rFonts w:ascii="宋体" w:eastAsia="宋体" w:hAnsi="宋体" w:hint="eastAsia"/>
          <w:kern w:val="2"/>
          <w:sz w:val="28"/>
          <w:szCs w:val="28"/>
        </w:rPr>
        <w:t>7年豹澥街民兵训练及征兵项目实际支出12.95万元。民兵训练及征兵项目完成了相关目标任务。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(</w:t>
      </w:r>
      <w:r>
        <w:rPr>
          <w:rFonts w:ascii="宋体" w:eastAsia="宋体" w:hAnsi="宋体" w:hint="eastAsia"/>
          <w:kern w:val="2"/>
          <w:sz w:val="28"/>
          <w:szCs w:val="28"/>
        </w:rPr>
        <w:t>二</w:t>
      </w:r>
      <w:r>
        <w:rPr>
          <w:rFonts w:ascii="宋体" w:eastAsia="宋体" w:hAnsi="宋体"/>
          <w:kern w:val="2"/>
          <w:sz w:val="28"/>
          <w:szCs w:val="28"/>
        </w:rPr>
        <w:t>)</w:t>
      </w:r>
      <w:r>
        <w:rPr>
          <w:rFonts w:ascii="宋体" w:eastAsia="宋体" w:hAnsi="宋体" w:hint="eastAsia"/>
          <w:kern w:val="2"/>
          <w:sz w:val="28"/>
          <w:szCs w:val="28"/>
        </w:rPr>
        <w:t>项目预算绩效目标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项目总目标：建立一支训练有素的民兵预备役应急队伍，并每年为部队输送合格兵源。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具体绩效目标分解如下：</w:t>
      </w:r>
    </w:p>
    <w:p w:rsidR="007133BF" w:rsidRDefault="00286CE1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数量指标：民兵应急分队抽点30人、民兵应急分队训练30人、征兵进站体检32人；质量指标：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征兵完成率100%、资金使用合规率98%、民兵整组完成率100%；时效指标：2017年年内完成民兵训练及征兵工作；成本指标：实际经费支出小于年初申报金额</w:t>
      </w:r>
      <w:r>
        <w:rPr>
          <w:rFonts w:ascii="宋体" w:eastAsia="宋体" w:hAnsi="宋体" w:hint="eastAsia"/>
          <w:kern w:val="2"/>
          <w:sz w:val="28"/>
          <w:szCs w:val="28"/>
        </w:rPr>
        <w:t>。</w:t>
      </w:r>
    </w:p>
    <w:p w:rsidR="007133BF" w:rsidRDefault="00286CE1"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效果目标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：圆满完成义务兵征集活动；社会效益：营造关心支持国防建设的浓厚氛围，增强广大适龄青年和有关人员依法服兵役、勇于参战的自觉性和自豪感；可持续发展影响：认真贯彻《兵役法》，圆满完成征兵任务；服务对象满意度：服务对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满意度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100%。</w:t>
      </w:r>
    </w:p>
    <w:p w:rsidR="007133BF" w:rsidRDefault="007133B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</w:p>
    <w:p w:rsidR="007133BF" w:rsidRDefault="00286CE1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二、项目绩效分析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（一）项目管理情况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1.业务管理情况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（1）领导重视，组织保障。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民兵训练及征兵工作对维护国防安全、增强我国战略后备力量方面具有重要意义，因此街道领导非常重视此项工作，指定街党群办安排专人负责民兵训练及征兵工作，并要求各社区（村）积极配合完成此项工作。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（2）严守规范，认真执行。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街党群办按照“编组科学、布局合理”的原则，坚持民兵组织整顿“七个规范”的工作标准，把民兵分队人员落实到位，严格落实新颁发的《民兵军事训练与考核大纲》，改进训练方法，突出战时动员、防空作战、参战支前、反恐维稳等课题的训练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（3）严把征兵质量关。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街党群办扎实做好兵役登记工作，严格征兵政策和程序，为确保兵源质量和工作的顺利进行严格把好“五关”：一是注重兵源质量，严把兵源关；二是吃透政策，严把方向关；三是重视体检，严把身体关；四是广泛走访，严把素质关；五是注重协调，严把送兵关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2.财务管理情况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2017年民兵训练及征兵项目预算16万元，实际到位12.95万元，项目实际执行12.95万元。经费支出按照先申请再审批后支付的原则进行，项目资金单独核算，资金的拨付有完整的审批程序和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手续，中途绝不截留资金，对资金采取封闭式管理。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（二）项目绩效目标的完成情况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/>
          <w:kern w:val="2"/>
          <w:sz w:val="28"/>
          <w:szCs w:val="28"/>
        </w:rPr>
        <w:t>1.</w:t>
      </w:r>
      <w:r>
        <w:rPr>
          <w:rFonts w:ascii="宋体" w:eastAsia="宋体" w:hAnsi="宋体" w:hint="eastAsia"/>
          <w:kern w:val="2"/>
          <w:sz w:val="28"/>
          <w:szCs w:val="28"/>
        </w:rPr>
        <w:t>产出目标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208"/>
        <w:gridCol w:w="3192"/>
        <w:gridCol w:w="2371"/>
      </w:tblGrid>
      <w:tr w:rsidR="007133BF">
        <w:trPr>
          <w:trHeight w:val="405"/>
          <w:tblHeader/>
        </w:trPr>
        <w:tc>
          <w:tcPr>
            <w:tcW w:w="75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二级指标</w:t>
            </w:r>
          </w:p>
        </w:tc>
        <w:tc>
          <w:tcPr>
            <w:tcW w:w="2208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指标内容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指标值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实际完成值</w:t>
            </w:r>
          </w:p>
        </w:tc>
      </w:tr>
      <w:tr w:rsidR="007133BF">
        <w:trPr>
          <w:trHeight w:val="963"/>
        </w:trPr>
        <w:tc>
          <w:tcPr>
            <w:tcW w:w="751" w:type="dxa"/>
            <w:vMerge w:val="restart"/>
            <w:vAlign w:val="center"/>
          </w:tcPr>
          <w:p w:rsidR="007133BF" w:rsidRDefault="00286CE1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数量指标</w:t>
            </w:r>
          </w:p>
        </w:tc>
        <w:tc>
          <w:tcPr>
            <w:tcW w:w="2208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民兵应急分队抽点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目标值：30人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民兵应急分队抽点35人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7133BF">
        <w:trPr>
          <w:trHeight w:val="1027"/>
        </w:trPr>
        <w:tc>
          <w:tcPr>
            <w:tcW w:w="751" w:type="dxa"/>
            <w:vMerge/>
            <w:vAlign w:val="center"/>
          </w:tcPr>
          <w:p w:rsidR="007133BF" w:rsidRDefault="007133BF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208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民兵应急分队训练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目标值：30人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民兵应急分队训练40人。完成100%</w:t>
            </w:r>
          </w:p>
        </w:tc>
      </w:tr>
      <w:tr w:rsidR="007133BF">
        <w:trPr>
          <w:trHeight w:val="630"/>
        </w:trPr>
        <w:tc>
          <w:tcPr>
            <w:tcW w:w="751" w:type="dxa"/>
            <w:vMerge/>
            <w:vAlign w:val="center"/>
          </w:tcPr>
          <w:p w:rsidR="007133BF" w:rsidRDefault="007133B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208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征兵进站体检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32人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征兵进站体检35人。完成100%</w:t>
            </w:r>
          </w:p>
        </w:tc>
      </w:tr>
      <w:tr w:rsidR="007133BF">
        <w:trPr>
          <w:trHeight w:val="799"/>
        </w:trPr>
        <w:tc>
          <w:tcPr>
            <w:tcW w:w="751" w:type="dxa"/>
            <w:vMerge w:val="restart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质量指标</w:t>
            </w:r>
          </w:p>
        </w:tc>
        <w:tc>
          <w:tcPr>
            <w:tcW w:w="2208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征兵完成率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全年征兵工作圆满完成上级目标。完成100%</w:t>
            </w:r>
          </w:p>
        </w:tc>
      </w:tr>
      <w:tr w:rsidR="007133BF">
        <w:trPr>
          <w:trHeight w:val="1877"/>
        </w:trPr>
        <w:tc>
          <w:tcPr>
            <w:tcW w:w="751" w:type="dxa"/>
            <w:vMerge/>
            <w:vAlign w:val="center"/>
          </w:tcPr>
          <w:p w:rsidR="007133BF" w:rsidRDefault="007133B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208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资金使用合规性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①项目资金使用是否符合相关的财务管理制度规定；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br/>
              <w:t>②相关经费发放是否按照国家相关规定标准发放。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br/>
              <w:t>用以反映和考核项目资金的规范运行情况。</w:t>
            </w:r>
          </w:p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目标值：98%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资金使用100%按照相关规定执行</w:t>
            </w:r>
          </w:p>
        </w:tc>
      </w:tr>
      <w:tr w:rsidR="007133BF">
        <w:trPr>
          <w:trHeight w:val="863"/>
        </w:trPr>
        <w:tc>
          <w:tcPr>
            <w:tcW w:w="751" w:type="dxa"/>
            <w:vMerge/>
            <w:vAlign w:val="center"/>
          </w:tcPr>
          <w:p w:rsidR="007133BF" w:rsidRDefault="007133BF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208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民兵整组完成率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对全部民兵进行了整组。完成100%</w:t>
            </w:r>
          </w:p>
        </w:tc>
      </w:tr>
      <w:tr w:rsidR="007133BF">
        <w:trPr>
          <w:trHeight w:val="405"/>
        </w:trPr>
        <w:tc>
          <w:tcPr>
            <w:tcW w:w="75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时效指标</w:t>
            </w:r>
          </w:p>
        </w:tc>
        <w:tc>
          <w:tcPr>
            <w:tcW w:w="2208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2017年年内完成民兵训练及征兵工作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jc w:val="both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在2017年内圆满完成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民兵训练及征兵工作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。完成100%</w:t>
            </w:r>
          </w:p>
        </w:tc>
      </w:tr>
      <w:tr w:rsidR="007133BF">
        <w:trPr>
          <w:trHeight w:val="1283"/>
        </w:trPr>
        <w:tc>
          <w:tcPr>
            <w:tcW w:w="751" w:type="dxa"/>
            <w:vAlign w:val="center"/>
          </w:tcPr>
          <w:p w:rsidR="007133BF" w:rsidRDefault="00286CE1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成本指标</w:t>
            </w:r>
          </w:p>
        </w:tc>
        <w:tc>
          <w:tcPr>
            <w:tcW w:w="2208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达标项目成本节约</w:t>
            </w:r>
          </w:p>
        </w:tc>
        <w:tc>
          <w:tcPr>
            <w:tcW w:w="319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实际经费支出小于年初申报金额</w:t>
            </w:r>
          </w:p>
        </w:tc>
        <w:tc>
          <w:tcPr>
            <w:tcW w:w="237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预算金额16万元，实际发生金额12.95万元，节约3.05万元</w:t>
            </w:r>
          </w:p>
        </w:tc>
      </w:tr>
    </w:tbl>
    <w:p w:rsidR="007133BF" w:rsidRDefault="007133B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数量指标、质量指标、时效指标和成本指标全部完成。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2.效果目标</w:t>
      </w:r>
    </w:p>
    <w:p w:rsidR="007133BF" w:rsidRDefault="007133B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7133BF" w:rsidRDefault="007133B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2"/>
        <w:gridCol w:w="2411"/>
        <w:gridCol w:w="1812"/>
        <w:gridCol w:w="2287"/>
      </w:tblGrid>
      <w:tr w:rsidR="007133BF">
        <w:trPr>
          <w:trHeight w:val="405"/>
          <w:tblHeader/>
        </w:trPr>
        <w:tc>
          <w:tcPr>
            <w:tcW w:w="20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二级指标</w:t>
            </w:r>
          </w:p>
        </w:tc>
        <w:tc>
          <w:tcPr>
            <w:tcW w:w="241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指标内容</w:t>
            </w:r>
          </w:p>
        </w:tc>
        <w:tc>
          <w:tcPr>
            <w:tcW w:w="18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指标值</w:t>
            </w:r>
          </w:p>
        </w:tc>
        <w:tc>
          <w:tcPr>
            <w:tcW w:w="2287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实际完成值</w:t>
            </w:r>
          </w:p>
        </w:tc>
      </w:tr>
      <w:tr w:rsidR="007133BF">
        <w:trPr>
          <w:trHeight w:val="405"/>
        </w:trPr>
        <w:tc>
          <w:tcPr>
            <w:tcW w:w="20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经济效益</w:t>
            </w:r>
          </w:p>
        </w:tc>
        <w:tc>
          <w:tcPr>
            <w:tcW w:w="241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推动工作落实，确保圆满完成义务兵征集活动</w:t>
            </w:r>
          </w:p>
        </w:tc>
        <w:tc>
          <w:tcPr>
            <w:tcW w:w="18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287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圆满完成了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义务兵征集活动。完成：优</w:t>
            </w:r>
          </w:p>
        </w:tc>
      </w:tr>
      <w:tr w:rsidR="007133BF">
        <w:trPr>
          <w:trHeight w:val="405"/>
        </w:trPr>
        <w:tc>
          <w:tcPr>
            <w:tcW w:w="20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社会效益</w:t>
            </w:r>
          </w:p>
        </w:tc>
        <w:tc>
          <w:tcPr>
            <w:tcW w:w="241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营造关心支持国防建设的浓厚氛围，增强广大适龄青年和有关人员依法服兵役、勇于参战的自觉性和自豪感。</w:t>
            </w:r>
          </w:p>
        </w:tc>
        <w:tc>
          <w:tcPr>
            <w:tcW w:w="18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287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通过该项目在一定程度上营造了关心支持国防建设的浓厚氛围，增强了广大适龄青年和有关人员依法服兵役、勇于参战的自觉性和自豪感。完成：优</w:t>
            </w:r>
          </w:p>
        </w:tc>
      </w:tr>
      <w:tr w:rsidR="007133BF">
        <w:trPr>
          <w:trHeight w:val="1363"/>
        </w:trPr>
        <w:tc>
          <w:tcPr>
            <w:tcW w:w="20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可持续发展影响</w:t>
            </w:r>
          </w:p>
        </w:tc>
        <w:tc>
          <w:tcPr>
            <w:tcW w:w="241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认真贯彻《兵役法》，圆满完成征兵任务</w:t>
            </w:r>
          </w:p>
        </w:tc>
        <w:tc>
          <w:tcPr>
            <w:tcW w:w="18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优良</w:t>
            </w:r>
          </w:p>
        </w:tc>
        <w:tc>
          <w:tcPr>
            <w:tcW w:w="2287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认真贯彻了《兵役法》，圆满完成了征兵任务。完成：优</w:t>
            </w:r>
          </w:p>
        </w:tc>
      </w:tr>
      <w:tr w:rsidR="007133BF">
        <w:trPr>
          <w:trHeight w:val="675"/>
        </w:trPr>
        <w:tc>
          <w:tcPr>
            <w:tcW w:w="20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2411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服务对象满意度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1812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目标值：100%</w:t>
            </w:r>
          </w:p>
        </w:tc>
        <w:tc>
          <w:tcPr>
            <w:tcW w:w="2287" w:type="dxa"/>
            <w:vAlign w:val="center"/>
          </w:tcPr>
          <w:p w:rsidR="007133BF" w:rsidRDefault="00286C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100%</w:t>
            </w:r>
          </w:p>
        </w:tc>
      </w:tr>
    </w:tbl>
    <w:p w:rsidR="007133BF" w:rsidRDefault="007133BF">
      <w:pPr>
        <w:widowControl w:val="0"/>
        <w:adjustRightInd/>
        <w:snapToGrid/>
        <w:spacing w:after="0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经济效益指标、社会效益指标、可持续发展影响指标和服务对象满意度指标全部完成。</w:t>
      </w:r>
    </w:p>
    <w:p w:rsidR="007133BF" w:rsidRDefault="007133B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:rsidR="007133BF" w:rsidRDefault="00286CE1">
      <w:pPr>
        <w:widowControl w:val="0"/>
        <w:numPr>
          <w:ilvl w:val="0"/>
          <w:numId w:val="2"/>
        </w:numPr>
        <w:adjustRightInd/>
        <w:snapToGrid/>
        <w:spacing w:after="0" w:line="360" w:lineRule="auto"/>
        <w:jc w:val="both"/>
        <w:rPr>
          <w:rFonts w:ascii="宋体" w:eastAsia="宋体" w:hAnsi="宋体"/>
          <w:b/>
          <w:bCs/>
          <w:kern w:val="2"/>
          <w:sz w:val="28"/>
          <w:szCs w:val="28"/>
        </w:rPr>
      </w:pPr>
      <w:r>
        <w:rPr>
          <w:rFonts w:ascii="宋体" w:eastAsia="宋体" w:hAnsi="宋体" w:hint="eastAsia"/>
          <w:b/>
          <w:bCs/>
          <w:kern w:val="2"/>
          <w:sz w:val="28"/>
          <w:szCs w:val="28"/>
        </w:rPr>
        <w:t>自评结论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（一）自评结论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豹澥街道办事处2017年民兵训练及征兵项目已顺利完成，项目立项依据充分，项目绩效目标设置基本合理；项目财政资金按时到位；项目的实施组织有序，能够明确人员对项目的各项具体工作，程序到位；财务管理制度得到有效执行；项目资金单独核算，资金的拨付有完整的审批程序和手续。项目的产出达到预期的目标，项目效果良好，项目受益对象满意度较高，项目的绩效目标完全实现。</w:t>
      </w:r>
    </w:p>
    <w:p w:rsidR="007133BF" w:rsidRDefault="00286CE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经综合分析本项目评分得分为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88</w:t>
      </w:r>
      <w:r>
        <w:rPr>
          <w:rFonts w:ascii="宋体" w:eastAsia="宋体" w:hAnsi="宋体" w:cs="宋体" w:hint="eastAsia"/>
          <w:sz w:val="28"/>
          <w:szCs w:val="28"/>
        </w:rPr>
        <w:t>分，评分结果级别为：良。各项指标得分情况如下：</w:t>
      </w:r>
    </w:p>
    <w:p w:rsidR="007133BF" w:rsidRDefault="007133BF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7"/>
        <w:gridCol w:w="1766"/>
        <w:gridCol w:w="1766"/>
        <w:gridCol w:w="1766"/>
        <w:gridCol w:w="2207"/>
      </w:tblGrid>
      <w:tr w:rsidR="007133BF">
        <w:trPr>
          <w:trHeight w:hRule="exact" w:val="454"/>
        </w:trPr>
        <w:tc>
          <w:tcPr>
            <w:tcW w:w="1017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序号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评价得分</w:t>
            </w:r>
          </w:p>
        </w:tc>
        <w:tc>
          <w:tcPr>
            <w:tcW w:w="2207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评分结果级别</w:t>
            </w:r>
          </w:p>
        </w:tc>
      </w:tr>
      <w:tr w:rsidR="007133BF">
        <w:trPr>
          <w:trHeight w:hRule="exact" w:val="454"/>
        </w:trPr>
        <w:tc>
          <w:tcPr>
            <w:tcW w:w="1017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投入管理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16.00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 w:val="restart"/>
            <w:vAlign w:val="center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</w:t>
            </w:r>
          </w:p>
        </w:tc>
      </w:tr>
      <w:tr w:rsidR="007133BF">
        <w:trPr>
          <w:trHeight w:hRule="exact" w:val="454"/>
        </w:trPr>
        <w:tc>
          <w:tcPr>
            <w:tcW w:w="1017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过程管理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24.00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15.00</w:t>
            </w:r>
          </w:p>
        </w:tc>
        <w:tc>
          <w:tcPr>
            <w:tcW w:w="2207" w:type="dxa"/>
            <w:vMerge/>
            <w:vAlign w:val="center"/>
          </w:tcPr>
          <w:p w:rsidR="007133BF" w:rsidRDefault="007133B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133BF">
        <w:trPr>
          <w:trHeight w:hRule="exact" w:val="454"/>
        </w:trPr>
        <w:tc>
          <w:tcPr>
            <w:tcW w:w="1017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项目绩效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60.00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58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.00</w:t>
            </w:r>
          </w:p>
        </w:tc>
        <w:tc>
          <w:tcPr>
            <w:tcW w:w="2207" w:type="dxa"/>
            <w:vMerge/>
            <w:vAlign w:val="center"/>
          </w:tcPr>
          <w:p w:rsidR="007133BF" w:rsidRDefault="007133B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133BF">
        <w:trPr>
          <w:trHeight w:hRule="exact" w:val="454"/>
        </w:trPr>
        <w:tc>
          <w:tcPr>
            <w:tcW w:w="2783" w:type="dxa"/>
            <w:gridSpan w:val="2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合计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100.00</w:t>
            </w:r>
          </w:p>
        </w:tc>
        <w:tc>
          <w:tcPr>
            <w:tcW w:w="1766" w:type="dxa"/>
            <w:vAlign w:val="bottom"/>
          </w:tcPr>
          <w:p w:rsidR="007133BF" w:rsidRDefault="00286CE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88.00</w:t>
            </w:r>
          </w:p>
        </w:tc>
        <w:tc>
          <w:tcPr>
            <w:tcW w:w="2207" w:type="dxa"/>
            <w:vMerge/>
            <w:vAlign w:val="center"/>
          </w:tcPr>
          <w:p w:rsidR="007133BF" w:rsidRDefault="007133BF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7133BF" w:rsidRDefault="007133BF">
      <w:pPr>
        <w:widowControl w:val="0"/>
        <w:adjustRightInd/>
        <w:snapToGrid/>
        <w:spacing w:after="0" w:line="360" w:lineRule="auto"/>
        <w:jc w:val="both"/>
        <w:rPr>
          <w:rFonts w:ascii="宋体" w:eastAsia="宋体" w:hAnsi="宋体"/>
          <w:kern w:val="2"/>
          <w:sz w:val="28"/>
          <w:szCs w:val="28"/>
        </w:rPr>
      </w:pP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（二）主要经验，存在的问题和改</w:t>
      </w:r>
      <w:bookmarkStart w:id="0" w:name="_GoBack"/>
      <w:bookmarkEnd w:id="0"/>
      <w:r>
        <w:rPr>
          <w:rFonts w:ascii="宋体" w:eastAsia="宋体" w:hAnsi="宋体" w:hint="eastAsia"/>
          <w:kern w:val="2"/>
          <w:sz w:val="28"/>
          <w:szCs w:val="28"/>
        </w:rPr>
        <w:t>进措施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1.主要经验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（1）项目按计划实施，且按时完成项目。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（2）项目的实施，组织有序，能够明确人员对项目的各项具体工作，程序到位。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（3）项目资金使用符合程序，会计核算规范。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2.存在的问题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农村“征兵难”现象非常严重。一方面，时下大中专院校在扩招，家庭不断重视子女教育，多数青年正在学校就读，使回乡的农村适龄青年减少；另一方面农村退伍军人待遇低，农民群众支持子女参军积极性不高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3.改进措施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（1）强化义务兵役意识。采取各种形式，开展多角度、全方位、立体式的国防宣传教育，通过在全日制学 校开设国防教育课，将学生军训向义务教育阶段延伸，利用报刊、电视、网络等媒体深入持久地开展国防 宣传等措施，不断强化公民义务兵役意识，充分调动适龄青年的参军积极性。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（2）落实好优抚安置政策。不折不扣地贯彻执行国家优抚安置政策，增强对退伍战士的安置工作力度，适当提高农村义务兵优抚标准，重点考虑缩小城乡优抚安置标准差距；加大对在役优秀士兵</w:t>
      </w:r>
      <w:r>
        <w:rPr>
          <w:rFonts w:ascii="宋体" w:eastAsia="宋体" w:hAnsi="宋体" w:hint="eastAsia"/>
          <w:kern w:val="2"/>
          <w:sz w:val="28"/>
          <w:szCs w:val="28"/>
        </w:rPr>
        <w:lastRenderedPageBreak/>
        <w:t>等获奖人员的奖励；搞好拥军优属工作，切实解决农村义务兵优抚金发放不及时、标准不统一等问题</w:t>
      </w:r>
    </w:p>
    <w:p w:rsidR="007133BF" w:rsidRDefault="00286CE1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宋体" w:eastAsia="宋体" w:hAnsi="宋体"/>
          <w:kern w:val="2"/>
          <w:sz w:val="28"/>
          <w:szCs w:val="28"/>
        </w:rPr>
      </w:pPr>
      <w:r>
        <w:rPr>
          <w:rFonts w:ascii="宋体" w:eastAsia="宋体" w:hAnsi="宋体" w:hint="eastAsia"/>
          <w:kern w:val="2"/>
          <w:sz w:val="28"/>
          <w:szCs w:val="28"/>
        </w:rPr>
        <w:t>（3）完善绩效评价体系，加强监督检查和考核工作。进一步探索完善项目绩效评价指标体系，加强对绩效管理工作的跟踪督查，做到绩效管理依据、按程序、有奖惩，实现绩效管理的规范化、常态化。</w:t>
      </w:r>
    </w:p>
    <w:sectPr w:rsidR="007133BF" w:rsidSect="007133BF">
      <w:footerReference w:type="default" r:id="rId9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BD5" w:rsidRDefault="00267BD5" w:rsidP="007133BF">
      <w:pPr>
        <w:spacing w:after="0"/>
      </w:pPr>
      <w:r>
        <w:separator/>
      </w:r>
    </w:p>
  </w:endnote>
  <w:endnote w:type="continuationSeparator" w:id="1">
    <w:p w:rsidR="00267BD5" w:rsidRDefault="00267BD5" w:rsidP="007133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创艺简标宋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3BF" w:rsidRDefault="001003C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7133BF" w:rsidRDefault="001003C1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286CE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90E08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BD5" w:rsidRDefault="00267BD5" w:rsidP="007133BF">
      <w:pPr>
        <w:spacing w:after="0"/>
      </w:pPr>
      <w:r>
        <w:separator/>
      </w:r>
    </w:p>
  </w:footnote>
  <w:footnote w:type="continuationSeparator" w:id="1">
    <w:p w:rsidR="00267BD5" w:rsidRDefault="00267BD5" w:rsidP="007133B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3BF" w:rsidRDefault="007133B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5A2C55"/>
    <w:multiLevelType w:val="singleLevel"/>
    <w:tmpl w:val="F25A2C5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38B95F"/>
    <w:multiLevelType w:val="singleLevel"/>
    <w:tmpl w:val="5938B95F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2ED"/>
    <w:rsid w:val="0001772C"/>
    <w:rsid w:val="000956FF"/>
    <w:rsid w:val="001003C1"/>
    <w:rsid w:val="00146167"/>
    <w:rsid w:val="00172A27"/>
    <w:rsid w:val="001836CF"/>
    <w:rsid w:val="001D035B"/>
    <w:rsid w:val="00201ECE"/>
    <w:rsid w:val="00255FCD"/>
    <w:rsid w:val="00262EFC"/>
    <w:rsid w:val="00267BD5"/>
    <w:rsid w:val="00271925"/>
    <w:rsid w:val="00286CE1"/>
    <w:rsid w:val="002D1D0B"/>
    <w:rsid w:val="002E21C0"/>
    <w:rsid w:val="00312E59"/>
    <w:rsid w:val="00323B43"/>
    <w:rsid w:val="00370F22"/>
    <w:rsid w:val="0037538F"/>
    <w:rsid w:val="003C33F2"/>
    <w:rsid w:val="003D37D8"/>
    <w:rsid w:val="00426133"/>
    <w:rsid w:val="00430421"/>
    <w:rsid w:val="004358AB"/>
    <w:rsid w:val="004407E6"/>
    <w:rsid w:val="004474B4"/>
    <w:rsid w:val="0046091D"/>
    <w:rsid w:val="004D7D65"/>
    <w:rsid w:val="00511E86"/>
    <w:rsid w:val="00533C17"/>
    <w:rsid w:val="005B449F"/>
    <w:rsid w:val="005C057F"/>
    <w:rsid w:val="0061044F"/>
    <w:rsid w:val="00651C31"/>
    <w:rsid w:val="006A2012"/>
    <w:rsid w:val="007133BF"/>
    <w:rsid w:val="0082633A"/>
    <w:rsid w:val="00836EB3"/>
    <w:rsid w:val="00857343"/>
    <w:rsid w:val="008B7726"/>
    <w:rsid w:val="008C0053"/>
    <w:rsid w:val="00915F22"/>
    <w:rsid w:val="00924366"/>
    <w:rsid w:val="009616CE"/>
    <w:rsid w:val="00A067A3"/>
    <w:rsid w:val="00A374EA"/>
    <w:rsid w:val="00A51A73"/>
    <w:rsid w:val="00AF6F28"/>
    <w:rsid w:val="00B03154"/>
    <w:rsid w:val="00B45745"/>
    <w:rsid w:val="00B53446"/>
    <w:rsid w:val="00B74475"/>
    <w:rsid w:val="00BB59F6"/>
    <w:rsid w:val="00BC40AE"/>
    <w:rsid w:val="00C1680F"/>
    <w:rsid w:val="00C80834"/>
    <w:rsid w:val="00CA7085"/>
    <w:rsid w:val="00CC3D9A"/>
    <w:rsid w:val="00D31D50"/>
    <w:rsid w:val="00D5135D"/>
    <w:rsid w:val="00E0108E"/>
    <w:rsid w:val="00E1028F"/>
    <w:rsid w:val="00E31945"/>
    <w:rsid w:val="00E35B29"/>
    <w:rsid w:val="00E734A0"/>
    <w:rsid w:val="00F07312"/>
    <w:rsid w:val="00F32EE5"/>
    <w:rsid w:val="00F33C26"/>
    <w:rsid w:val="00F51E42"/>
    <w:rsid w:val="00F555B9"/>
    <w:rsid w:val="00F60A02"/>
    <w:rsid w:val="00F71A1D"/>
    <w:rsid w:val="00F90E08"/>
    <w:rsid w:val="00FC05EF"/>
    <w:rsid w:val="00FC3855"/>
    <w:rsid w:val="00FC4499"/>
    <w:rsid w:val="01520C5C"/>
    <w:rsid w:val="01A569BB"/>
    <w:rsid w:val="02086254"/>
    <w:rsid w:val="03C35576"/>
    <w:rsid w:val="05581275"/>
    <w:rsid w:val="099C3725"/>
    <w:rsid w:val="0CB00426"/>
    <w:rsid w:val="13054149"/>
    <w:rsid w:val="136A3415"/>
    <w:rsid w:val="13EC7688"/>
    <w:rsid w:val="14973A4F"/>
    <w:rsid w:val="14C72396"/>
    <w:rsid w:val="15323C10"/>
    <w:rsid w:val="15AB7E28"/>
    <w:rsid w:val="15B35816"/>
    <w:rsid w:val="15DD3784"/>
    <w:rsid w:val="16C70060"/>
    <w:rsid w:val="216B6B00"/>
    <w:rsid w:val="22420288"/>
    <w:rsid w:val="25221E48"/>
    <w:rsid w:val="27D81005"/>
    <w:rsid w:val="28DE383B"/>
    <w:rsid w:val="2AF7070A"/>
    <w:rsid w:val="2D14105F"/>
    <w:rsid w:val="305C095A"/>
    <w:rsid w:val="339E26D7"/>
    <w:rsid w:val="341A36C5"/>
    <w:rsid w:val="37570165"/>
    <w:rsid w:val="3AEA4136"/>
    <w:rsid w:val="3DF00490"/>
    <w:rsid w:val="3FFD0A56"/>
    <w:rsid w:val="40C33E66"/>
    <w:rsid w:val="44132707"/>
    <w:rsid w:val="46C6585F"/>
    <w:rsid w:val="4C1E286A"/>
    <w:rsid w:val="4DA20E6D"/>
    <w:rsid w:val="56824E7D"/>
    <w:rsid w:val="56C32683"/>
    <w:rsid w:val="58BB33C1"/>
    <w:rsid w:val="5AD2333D"/>
    <w:rsid w:val="5B3F5114"/>
    <w:rsid w:val="5FFE53B4"/>
    <w:rsid w:val="62272D70"/>
    <w:rsid w:val="67B34FBF"/>
    <w:rsid w:val="682B2575"/>
    <w:rsid w:val="68981A3A"/>
    <w:rsid w:val="6D980B48"/>
    <w:rsid w:val="6D9F7E66"/>
    <w:rsid w:val="72D85C36"/>
    <w:rsid w:val="72F83850"/>
    <w:rsid w:val="78700F16"/>
    <w:rsid w:val="7896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BF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7133BF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7133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7133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7133BF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/>
      <w:sz w:val="24"/>
      <w:szCs w:val="24"/>
    </w:rPr>
  </w:style>
  <w:style w:type="character" w:styleId="a7">
    <w:name w:val="page number"/>
    <w:basedOn w:val="a0"/>
    <w:qFormat/>
    <w:rsid w:val="007133BF"/>
  </w:style>
  <w:style w:type="character" w:customStyle="1" w:styleId="Char1">
    <w:name w:val="页眉 Char"/>
    <w:basedOn w:val="a0"/>
    <w:link w:val="a5"/>
    <w:uiPriority w:val="99"/>
    <w:semiHidden/>
    <w:qFormat/>
    <w:locked/>
    <w:rsid w:val="007133BF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133BF"/>
    <w:rPr>
      <w:rFonts w:ascii="Tahoma" w:hAnsi="Tahoma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7133BF"/>
    <w:rPr>
      <w:rFonts w:ascii="Tahoma" w:hAnsi="Tahoma" w:cs="Times New Roman"/>
    </w:rPr>
  </w:style>
  <w:style w:type="paragraph" w:customStyle="1" w:styleId="1">
    <w:name w:val="列出段落1"/>
    <w:basedOn w:val="a"/>
    <w:uiPriority w:val="99"/>
    <w:qFormat/>
    <w:rsid w:val="007133B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0">
    <w:name w:val="列出段落1"/>
    <w:basedOn w:val="a"/>
    <w:uiPriority w:val="99"/>
    <w:qFormat/>
    <w:rsid w:val="007133B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2">
    <w:name w:val="列出段落2"/>
    <w:basedOn w:val="a"/>
    <w:uiPriority w:val="99"/>
    <w:qFormat/>
    <w:rsid w:val="007133BF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character" w:customStyle="1" w:styleId="font11">
    <w:name w:val="font11"/>
    <w:basedOn w:val="a0"/>
    <w:qFormat/>
    <w:rsid w:val="007133BF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33</cp:revision>
  <cp:lastPrinted>2018-05-15T08:40:00Z</cp:lastPrinted>
  <dcterms:created xsi:type="dcterms:W3CDTF">2008-09-11T17:20:00Z</dcterms:created>
  <dcterms:modified xsi:type="dcterms:W3CDTF">2018-06-04T02:07:00Z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