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武汉东湖新技术开发区单位整体支出绩效自评报告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>
      <w:pPr>
        <w:ind w:firstLine="904" w:firstLineChars="30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部门名称：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>东湖新技术开发区豹澥街道办事处</w:t>
      </w:r>
    </w:p>
    <w:p>
      <w:pP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     区财政局主管业务处室：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行财科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 </w:t>
      </w:r>
    </w:p>
    <w:p>
      <w:pPr>
        <w:ind w:firstLine="894" w:firstLineChars="297"/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评价机构：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>武汉真道会计师事务有限公司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2018年5月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pPr>
        <w:jc w:val="center"/>
        <w:rPr>
          <w:rFonts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武汉东湖新技术开发区豹澥街道办事处2017年整体支出</w:t>
      </w:r>
    </w:p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绩效自评报告</w:t>
      </w:r>
    </w:p>
    <w:p>
      <w:pPr>
        <w:pStyle w:val="14"/>
        <w:spacing w:line="360" w:lineRule="auto"/>
        <w:ind w:firstLine="0" w:firstLineChars="0"/>
        <w:rPr>
          <w:rFonts w:ascii="宋体" w:hAnsi="宋体"/>
          <w:b/>
          <w:sz w:val="28"/>
          <w:szCs w:val="28"/>
        </w:rPr>
      </w:pPr>
    </w:p>
    <w:p>
      <w:pPr>
        <w:pStyle w:val="14"/>
        <w:spacing w:line="360" w:lineRule="auto"/>
        <w:ind w:firstLine="0" w:firstLineChars="0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一、部门概况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(</w:t>
      </w:r>
      <w:r>
        <w:rPr>
          <w:rFonts w:hint="eastAsia" w:ascii="宋体" w:hAnsi="宋体" w:eastAsia="宋体"/>
          <w:kern w:val="2"/>
          <w:sz w:val="28"/>
          <w:szCs w:val="28"/>
        </w:rPr>
        <w:t>一</w:t>
      </w:r>
      <w:r>
        <w:rPr>
          <w:rFonts w:ascii="宋体" w:hAnsi="宋体" w:eastAsia="宋体"/>
          <w:kern w:val="2"/>
          <w:sz w:val="28"/>
          <w:szCs w:val="28"/>
        </w:rPr>
        <w:t>)</w:t>
      </w:r>
      <w:r>
        <w:rPr>
          <w:rFonts w:hint="eastAsia" w:ascii="宋体" w:hAnsi="宋体" w:eastAsia="宋体"/>
          <w:kern w:val="2"/>
          <w:sz w:val="28"/>
          <w:szCs w:val="28"/>
        </w:rPr>
        <w:t>部门概况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1.部门职责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按照武汉东湖新技术开发区管委会的规定，豹澥街道办事处主要职责有：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（1）加强基层党建。落实基层党建工作责任制，统筹推进街道和社区区域化党建，加强非公有制企业和社会组织党建工作，实现党的组织和工作全覆盖；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统筹区域发展。统筹落实关于辖区发展的重大决策，参与辖区建设规划和公共服务设施布局，推动辖区健康、有序、可持续发展。负责采集企业信息、服务驻区企业、推动创新创业、优化投资环境、促进项目发展等经济发展服务工作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（3）组织公共服务。组织实施与居民生活密切相关的各项公共服务，贯彻落实人社、民政、教育、文化、体育、卫生计生等领域相关政策法规；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（4）实施综合管理。对辖区内城市管理、人口管理、文明创建等地区性、综合性社会管理工作，承担组织领导和综合协调职能。对辖区住宅小区综合管理工作负总责；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（5）监督专业管理。对辖区内各类执法等专业管理工作进行统筹协调，并组织开展群众监督和社会监督；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（6）动员社会参与。动员辖区内各类单位、社会组织和社区居民等社会力量参与社会治理，整合辖区内各种社会力量为街道发展服务；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（7）指导社区自治。指导社区居委会和业委会建设，健全自治平台，组织社区居民和单位参与社区建设和管理；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（8）维护公共安全。负责辖区社会治安综合治理、安全生产等有关工作，开展平安建设，处理群众来信来访，反映社情民意，化解矛盾纠纷等。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2.人员情况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豹澥街道办事处总编制人数109人，其中：行政编制47人，事业编制62人(其中：参照公务员法管理1人)。在职实有人数108人，其中：行政编制40人，事业编制68人(其中：参照公务员法管理1人)。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离退休人员 44人，其中：离休 0 人，退休44 人。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(</w:t>
      </w:r>
      <w:r>
        <w:rPr>
          <w:rFonts w:hint="eastAsia" w:ascii="宋体" w:hAnsi="宋体" w:eastAsia="宋体"/>
          <w:kern w:val="2"/>
          <w:sz w:val="28"/>
          <w:szCs w:val="28"/>
        </w:rPr>
        <w:t>二</w:t>
      </w:r>
      <w:r>
        <w:rPr>
          <w:rFonts w:ascii="宋体" w:hAnsi="宋体" w:eastAsia="宋体"/>
          <w:kern w:val="2"/>
          <w:sz w:val="28"/>
          <w:szCs w:val="28"/>
        </w:rPr>
        <w:t>)</w:t>
      </w:r>
      <w:r>
        <w:rPr>
          <w:rFonts w:hint="eastAsia" w:ascii="宋体" w:hAnsi="宋体" w:eastAsia="宋体"/>
          <w:kern w:val="2"/>
          <w:sz w:val="28"/>
          <w:szCs w:val="28"/>
        </w:rPr>
        <w:t>部门整体支出预算绩效目标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整体支出预算总目标：保障街道各项事业有序进行，促进辖区经济发展、确保辖区安全生产和社会稳定、保证街道各项工作目标任务圆满完成，促进街道的全面发展。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具体绩效目标分解如下：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1.年度目标一：完成年初制定的任务计划，优化服务环境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（1）产出指标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数量指标：绩效考核执行率95%、部门正常运转率100%、恶性事件0起；质量指标：街道办事处完成目标责任状任务90%；时效指标：村和社区工作正常开展100%；成本指标：经费预算执行率100%。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（2）效果目标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社会效益：居民生活质量提高率80%；环境效益：社区环境满意率90%；可持续影响：辖区内网格化管理覆盖率80%；服务对象满意度：群众满意度80%。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2.年度目标二：完成年度拆迁工作，加强农业安全保障工作，推动街道经济发展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（1）产出指标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数量指标：各村征地完成率60%、拆迁签约率90%、农林水治理率90%；质量指标：经费支出发放到位率100%、财务管理规范率100%、病虫害防治达标率80%；成本指标：经费支出预算执行率100%。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（2）效果目标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经济效益：农民人均收入增长率8%；社会效益：无农业生产重大事故发生、农业技术普及推广满意率80%；环境效益：农林生产环境保障率80%；可持续影响：管理网络覆盖率80%；服务对象满意度：保障工作公众满意率80%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3.年度目标三：增加保障力度，改善居民生活质量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（1）产出指标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数量指标：人口素质提高率5%、城市低保应保尽保100%、五保户集中供养率80%、抚恤补助落实率100%、殡葬火化率70%；质量指标：与街道办事处签定的的目标责任状任务完成率80%；时效指标：村级正常工作运转率100%；成本指标：预算执行率100%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（2）效果目标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社会效益：发放对象满意度85%、居民生活质量提高率80%；环境效益：社区环境满意度80%；可持续影响：新增农民就业150人；服务对象满意度：村民满意率80%。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二、部门整体支出绩效分析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（一）部门整体支出情况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1.支出规模和结构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豹澥街道办事处2017年一般公共预算财政拨款支出决算为7624.18万元，其他往来支出481.9万元，合计支出8106.08万元。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支出按项目类别分类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基本支出4497.46万元，占总支出的55.48%；项目支出3608.62万元，占总支出的44.52%。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（2）支出按功能分类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一般公共服务支出（类）支出决算为4468.97万元，占总支出的55.13%；国防支出（类）支出决算12.95万元，占总支出的0.16%；文化体育与传媒支出（类）支出决算34.43万元，占总支出的0.43%；社会保障和就业支出（类）支出决算2040.92万元，占总支出的25.18%；医疗卫生与计划生育支出（类）支出决算387.66万元，占总支出的4.78%；城乡社区支出（类）支出决算167.68万元，占总支出的2.07%；农林水支出（类）支出决算439.5万元，占总支出的5.42%；住房保障支出（类）支出决算239.76万元，占总支出的2.96%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2.基本支出情况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（1）基本支出结构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豹澥街道办事处2017年基本支出决算金额为4497.46万元，其中：工资福利支出3311.79万元，占基本支出的73.64%；商品和服务支出547.35万元，占基本支出的12.17%；对个人和家庭的补助638.33万元，占基本支出的14.19%。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“三公”经费情况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豹澥街道办事处2017年“三公”经费预算16万元，其中：公务用车购置及运行维护费10万、公务接待费6万。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豹澥街道办事处2017年“三公”经费决算6.64万元，其中：公务用车购置及运行维护费6.64万元，占“三公”经费比100%；公务接待费0元。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豹澥街道办事处2016年“三公”经费决算3.38万元，其中：公务用车购置及运行维护费3.38万元，占“三公”经费比100%；公务接待费0元。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2017年“三公”经费决算数比2016年多3.26万元，均为实际发生的公务用车购置及运行维护费比2016年多3.26万元。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3.项目支出情况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项目支出年初预算3745.94万元，年中进行了预算调整，调整后的项目支出预算金额为3608.62万元。豹澥街道办事处2017年项目资金实际到位3608.62万元，实际支出3608.62万元，实际支出数与调整后的预算数一致。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firstLine="560" w:firstLineChars="200"/>
        <w:jc w:val="both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kern w:val="2"/>
          <w:sz w:val="28"/>
          <w:szCs w:val="28"/>
          <w:lang w:eastAsia="zh-CN"/>
        </w:rPr>
        <w:t>部门</w:t>
      </w:r>
      <w:r>
        <w:rPr>
          <w:rFonts w:hint="eastAsia" w:ascii="宋体" w:hAnsi="宋体" w:eastAsia="宋体"/>
          <w:kern w:val="2"/>
          <w:sz w:val="28"/>
          <w:szCs w:val="28"/>
          <w:lang w:val="en-US" w:eastAsia="zh-CN"/>
        </w:rPr>
        <w:t>整体预算情况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kern w:val="2"/>
          <w:sz w:val="28"/>
          <w:szCs w:val="28"/>
          <w:lang w:val="en-US" w:eastAsia="zh-CN"/>
        </w:rPr>
        <w:t>1.2017年豹澥街道办事处预算总收入6690万元。其中：一般公共预算当年拨款收入5090万元、往来户可用资金1600万元。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kern w:val="2"/>
          <w:sz w:val="28"/>
          <w:szCs w:val="28"/>
          <w:lang w:val="en-US" w:eastAsia="zh-CN"/>
        </w:rPr>
        <w:t xml:space="preserve">2.2017年豹澥街道办事处预算总支出6690万元。其中：一般公共服务支出4451.75万元；国防支出16万元；文化体育与传媒支出32.5万元；社会保障和就业支出1393.53万元；医疗卫生支出373.66万元；农林水支出182.80万元；住房保障支出239.76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kern w:val="2"/>
          <w:sz w:val="28"/>
          <w:szCs w:val="28"/>
          <w:lang w:val="en-US" w:eastAsia="zh-CN"/>
        </w:rPr>
        <w:t>3.一般公共预算当年拨款结构情况。一般公共服务支出2851.75万元，占56.03%；国防支出16万元，占 0.31%；文化体育与传媒支出32.5万元，占 0.64%；社会保障和就业支出1393.53万元，占27.38 %；医疗卫生支出373.66万元，占7.34 %；农林水支出182.80万元，占3.59 %；住房保障支出239.76万元，占4.71 %。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  <w:lang w:eastAsia="zh-CN"/>
        </w:rPr>
        <w:t>（三）</w:t>
      </w:r>
      <w:r>
        <w:rPr>
          <w:rFonts w:hint="eastAsia" w:ascii="宋体" w:hAnsi="宋体" w:eastAsia="宋体"/>
          <w:kern w:val="2"/>
          <w:sz w:val="28"/>
          <w:szCs w:val="28"/>
        </w:rPr>
        <w:t>部门整体支出预算绩效目标的完成情况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1.年度目标一：完成年初制定的任务计划，优化服务环境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（1）产出指标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989"/>
        <w:gridCol w:w="2723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298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27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数量指标</w:t>
            </w: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绩效考核执行率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完成绩效考核件数/计划绩效考核件数。目标值：80%以上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2017年对按照90%的比例对绩效进行考核。完成90%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部门正常运转率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正常运转部门个数/总体部门个数。目标值：100%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部门运转正常。完成100%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安全维稳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恶性事故发生次数。目标值：0起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2017年未发生恶性事故。完成100%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质量指标</w:t>
            </w: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任务完成率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规范管理，确保街道办事处完成目标责任状任务。目标值：90%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街道办事处完成目标责任状任务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。完成95%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时效指标</w:t>
            </w: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完成及时率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确保社区、村正常工作开展。目标值：每季度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每季度社区、村正常工作开展。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成本指标</w:t>
            </w:r>
          </w:p>
        </w:tc>
        <w:tc>
          <w:tcPr>
            <w:tcW w:w="2989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经费预算执行率</w:t>
            </w:r>
          </w:p>
        </w:tc>
        <w:tc>
          <w:tcPr>
            <w:tcW w:w="2723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经费支出是否严格按照预算执行。目标值：100%</w:t>
            </w:r>
          </w:p>
        </w:tc>
        <w:tc>
          <w:tcPr>
            <w:tcW w:w="2059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经费支出严格按照预算执行。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完成100%</w:t>
            </w:r>
          </w:p>
        </w:tc>
      </w:tr>
    </w:tbl>
    <w:p>
      <w:pPr>
        <w:widowControl w:val="0"/>
        <w:adjustRightInd/>
        <w:snapToGrid/>
        <w:spacing w:after="0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年度目标一的数量指标、质量指标、时效指标和成本指标全部完成。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（2）效果目标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928"/>
        <w:gridCol w:w="1440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</w:trPr>
        <w:tc>
          <w:tcPr>
            <w:tcW w:w="153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二级指标</w:t>
            </w:r>
          </w:p>
        </w:tc>
        <w:tc>
          <w:tcPr>
            <w:tcW w:w="2928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指标内容</w:t>
            </w:r>
          </w:p>
        </w:tc>
        <w:tc>
          <w:tcPr>
            <w:tcW w:w="144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指标值</w:t>
            </w:r>
          </w:p>
        </w:tc>
        <w:tc>
          <w:tcPr>
            <w:tcW w:w="26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社会效益</w:t>
            </w:r>
          </w:p>
        </w:tc>
        <w:tc>
          <w:tcPr>
            <w:tcW w:w="2928" w:type="dxa"/>
            <w:vAlign w:val="bottom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居民生活质量提高率（%）</w:t>
            </w:r>
          </w:p>
        </w:tc>
        <w:tc>
          <w:tcPr>
            <w:tcW w:w="144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6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居民生活质量提高率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环境效益</w:t>
            </w:r>
          </w:p>
        </w:tc>
        <w:tc>
          <w:tcPr>
            <w:tcW w:w="2928" w:type="dxa"/>
            <w:vAlign w:val="bottom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社区环境满意度（%）</w:t>
            </w:r>
          </w:p>
        </w:tc>
        <w:tc>
          <w:tcPr>
            <w:tcW w:w="144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6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社区环境满意度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3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可持续影响</w:t>
            </w:r>
          </w:p>
        </w:tc>
        <w:tc>
          <w:tcPr>
            <w:tcW w:w="2928" w:type="dxa"/>
            <w:vAlign w:val="bottom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管理网络覆盖率（%）</w:t>
            </w:r>
          </w:p>
        </w:tc>
        <w:tc>
          <w:tcPr>
            <w:tcW w:w="1440" w:type="dxa"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辖区内网格化管理覆盖率80%</w:t>
            </w:r>
          </w:p>
        </w:tc>
        <w:tc>
          <w:tcPr>
            <w:tcW w:w="26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管理网络覆盖率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3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928" w:type="dxa"/>
            <w:vAlign w:val="bottom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群众满意度（%）</w:t>
            </w:r>
          </w:p>
        </w:tc>
        <w:tc>
          <w:tcPr>
            <w:tcW w:w="144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62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群众满意度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%</w:t>
            </w: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年度目标一的</w:t>
      </w:r>
      <w:r>
        <w:rPr>
          <w:rFonts w:hint="eastAsia" w:ascii="宋体" w:hAnsi="宋体" w:eastAsia="宋体"/>
          <w:kern w:val="2"/>
          <w:sz w:val="28"/>
          <w:szCs w:val="28"/>
        </w:rPr>
        <w:t>社会效益指标、环境效益、可持续影响指标和服务对象满意度指标全部完成。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2.年度目标二：完成年度拆迁工作，加强农业安全保障工作，推动街道经济发展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产出指标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488"/>
        <w:gridCol w:w="2868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tblHeader/>
        </w:trPr>
        <w:tc>
          <w:tcPr>
            <w:tcW w:w="1567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148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286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1567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数量指标</w:t>
            </w:r>
          </w:p>
        </w:tc>
        <w:tc>
          <w:tcPr>
            <w:tcW w:w="14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各村征地完成率</w:t>
            </w:r>
          </w:p>
        </w:tc>
        <w:tc>
          <w:tcPr>
            <w:tcW w:w="286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目标值：60%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全街征地总任务量约11.5万亩，已征收7.9万亩，完成率68.6%。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6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拆迁签约率</w:t>
            </w:r>
          </w:p>
        </w:tc>
        <w:tc>
          <w:tcPr>
            <w:tcW w:w="286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拆迁总面积243.7万方，已签约226万方，签约率92.7%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56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农林水治理率</w:t>
            </w:r>
          </w:p>
        </w:tc>
        <w:tc>
          <w:tcPr>
            <w:tcW w:w="286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完成农林水治理任务。目标值：90%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农林水治理任务基本完成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。完成95%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质量指标</w:t>
            </w:r>
          </w:p>
        </w:tc>
        <w:tc>
          <w:tcPr>
            <w:tcW w:w="14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经费支出发放到位率</w:t>
            </w:r>
          </w:p>
        </w:tc>
        <w:tc>
          <w:tcPr>
            <w:tcW w:w="286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经费支出发放到位率=（实际支出数/计划支出数）×100%。目标值：100%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经费支出发放全部到位率。完成100%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财务管理规范率</w:t>
            </w:r>
          </w:p>
        </w:tc>
        <w:tc>
          <w:tcPr>
            <w:tcW w:w="286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①资金的拨付是否有完整的审批程序和手续；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②是否符合项目预算批复或合同规定的用途；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③是否存在截留、挤占、挪用、虚列支出等情况；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④是否按照国家相关规定标准发放补贴等支出。</w:t>
            </w:r>
          </w:p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严格按照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财务管理规定执行。完成100%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病虫害防治达标率</w:t>
            </w:r>
          </w:p>
        </w:tc>
        <w:tc>
          <w:tcPr>
            <w:tcW w:w="2868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完成病虫害防治工作。目标值：80%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病虫害防治工作达标。完成90%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成本指标</w:t>
            </w:r>
          </w:p>
        </w:tc>
        <w:tc>
          <w:tcPr>
            <w:tcW w:w="1488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经费支出预算执行率</w:t>
            </w:r>
          </w:p>
        </w:tc>
        <w:tc>
          <w:tcPr>
            <w:tcW w:w="2868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经费支出是否严格按照预算执行。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599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经费支出严格按照预算执行。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完成100%</w:t>
            </w: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年度目标二的数量指标、质量指标和成本指标全部完成。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（2）效果目标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2424"/>
        <w:gridCol w:w="1836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tblHeader/>
        </w:trPr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24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经济效益</w:t>
            </w:r>
          </w:p>
        </w:tc>
        <w:tc>
          <w:tcPr>
            <w:tcW w:w="242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农民人均收入增长率（%）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辖区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2017年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农民人均收入增长率8.5%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社会效益</w:t>
            </w:r>
          </w:p>
        </w:tc>
        <w:tc>
          <w:tcPr>
            <w:tcW w:w="2424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农业生产保障率</w:t>
            </w:r>
          </w:p>
        </w:tc>
        <w:tc>
          <w:tcPr>
            <w:tcW w:w="1836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农业生产无重大事故发生。目标值：0起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未发生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农业生产重大事故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424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农业技术普及推广满意率</w:t>
            </w:r>
          </w:p>
        </w:tc>
        <w:tc>
          <w:tcPr>
            <w:tcW w:w="1836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根据问卷结果，统计服务对象对农业技术推广与普及的满意程度。目标值：80%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服务对象对农业技术推广与普及的非常满意。完成90%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环境效益</w:t>
            </w:r>
          </w:p>
        </w:tc>
        <w:tc>
          <w:tcPr>
            <w:tcW w:w="2424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农林生产环境保障率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农林生产环境保障率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可持续影响</w:t>
            </w:r>
          </w:p>
        </w:tc>
        <w:tc>
          <w:tcPr>
            <w:tcW w:w="2424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管理网络覆盖率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管理网络覆盖率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424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保障工作公众满意率（%）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≥80</w:t>
            </w:r>
          </w:p>
        </w:tc>
        <w:tc>
          <w:tcPr>
            <w:tcW w:w="249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保障工作公众满意率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92%</w:t>
            </w:r>
          </w:p>
        </w:tc>
      </w:tr>
    </w:tbl>
    <w:p>
      <w:pPr>
        <w:widowControl w:val="0"/>
        <w:adjustRightInd/>
        <w:snapToGrid/>
        <w:spacing w:after="0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年度目标二的</w:t>
      </w:r>
      <w:r>
        <w:rPr>
          <w:rFonts w:hint="eastAsia" w:ascii="宋体" w:hAnsi="宋体" w:eastAsia="宋体"/>
          <w:kern w:val="2"/>
          <w:sz w:val="28"/>
          <w:szCs w:val="28"/>
        </w:rPr>
        <w:t>经济效益、社会效益、环境效益、可持续影响指标和服务对象满意度指标全部完成。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3.年度目标三：增加保障力度，改善居民生活质量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（1）产出指标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340"/>
        <w:gridCol w:w="2628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tblHeader/>
        </w:trPr>
        <w:tc>
          <w:tcPr>
            <w:tcW w:w="1387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262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7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数量指标</w:t>
            </w: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人口素质提高率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人口素质提高率=（本年在校人数增加数/上年在校人数）。目标值：5%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人口素质提高率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城市低保率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确保城市低保应保尽保。目标值100%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城市低保应保尽保。完成100%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五保户集中供养率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五保户集中供养率。目标值80%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五保户大多集中供养。完成85%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抚恤补助落实率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抚恤补助落实率。目标值100%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该落实的抚恤全部落实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殡葬火化率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殡葬火化率。目标值70%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殡葬大多通过火化的方式。完成75%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质量指标</w:t>
            </w: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圆满完成与街道办事处签定的的目标责任状任务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圆满完成与街道办事处签定的的目标责任状任务。目标值80%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与街道办事处签定的的目标责任状全部任务。完成100%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时效指标</w:t>
            </w: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确保村级正常工作运转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确保村级正常工作运转。目标值80%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村级工作正常运转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。完成90%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成本指标</w:t>
            </w:r>
          </w:p>
        </w:tc>
        <w:tc>
          <w:tcPr>
            <w:tcW w:w="234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经费支出是否严格按照预算执行</w:t>
            </w:r>
          </w:p>
        </w:tc>
        <w:tc>
          <w:tcPr>
            <w:tcW w:w="26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按照预算对照执行。目标值100%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经费支出严格按照预算执行。完成100%</w:t>
            </w:r>
          </w:p>
        </w:tc>
      </w:tr>
    </w:tbl>
    <w:p>
      <w:pPr>
        <w:widowControl w:val="0"/>
        <w:adjustRightInd/>
        <w:snapToGrid/>
        <w:spacing w:after="0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年度目标三的数量指标、质量指标、时效指标和成本指标全部完成。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（2）效果目标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2112"/>
        <w:gridCol w:w="1944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2112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社会效益</w:t>
            </w:r>
          </w:p>
        </w:tc>
        <w:tc>
          <w:tcPr>
            <w:tcW w:w="2112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发放对象满意度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≥85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发放对象满意度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达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90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居民生活质量提高率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≥80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居民生活质量提高率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85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环境效益</w:t>
            </w:r>
          </w:p>
        </w:tc>
        <w:tc>
          <w:tcPr>
            <w:tcW w:w="2112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社区环境满意度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≥80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社区环境满意度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达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85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可持续影响</w:t>
            </w:r>
          </w:p>
        </w:tc>
        <w:tc>
          <w:tcPr>
            <w:tcW w:w="2112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农民就业上岗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通过持续培训，增加就业农民。目标值150人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新增就业农民180人。完成100%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112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村民满意度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≥80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2695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村民满意度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达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</w:rPr>
              <w:t>92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/>
              </w:rPr>
              <w:t>%</w:t>
            </w:r>
          </w:p>
        </w:tc>
      </w:tr>
    </w:tbl>
    <w:p>
      <w:pPr>
        <w:widowControl w:val="0"/>
        <w:adjustRightInd/>
        <w:snapToGrid/>
        <w:spacing w:after="0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年度目标三的</w:t>
      </w:r>
      <w:r>
        <w:rPr>
          <w:rFonts w:hint="eastAsia" w:ascii="宋体" w:hAnsi="宋体" w:eastAsia="宋体"/>
          <w:kern w:val="2"/>
          <w:sz w:val="28"/>
          <w:szCs w:val="28"/>
        </w:rPr>
        <w:t>社会效益、环境效益、可持续影响指标和服务对象满意度指标全部完成。</w:t>
      </w:r>
    </w:p>
    <w:p>
      <w:pPr>
        <w:widowControl w:val="0"/>
        <w:numPr>
          <w:ilvl w:val="0"/>
          <w:numId w:val="4"/>
        </w:numPr>
        <w:adjustRightInd/>
        <w:snapToGrid/>
        <w:spacing w:after="0" w:line="360" w:lineRule="auto"/>
        <w:jc w:val="both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自评结论</w:t>
      </w:r>
    </w:p>
    <w:p>
      <w:pPr>
        <w:widowControl w:val="0"/>
        <w:numPr>
          <w:ilvl w:val="0"/>
          <w:numId w:val="5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自评结论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2017年豹澥街道办事处在区党委、政府的领导下，圆满完成了年初申报的绩效目标。首先认真执行预算，按照厉行节约的要求，精打细算，严格控制支出，凡是支出的经费均按照“发起部门申请——部门领导审核——街道领导签字审批——实际执行”的流程进行；其次规范流程、突出重点，强力推进征地拆迁工作的实施，解决痛点、补齐短板，全力服务社会民生，严格执法、重点整治，提升城市管理水平；然后推进专项工作落实、财政监督检查等多项管理工作，确保专项资金在使用和管理上单独核算、专款专用；最后认真学习各项政策规定，严格执行廉政纪律，防止了违法违纪行为的发生。通过一系列工作的开展保障了街道各项事业有序进行，促进了辖区经济的发展、确保了辖区安全生产和社会稳定、保证了街道各项工作目标任务圆满完成，促进了街道的全面发展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经综合分析豹澥街道办事处2017年整体支出绩效自评得分为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91.5</w:t>
      </w:r>
      <w:r>
        <w:rPr>
          <w:rFonts w:hint="eastAsia" w:ascii="宋体" w:hAnsi="宋体" w:eastAsia="宋体" w:cs="宋体"/>
          <w:sz w:val="28"/>
          <w:szCs w:val="28"/>
        </w:rPr>
        <w:t>分，评分结果级别为：优。各项指标得分情况如下：</w:t>
      </w:r>
    </w:p>
    <w:tbl>
      <w:tblPr>
        <w:tblStyle w:val="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766"/>
        <w:gridCol w:w="1766"/>
        <w:gridCol w:w="1766"/>
        <w:gridCol w:w="22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评分结果级别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11.00</w:t>
            </w:r>
          </w:p>
        </w:tc>
        <w:tc>
          <w:tcPr>
            <w:tcW w:w="220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45.00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41.50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39.00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39.00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83" w:type="dxa"/>
            <w:gridSpan w:val="2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91.50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（二）主要经验，存在的问题和改进措施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1.主要经验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（1）项目按计划实施，且按时完成项目。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（2）项目的实施，组织有序，能够明确人员对项目的各项具体工作，程序到位。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（3）项目资金使用符合程序，会计核算规范。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2.存在的问题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（1）豹澥街道办事处2017年预算金额6690万元，年中进行了预算调整，调整后的预算金额为8106.08万元，预算中期调整数额较大，年初预算编制缺乏前瞻性。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（2）单位各部门衔接不及时，无法及时监控预算绩效目标实施情况。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 xml:space="preserve">（3）绩效评价工作机制有待进一步完善，由于在平时工作中未加强对绩效监控工作的重视，绩效监控工作容易滞后，未形成对绩效目标进行监控的习惯。 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3.改进措施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（1）科学合理编制预算，严格执行预算。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加强预算编制的前瞻性，按照《预算法》及其实施条例的相关规定，按政策规定及本部门的发展规划，结合上一年度预算执行情况和本年度预算收支变化因素，科学、合理地编制本年预算。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（2）加强各部门衔接，使预算绩效目标实施进度得到及时反馈，便于及时汇总监控。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 xml:space="preserve">（3）制定有效绩效监控机制，确保绩效目标完成 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 xml:space="preserve"> 科学设置预算绩效指标，合理安排经费和各项资金，使其物尽其用，更加贴合街道财务工作的实际情况，能够合理运用现有资源，及时协调并向上级多争取资金，保证各预算绩效指标的顺利实施。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（4）完善绩效评价体系，加强监督检查和考核工作。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进一步探索完善项目绩效评价指标体系，加强对绩效管理工作的跟踪督查，做到绩效管理依据、按程序、有奖惩，实现绩效管理的规范化、常态化。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DE603"/>
    <w:multiLevelType w:val="singleLevel"/>
    <w:tmpl w:val="903DE60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6B2EFD7"/>
    <w:multiLevelType w:val="singleLevel"/>
    <w:tmpl w:val="96B2EFD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25A2C55"/>
    <w:multiLevelType w:val="singleLevel"/>
    <w:tmpl w:val="F25A2C5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E0A0AA"/>
    <w:multiLevelType w:val="singleLevel"/>
    <w:tmpl w:val="FFE0A0AA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43DFDF1"/>
    <w:multiLevelType w:val="singleLevel"/>
    <w:tmpl w:val="743DFDF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7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ED"/>
    <w:rsid w:val="0001772C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18F2"/>
    <w:rsid w:val="002E21C0"/>
    <w:rsid w:val="00312E59"/>
    <w:rsid w:val="00323B43"/>
    <w:rsid w:val="00370F22"/>
    <w:rsid w:val="0037538F"/>
    <w:rsid w:val="003C33F2"/>
    <w:rsid w:val="003D37D8"/>
    <w:rsid w:val="00426133"/>
    <w:rsid w:val="00430421"/>
    <w:rsid w:val="00431588"/>
    <w:rsid w:val="004358AB"/>
    <w:rsid w:val="004407E6"/>
    <w:rsid w:val="004474B4"/>
    <w:rsid w:val="0046091D"/>
    <w:rsid w:val="004D7D65"/>
    <w:rsid w:val="00511E86"/>
    <w:rsid w:val="00533C17"/>
    <w:rsid w:val="00556C98"/>
    <w:rsid w:val="005B449F"/>
    <w:rsid w:val="005C057F"/>
    <w:rsid w:val="005F1FA2"/>
    <w:rsid w:val="0061044F"/>
    <w:rsid w:val="00646896"/>
    <w:rsid w:val="00651C31"/>
    <w:rsid w:val="006A2012"/>
    <w:rsid w:val="0082633A"/>
    <w:rsid w:val="00836EB3"/>
    <w:rsid w:val="00857343"/>
    <w:rsid w:val="008B7726"/>
    <w:rsid w:val="008C0053"/>
    <w:rsid w:val="00915F22"/>
    <w:rsid w:val="00924366"/>
    <w:rsid w:val="009616CE"/>
    <w:rsid w:val="00A067A3"/>
    <w:rsid w:val="00A119B0"/>
    <w:rsid w:val="00A22994"/>
    <w:rsid w:val="00A374EA"/>
    <w:rsid w:val="00A51A73"/>
    <w:rsid w:val="00AF6F28"/>
    <w:rsid w:val="00B03154"/>
    <w:rsid w:val="00B45745"/>
    <w:rsid w:val="00B53446"/>
    <w:rsid w:val="00B63F2B"/>
    <w:rsid w:val="00B66ECE"/>
    <w:rsid w:val="00B74475"/>
    <w:rsid w:val="00BB59F6"/>
    <w:rsid w:val="00BC40AE"/>
    <w:rsid w:val="00BD16F7"/>
    <w:rsid w:val="00C4253A"/>
    <w:rsid w:val="00C80834"/>
    <w:rsid w:val="00CA7085"/>
    <w:rsid w:val="00CC3D9A"/>
    <w:rsid w:val="00CF5055"/>
    <w:rsid w:val="00D31D50"/>
    <w:rsid w:val="00D5135D"/>
    <w:rsid w:val="00D77587"/>
    <w:rsid w:val="00E0108E"/>
    <w:rsid w:val="00E1028F"/>
    <w:rsid w:val="00E15CD5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9C26AF"/>
    <w:rsid w:val="01A569BB"/>
    <w:rsid w:val="02086254"/>
    <w:rsid w:val="05581275"/>
    <w:rsid w:val="099C3725"/>
    <w:rsid w:val="0B947DD0"/>
    <w:rsid w:val="0CB00426"/>
    <w:rsid w:val="0D332DA6"/>
    <w:rsid w:val="0E797902"/>
    <w:rsid w:val="0F3F3B56"/>
    <w:rsid w:val="0FA76582"/>
    <w:rsid w:val="11D60462"/>
    <w:rsid w:val="14C72396"/>
    <w:rsid w:val="15B35816"/>
    <w:rsid w:val="16C70060"/>
    <w:rsid w:val="16EB2D22"/>
    <w:rsid w:val="1A995F77"/>
    <w:rsid w:val="1B0B1890"/>
    <w:rsid w:val="1BC0461C"/>
    <w:rsid w:val="1D1A7B3A"/>
    <w:rsid w:val="1D4922B1"/>
    <w:rsid w:val="1E142841"/>
    <w:rsid w:val="20302F83"/>
    <w:rsid w:val="211E0851"/>
    <w:rsid w:val="216B6B00"/>
    <w:rsid w:val="22420288"/>
    <w:rsid w:val="234B08FA"/>
    <w:rsid w:val="25086005"/>
    <w:rsid w:val="26FD6D22"/>
    <w:rsid w:val="27F710FF"/>
    <w:rsid w:val="2B324E3C"/>
    <w:rsid w:val="2D14105F"/>
    <w:rsid w:val="2F122C91"/>
    <w:rsid w:val="30065D6B"/>
    <w:rsid w:val="339E26D7"/>
    <w:rsid w:val="341A36C5"/>
    <w:rsid w:val="381635BE"/>
    <w:rsid w:val="386B224F"/>
    <w:rsid w:val="40C33E66"/>
    <w:rsid w:val="42BF5974"/>
    <w:rsid w:val="44132707"/>
    <w:rsid w:val="49AB638A"/>
    <w:rsid w:val="4AD86EB8"/>
    <w:rsid w:val="4BB06E50"/>
    <w:rsid w:val="4C1E286A"/>
    <w:rsid w:val="4F8E2E5C"/>
    <w:rsid w:val="50C56FEF"/>
    <w:rsid w:val="55E3213C"/>
    <w:rsid w:val="564D30FD"/>
    <w:rsid w:val="5670670F"/>
    <w:rsid w:val="56824E7D"/>
    <w:rsid w:val="56C32683"/>
    <w:rsid w:val="56C54819"/>
    <w:rsid w:val="57972EAC"/>
    <w:rsid w:val="57F832A4"/>
    <w:rsid w:val="59205C8E"/>
    <w:rsid w:val="5AD2333D"/>
    <w:rsid w:val="5CAC5D95"/>
    <w:rsid w:val="5DE83AF9"/>
    <w:rsid w:val="5DED0BA4"/>
    <w:rsid w:val="5FFE53B4"/>
    <w:rsid w:val="60715A11"/>
    <w:rsid w:val="60A94CAF"/>
    <w:rsid w:val="61F211C3"/>
    <w:rsid w:val="62272D70"/>
    <w:rsid w:val="629A34A3"/>
    <w:rsid w:val="65AC4BB5"/>
    <w:rsid w:val="661565B2"/>
    <w:rsid w:val="67B34FBF"/>
    <w:rsid w:val="67C056A2"/>
    <w:rsid w:val="682B2575"/>
    <w:rsid w:val="68981A3A"/>
    <w:rsid w:val="69DF7277"/>
    <w:rsid w:val="6D980B48"/>
    <w:rsid w:val="6D9F7E66"/>
    <w:rsid w:val="6E27520B"/>
    <w:rsid w:val="6ED55F35"/>
    <w:rsid w:val="72D85C36"/>
    <w:rsid w:val="72F83850"/>
    <w:rsid w:val="763B3923"/>
    <w:rsid w:val="76BA510F"/>
    <w:rsid w:val="789649BF"/>
    <w:rsid w:val="78982011"/>
    <w:rsid w:val="7B3B47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/>
      <w:sz w:val="24"/>
      <w:szCs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1">
    <w:name w:val="页脚 Char"/>
    <w:basedOn w:val="6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rFonts w:ascii="Tahoma" w:hAnsi="Tahoma" w:cs="Times New Roman"/>
    </w:rPr>
  </w:style>
  <w:style w:type="paragraph" w:customStyle="1" w:styleId="13">
    <w:name w:val="列出段落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paragraph" w:customStyle="1" w:styleId="14">
    <w:name w:val="列出段落1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paragraph" w:customStyle="1" w:styleId="15">
    <w:name w:val="列出段落2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character" w:customStyle="1" w:styleId="16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898</Words>
  <Characters>5121</Characters>
  <Lines>42</Lines>
  <Paragraphs>12</Paragraphs>
  <TotalTime>0</TotalTime>
  <ScaleCrop>false</ScaleCrop>
  <LinksUpToDate>false</LinksUpToDate>
  <CharactersWithSpaces>6007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2018-05-18T08:06:00Z</cp:lastPrinted>
  <dcterms:modified xsi:type="dcterms:W3CDTF">2018-08-21T08:17:57Z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