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jc w:val="center"/>
        <w:rPr>
          <w:rFonts w:ascii="创艺简标宋" w:eastAsia="创艺简标宋"/>
          <w:w w:val="90"/>
          <w:kern w:val="44"/>
          <w:sz w:val="52"/>
          <w:szCs w:val="52"/>
        </w:rPr>
      </w:pPr>
    </w:p>
    <w:p>
      <w:pPr>
        <w:spacing w:line="560" w:lineRule="atLeast"/>
        <w:jc w:val="center"/>
        <w:rPr>
          <w:rFonts w:ascii="创艺简标宋" w:eastAsia="创艺简标宋"/>
          <w:w w:val="90"/>
          <w:kern w:val="44"/>
          <w:sz w:val="52"/>
          <w:szCs w:val="52"/>
        </w:rPr>
      </w:pPr>
    </w:p>
    <w:p>
      <w:pPr>
        <w:spacing w:line="560" w:lineRule="atLeast"/>
        <w:jc w:val="center"/>
        <w:rPr>
          <w:rFonts w:ascii="创艺简标宋" w:eastAsia="创艺简标宋"/>
          <w:w w:val="90"/>
          <w:kern w:val="44"/>
          <w:sz w:val="52"/>
          <w:szCs w:val="52"/>
        </w:rPr>
      </w:pPr>
    </w:p>
    <w:p>
      <w:pPr>
        <w:spacing w:line="360" w:lineRule="auto"/>
        <w:jc w:val="center"/>
        <w:rPr>
          <w:rFonts w:ascii="黑体" w:hAnsi="黑体" w:eastAsia="黑体" w:cs="黑体"/>
          <w:b/>
          <w:bCs/>
          <w:sz w:val="44"/>
          <w:szCs w:val="44"/>
        </w:rPr>
      </w:pPr>
      <w:r>
        <w:rPr>
          <w:rFonts w:hint="eastAsia" w:ascii="黑体" w:hAnsi="黑体" w:eastAsia="黑体" w:cs="黑体"/>
          <w:b/>
          <w:bCs/>
          <w:sz w:val="36"/>
          <w:szCs w:val="36"/>
        </w:rPr>
        <w:t>武汉东湖新技术开发区预算项目绩效自评报告</w:t>
      </w: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spacing w:line="360" w:lineRule="auto"/>
        <w:jc w:val="center"/>
        <w:rPr>
          <w:rFonts w:ascii="宋体" w:hAnsi="宋体" w:cs="宋体"/>
          <w:b/>
          <w:bCs/>
          <w:sz w:val="28"/>
          <w:szCs w:val="28"/>
        </w:rPr>
      </w:pPr>
    </w:p>
    <w:p>
      <w:pPr>
        <w:rPr>
          <w:rFonts w:hint="eastAsia" w:asciiTheme="minorEastAsia" w:hAnsiTheme="minorEastAsia" w:eastAsiaTheme="minorEastAsia" w:cstheme="minorEastAsia"/>
          <w:b/>
          <w:sz w:val="32"/>
          <w:szCs w:val="32"/>
          <w:u w:val="single"/>
          <w:lang w:val="en-US" w:eastAsia="zh-CN"/>
        </w:rPr>
      </w:pPr>
      <w:r>
        <w:rPr>
          <w:rFonts w:hint="eastAsia" w:asciiTheme="minorEastAsia" w:hAnsiTheme="minorEastAsia" w:eastAsiaTheme="minorEastAsia" w:cstheme="minorEastAsia"/>
          <w:b/>
          <w:sz w:val="30"/>
          <w:szCs w:val="30"/>
        </w:rPr>
        <w:t xml:space="preserve">     </w:t>
      </w:r>
      <w:r>
        <w:rPr>
          <w:rFonts w:hint="eastAsia" w:asciiTheme="minorEastAsia" w:hAnsiTheme="minorEastAsia" w:eastAsiaTheme="minorEastAsia" w:cstheme="minorEastAsia"/>
          <w:b/>
          <w:sz w:val="32"/>
          <w:szCs w:val="32"/>
        </w:rPr>
        <w:t>项目名称：</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安全生产及维稳项目</w:t>
      </w:r>
      <w:r>
        <w:rPr>
          <w:rFonts w:hint="eastAsia" w:asciiTheme="minorEastAsia" w:hAnsiTheme="minorEastAsia" w:eastAsiaTheme="minorEastAsia" w:cstheme="minorEastAsia"/>
          <w:b/>
          <w:sz w:val="32"/>
          <w:szCs w:val="32"/>
          <w:u w:val="single"/>
          <w:lang w:val="en-US" w:eastAsia="zh-CN"/>
        </w:rPr>
        <w:t xml:space="preserve">      </w:t>
      </w:r>
    </w:p>
    <w:p>
      <w:pPr>
        <w:rPr>
          <w:rFonts w:asciiTheme="minorEastAsia" w:hAnsiTheme="minorEastAsia" w:eastAsiaTheme="minorEastAsia" w:cstheme="minorEastAsia"/>
          <w:b/>
          <w:sz w:val="32"/>
          <w:szCs w:val="32"/>
          <w:u w:val="single"/>
        </w:rPr>
      </w:pPr>
      <w:r>
        <w:rPr>
          <w:rFonts w:hint="eastAsia" w:asciiTheme="minorEastAsia" w:hAnsiTheme="minorEastAsia" w:eastAsiaTheme="minorEastAsia" w:cstheme="minorEastAsia"/>
          <w:b/>
          <w:sz w:val="32"/>
          <w:szCs w:val="32"/>
        </w:rPr>
        <w:t xml:space="preserve">     项目单位：</w:t>
      </w:r>
      <w:r>
        <w:rPr>
          <w:rFonts w:hint="eastAsia" w:asciiTheme="minorEastAsia" w:hAnsiTheme="minorEastAsia" w:eastAsiaTheme="minorEastAsia" w:cstheme="minorEastAsia"/>
          <w:b/>
          <w:sz w:val="32"/>
          <w:szCs w:val="32"/>
          <w:u w:val="single"/>
        </w:rPr>
        <w:t>东湖新技术开发区豹澥街道办事处</w:t>
      </w:r>
    </w:p>
    <w:p>
      <w:pPr>
        <w:rPr>
          <w:rFonts w:asciiTheme="minorEastAsia" w:hAnsiTheme="minorEastAsia" w:eastAsiaTheme="minorEastAsia" w:cstheme="minorEastAsia"/>
          <w:b/>
          <w:sz w:val="32"/>
          <w:szCs w:val="32"/>
          <w:u w:val="single"/>
        </w:rPr>
      </w:pPr>
      <w:r>
        <w:rPr>
          <w:rFonts w:hint="eastAsia" w:asciiTheme="minorEastAsia" w:hAnsiTheme="minorEastAsia" w:eastAsiaTheme="minorEastAsia" w:cstheme="minorEastAsia"/>
          <w:b/>
          <w:sz w:val="32"/>
          <w:szCs w:val="32"/>
        </w:rPr>
        <w:t xml:space="preserve">     区财政局主管业务处室：</w:t>
      </w:r>
      <w:r>
        <w:rPr>
          <w:rFonts w:hint="eastAsia" w:asciiTheme="minorEastAsia" w:hAnsiTheme="minorEastAsia" w:eastAsiaTheme="minorEastAsia" w:cstheme="minorEastAsia"/>
          <w:b/>
          <w:sz w:val="32"/>
          <w:szCs w:val="32"/>
          <w:u w:val="single"/>
        </w:rPr>
        <w:t xml:space="preserve">   </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行财科</w:t>
      </w:r>
      <w:r>
        <w:rPr>
          <w:rFonts w:hint="eastAsia" w:asciiTheme="minorEastAsia" w:hAnsiTheme="minorEastAsia" w:eastAsiaTheme="minorEastAsia" w:cstheme="minorEastAsia"/>
          <w:b/>
          <w:sz w:val="32"/>
          <w:szCs w:val="32"/>
          <w:u w:val="single"/>
          <w:lang w:val="en-US" w:eastAsia="zh-CN"/>
        </w:rPr>
        <w:t xml:space="preserve">  </w:t>
      </w:r>
      <w:r>
        <w:rPr>
          <w:rFonts w:hint="eastAsia" w:asciiTheme="minorEastAsia" w:hAnsiTheme="minorEastAsia" w:eastAsiaTheme="minorEastAsia" w:cstheme="minorEastAsia"/>
          <w:b/>
          <w:sz w:val="32"/>
          <w:szCs w:val="32"/>
          <w:u w:val="single"/>
        </w:rPr>
        <w:t xml:space="preserve">   </w:t>
      </w:r>
    </w:p>
    <w:p>
      <w:pPr>
        <w:spacing w:line="360" w:lineRule="auto"/>
        <w:ind w:firstLine="793" w:firstLineChars="247"/>
        <w:rPr>
          <w:rFonts w:hint="eastAsia" w:cs="宋体" w:asciiTheme="minorEastAsia" w:hAnsiTheme="minorEastAsia" w:eastAsiaTheme="minorEastAsia"/>
          <w:b/>
          <w:bCs/>
          <w:sz w:val="32"/>
          <w:szCs w:val="32"/>
          <w:u w:val="single"/>
          <w:lang w:val="en-US" w:eastAsia="zh-CN"/>
        </w:rPr>
      </w:pPr>
      <w:r>
        <w:rPr>
          <w:rFonts w:hint="eastAsia" w:cs="宋体" w:asciiTheme="minorEastAsia" w:hAnsiTheme="minorEastAsia" w:eastAsiaTheme="minorEastAsia"/>
          <w:b/>
          <w:bCs/>
          <w:sz w:val="32"/>
          <w:szCs w:val="32"/>
        </w:rPr>
        <w:t>评价机构：</w:t>
      </w:r>
      <w:r>
        <w:rPr>
          <w:rFonts w:hint="eastAsia" w:cs="宋体" w:asciiTheme="minorEastAsia" w:hAnsiTheme="minorEastAsia" w:eastAsiaTheme="minorEastAsia"/>
          <w:b/>
          <w:bCs/>
          <w:sz w:val="32"/>
          <w:szCs w:val="32"/>
          <w:u w:val="single"/>
          <w:lang w:val="en-US" w:eastAsia="zh-CN"/>
        </w:rPr>
        <w:t xml:space="preserve">  </w:t>
      </w:r>
      <w:r>
        <w:rPr>
          <w:rFonts w:hint="eastAsia" w:cs="宋体" w:asciiTheme="minorEastAsia" w:hAnsiTheme="minorEastAsia" w:eastAsiaTheme="minorEastAsia"/>
          <w:b/>
          <w:bCs/>
          <w:sz w:val="32"/>
          <w:szCs w:val="32"/>
          <w:u w:val="single"/>
        </w:rPr>
        <w:t>武汉真道会计师事务有限公司</w:t>
      </w:r>
      <w:r>
        <w:rPr>
          <w:rFonts w:hint="eastAsia" w:cs="宋体" w:asciiTheme="minorEastAsia" w:hAnsiTheme="minorEastAsia" w:eastAsiaTheme="minorEastAsia"/>
          <w:b/>
          <w:bCs/>
          <w:sz w:val="32"/>
          <w:szCs w:val="32"/>
          <w:u w:val="single"/>
          <w:lang w:val="en-US" w:eastAsia="zh-CN"/>
        </w:rPr>
        <w:t xml:space="preserve">  </w:t>
      </w:r>
    </w:p>
    <w:p>
      <w:pPr>
        <w:spacing w:line="360" w:lineRule="auto"/>
        <w:jc w:val="center"/>
        <w:rPr>
          <w:rFonts w:ascii="宋体" w:hAnsi="宋体" w:cs="宋体"/>
          <w:b/>
          <w:bCs/>
          <w:sz w:val="28"/>
          <w:szCs w:val="28"/>
        </w:rPr>
      </w:pPr>
    </w:p>
    <w:p>
      <w:pPr>
        <w:spacing w:line="360" w:lineRule="auto"/>
        <w:jc w:val="center"/>
        <w:rPr>
          <w:rFonts w:ascii="宋体" w:hAnsi="宋体" w:cs="宋体"/>
          <w:b/>
          <w:bCs/>
          <w:sz w:val="44"/>
          <w:szCs w:val="44"/>
        </w:rPr>
      </w:pPr>
    </w:p>
    <w:p>
      <w:pPr>
        <w:spacing w:line="360" w:lineRule="auto"/>
        <w:rPr>
          <w:rFonts w:ascii="宋体" w:hAnsi="宋体" w:cs="宋体"/>
          <w:b/>
          <w:bCs/>
          <w:sz w:val="28"/>
          <w:szCs w:val="28"/>
        </w:rPr>
      </w:pPr>
    </w:p>
    <w:p>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2018年5月</w:t>
      </w:r>
    </w:p>
    <w:p>
      <w:pPr>
        <w:spacing w:line="360" w:lineRule="auto"/>
        <w:jc w:val="center"/>
        <w:rPr>
          <w:rFonts w:asciiTheme="minorEastAsia" w:hAnsiTheme="minorEastAsia" w:eastAsiaTheme="minorEastAsia" w:cstheme="minorEastAsia"/>
          <w:b/>
          <w:sz w:val="32"/>
          <w:szCs w:val="32"/>
        </w:rPr>
        <w:sectPr>
          <w:headerReference r:id="rId3" w:type="default"/>
          <w:pgSz w:w="11906" w:h="16838"/>
          <w:pgMar w:top="1440" w:right="1800" w:bottom="1440" w:left="1800" w:header="708" w:footer="708" w:gutter="0"/>
          <w:cols w:space="708" w:num="1"/>
          <w:docGrid w:linePitch="360" w:charSpace="0"/>
        </w:sectPr>
      </w:pPr>
    </w:p>
    <w:p>
      <w:pPr>
        <w:spacing w:line="360" w:lineRule="auto"/>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sz w:val="32"/>
          <w:szCs w:val="32"/>
        </w:rPr>
        <w:t>武汉东湖新技术开发区豹澥街道办事处2017年安全生产及维稳项目</w:t>
      </w:r>
      <w:r>
        <w:rPr>
          <w:rFonts w:hint="eastAsia" w:asciiTheme="minorEastAsia" w:hAnsiTheme="minorEastAsia" w:eastAsiaTheme="minorEastAsia" w:cstheme="minorEastAsia"/>
          <w:b/>
          <w:bCs/>
          <w:sz w:val="32"/>
          <w:szCs w:val="32"/>
        </w:rPr>
        <w:t>绩效自评报告</w:t>
      </w:r>
    </w:p>
    <w:p>
      <w:pPr>
        <w:pStyle w:val="13"/>
        <w:spacing w:line="360" w:lineRule="auto"/>
        <w:ind w:firstLine="0" w:firstLineChars="0"/>
        <w:rPr>
          <w:rFonts w:ascii="宋体" w:hAnsi="宋体"/>
          <w:b/>
          <w:sz w:val="28"/>
          <w:szCs w:val="28"/>
        </w:rPr>
      </w:pPr>
    </w:p>
    <w:p>
      <w:pPr>
        <w:pStyle w:val="13"/>
        <w:spacing w:line="360" w:lineRule="auto"/>
        <w:ind w:firstLine="0" w:firstLineChars="0"/>
        <w:rPr>
          <w:rFonts w:ascii="宋体"/>
          <w:b/>
          <w:sz w:val="28"/>
          <w:szCs w:val="28"/>
        </w:rPr>
      </w:pPr>
      <w:r>
        <w:rPr>
          <w:rFonts w:hint="eastAsia" w:ascii="宋体" w:hAnsi="宋体"/>
          <w:b/>
          <w:sz w:val="28"/>
          <w:szCs w:val="28"/>
        </w:rPr>
        <w:t>一、基本情况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w:t>
      </w:r>
      <w:r>
        <w:rPr>
          <w:rFonts w:hint="eastAsia" w:ascii="宋体" w:hAnsi="宋体" w:eastAsia="宋体"/>
          <w:kern w:val="2"/>
          <w:sz w:val="28"/>
          <w:szCs w:val="28"/>
        </w:rPr>
        <w:t>一</w:t>
      </w:r>
      <w:r>
        <w:rPr>
          <w:rFonts w:ascii="宋体" w:hAnsi="宋体" w:eastAsia="宋体"/>
          <w:kern w:val="2"/>
          <w:sz w:val="28"/>
          <w:szCs w:val="28"/>
        </w:rPr>
        <w:t>)</w:t>
      </w:r>
      <w:r>
        <w:rPr>
          <w:rFonts w:hint="eastAsia" w:ascii="宋体" w:hAnsi="宋体" w:eastAsia="宋体"/>
          <w:kern w:val="2"/>
          <w:sz w:val="28"/>
          <w:szCs w:val="28"/>
        </w:rPr>
        <w:t>项目概况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豹澥街道办事处为了落实安全生产及维稳工作，维护社会安定，保障街道社会、经济的稳定发展，按照省市区有关政策，对豹澥街道办事处安全生产及维稳经费予以保障。安全生产及维稳经费主要用于开展辖区内安全生产管理，组织相关会议、培训和活动，城市综合治理、法制建设和信访事务支出。</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201</w:t>
      </w:r>
      <w:r>
        <w:rPr>
          <w:rFonts w:hint="eastAsia" w:ascii="宋体" w:hAnsi="宋体" w:eastAsia="宋体"/>
          <w:kern w:val="2"/>
          <w:sz w:val="28"/>
          <w:szCs w:val="28"/>
        </w:rPr>
        <w:t>7年豹澥街安全生产及维稳经费项目实际支出159.92万元。安全生产及维稳项目完成了相关目标任务。</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w:t>
      </w:r>
      <w:r>
        <w:rPr>
          <w:rFonts w:hint="eastAsia" w:ascii="宋体" w:hAnsi="宋体" w:eastAsia="宋体"/>
          <w:kern w:val="2"/>
          <w:sz w:val="28"/>
          <w:szCs w:val="28"/>
        </w:rPr>
        <w:t>二</w:t>
      </w:r>
      <w:r>
        <w:rPr>
          <w:rFonts w:ascii="宋体" w:hAnsi="宋体" w:eastAsia="宋体"/>
          <w:kern w:val="2"/>
          <w:sz w:val="28"/>
          <w:szCs w:val="28"/>
        </w:rPr>
        <w:t>)</w:t>
      </w:r>
      <w:r>
        <w:rPr>
          <w:rFonts w:hint="eastAsia" w:ascii="宋体" w:hAnsi="宋体" w:eastAsia="宋体"/>
          <w:kern w:val="2"/>
          <w:sz w:val="28"/>
          <w:szCs w:val="28"/>
        </w:rPr>
        <w:t>项目预算绩效目标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项目总目标：根据武汉市安全生产委员会办公室武安办［2013］17号文件精神，进一步加强豹澥街安全生产工作，提高安全生产监督管理水平，实现安全生产工作“关口前移，重心下移”。做好辖区各项安全生产、维稳工作。</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具体绩效目标分解如下：</w:t>
      </w:r>
    </w:p>
    <w:p>
      <w:pPr>
        <w:widowControl w:val="0"/>
        <w:numPr>
          <w:ilvl w:val="0"/>
          <w:numId w:val="1"/>
        </w:numPr>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产出目标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数量指标：培训人数40人；质量指标：</w:t>
      </w:r>
      <w:r>
        <w:rPr>
          <w:rFonts w:hint="eastAsia" w:ascii="宋体" w:hAnsi="宋体" w:eastAsia="宋体" w:cs="宋体"/>
          <w:color w:val="000000"/>
          <w:sz w:val="28"/>
          <w:szCs w:val="28"/>
        </w:rPr>
        <w:t>资金使用合规率98%、专项治理水平提升率90%；时效指标：2017年年内完成此项工作；成本指标：实际经费支出小于预算申报金额</w:t>
      </w:r>
      <w:r>
        <w:rPr>
          <w:rFonts w:hint="eastAsia" w:ascii="宋体" w:hAnsi="宋体" w:eastAsia="宋体"/>
          <w:kern w:val="2"/>
          <w:sz w:val="28"/>
          <w:szCs w:val="28"/>
        </w:rPr>
        <w:t>。</w:t>
      </w:r>
    </w:p>
    <w:p>
      <w:pPr>
        <w:widowControl w:val="0"/>
        <w:numPr>
          <w:ilvl w:val="0"/>
          <w:numId w:val="1"/>
        </w:numPr>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效果目标</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济效益：建设“食品放心工程”工作；社会效益：积极完成社会治理、平安建设（综治）各项目标任务，支持、参与社会治理创新，结合工作开展重点项目建设；可持续发展影响：认真落实主体责任，确保完成好平安建设各项工作任务，不断提升社会治理能力与水平；服务对象满意度：</w:t>
      </w:r>
      <w:r>
        <w:rPr>
          <w:rFonts w:hint="eastAsia" w:ascii="宋体" w:hAnsi="宋体" w:eastAsia="宋体" w:cs="宋体"/>
          <w:color w:val="000000"/>
          <w:sz w:val="28"/>
          <w:szCs w:val="28"/>
        </w:rPr>
        <w:t>群众满意度</w:t>
      </w:r>
      <w:r>
        <w:rPr>
          <w:rFonts w:hint="eastAsia" w:ascii="宋体" w:hAnsi="宋体" w:eastAsia="宋体"/>
          <w:kern w:val="2"/>
          <w:sz w:val="28"/>
          <w:szCs w:val="28"/>
        </w:rPr>
        <w:t>80%以上。</w:t>
      </w:r>
    </w:p>
    <w:p>
      <w:pPr>
        <w:widowControl w:val="0"/>
        <w:adjustRightInd/>
        <w:snapToGrid/>
        <w:spacing w:after="0" w:line="360" w:lineRule="auto"/>
        <w:jc w:val="both"/>
        <w:rPr>
          <w:rFonts w:ascii="宋体" w:hAnsi="宋体" w:eastAsia="宋体"/>
          <w:b/>
          <w:bCs/>
          <w:kern w:val="2"/>
          <w:sz w:val="28"/>
          <w:szCs w:val="28"/>
        </w:rPr>
      </w:pPr>
    </w:p>
    <w:p>
      <w:pPr>
        <w:widowControl w:val="0"/>
        <w:adjustRightInd/>
        <w:snapToGrid/>
        <w:spacing w:after="0" w:line="360" w:lineRule="auto"/>
        <w:jc w:val="both"/>
        <w:rPr>
          <w:rFonts w:ascii="宋体" w:hAnsi="宋体" w:eastAsia="宋体"/>
          <w:b/>
          <w:bCs/>
          <w:kern w:val="2"/>
          <w:sz w:val="28"/>
          <w:szCs w:val="28"/>
        </w:rPr>
      </w:pPr>
      <w:r>
        <w:rPr>
          <w:rFonts w:hint="eastAsia" w:ascii="宋体" w:hAnsi="宋体" w:eastAsia="宋体"/>
          <w:b/>
          <w:bCs/>
          <w:kern w:val="2"/>
          <w:sz w:val="28"/>
          <w:szCs w:val="28"/>
        </w:rPr>
        <w:t>二、项目绩效分析</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（一）项目管理情况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1.业务管理情况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（1）领导重视，机构健全。</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开展安全生产管理和维稳工作是关乎辖区社会稳定大局、保障居民生命财产安全、贯彻落实“以人为本”的重要举措。街道领导高度重视，指定街综治办负责此项目，并且要求辖区派出所、消防等部门密切配合。街道定期召开安全生产会议，每逢重大节假日，成立由街道主要领导带队的检查小组到辖区开展安全生产检查指导工作，并且在街道综治办内部组建“安全生产检查专班”，全年不定时对全</w:t>
      </w:r>
      <w:r>
        <w:rPr>
          <w:rFonts w:hint="eastAsia" w:ascii="宋体" w:hAnsi="宋体" w:eastAsia="宋体"/>
          <w:kern w:val="2"/>
          <w:sz w:val="28"/>
          <w:szCs w:val="28"/>
          <w:lang w:eastAsia="zh-CN"/>
        </w:rPr>
        <w:t>街</w:t>
      </w:r>
      <w:r>
        <w:rPr>
          <w:rFonts w:hint="eastAsia" w:ascii="宋体" w:hAnsi="宋体" w:eastAsia="宋体"/>
          <w:kern w:val="2"/>
          <w:sz w:val="28"/>
          <w:szCs w:val="28"/>
        </w:rPr>
        <w:t>进行安全生产抽查。</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w:t>
      </w:r>
      <w:r>
        <w:fldChar w:fldCharType="begin"/>
      </w:r>
      <w:r>
        <w:instrText xml:space="preserve"> HYPERLINK "http://www.cssyq.com/guizhangzhidu/" </w:instrText>
      </w:r>
      <w:r>
        <w:fldChar w:fldCharType="separate"/>
      </w:r>
      <w:r>
        <w:rPr>
          <w:rFonts w:hint="eastAsia" w:ascii="宋体" w:hAnsi="宋体" w:eastAsia="宋体"/>
          <w:kern w:val="2"/>
          <w:sz w:val="28"/>
          <w:szCs w:val="28"/>
        </w:rPr>
        <w:t>制度</w:t>
      </w:r>
      <w:r>
        <w:rPr>
          <w:rFonts w:hint="eastAsia" w:ascii="宋体" w:hAnsi="宋体" w:eastAsia="宋体"/>
          <w:kern w:val="2"/>
          <w:sz w:val="28"/>
          <w:szCs w:val="28"/>
        </w:rPr>
        <w:fldChar w:fldCharType="end"/>
      </w:r>
      <w:r>
        <w:rPr>
          <w:rFonts w:hint="eastAsia" w:ascii="宋体" w:hAnsi="宋体" w:eastAsia="宋体"/>
          <w:kern w:val="2"/>
          <w:sz w:val="28"/>
          <w:szCs w:val="28"/>
        </w:rPr>
        <w:t>健全，规范使用。</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具体使用范围按照相关文件的精神的要求，在街道和社区党组织的领导和组织下遵循公开透明、及时便利的原则。街综治办保管项目的相关基础资料。项目实施前报相关业务科室、领导审核后再实施。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（3）明确当年申请预算资金的主要投向</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 xml:space="preserve"> 安全生产，用于开展辖区内安全生产管理，组织相关会议、培训和活动，安全生产宣传，道路交通、烟花爆竹、危化品及其他隐患排查等事务支出，突发公共事件。</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信访维稳经费，用于群众到区、市、省及赴京上访信访维稳劝返工作的处理，信访群众工作站硬件建设以及单位信访维稳学习培训、宣传等工作经费。</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2.财务管理情况</w:t>
      </w:r>
    </w:p>
    <w:p>
      <w:pPr>
        <w:widowControl w:val="0"/>
        <w:adjustRightInd/>
        <w:snapToGrid/>
        <w:spacing w:after="0" w:line="360" w:lineRule="auto"/>
        <w:ind w:firstLine="560" w:firstLineChars="200"/>
        <w:jc w:val="both"/>
        <w:rPr>
          <w:rFonts w:hint="eastAsia" w:ascii="宋体" w:hAnsi="宋体" w:eastAsia="宋体"/>
          <w:kern w:val="2"/>
          <w:sz w:val="28"/>
          <w:szCs w:val="28"/>
        </w:rPr>
      </w:pPr>
      <w:r>
        <w:rPr>
          <w:rFonts w:hint="eastAsia" w:ascii="宋体" w:hAnsi="宋体" w:eastAsia="宋体"/>
          <w:kern w:val="2"/>
          <w:sz w:val="28"/>
          <w:szCs w:val="28"/>
        </w:rPr>
        <w:t>2017年安全生产及维稳项目年初预算120万元，</w:t>
      </w:r>
      <w:r>
        <w:rPr>
          <w:rFonts w:hint="eastAsia" w:ascii="宋体" w:hAnsi="宋体" w:eastAsia="宋体"/>
          <w:kern w:val="2"/>
          <w:sz w:val="28"/>
          <w:szCs w:val="28"/>
          <w:lang w:eastAsia="zh-CN"/>
        </w:rPr>
        <w:t>其中：综合治理工作经费</w:t>
      </w:r>
      <w:r>
        <w:rPr>
          <w:rFonts w:hint="eastAsia" w:ascii="宋体" w:hAnsi="宋体" w:eastAsia="宋体"/>
          <w:kern w:val="2"/>
          <w:sz w:val="28"/>
          <w:szCs w:val="28"/>
          <w:lang w:val="en-US" w:eastAsia="zh-CN"/>
        </w:rPr>
        <w:t>74万元、信访维稳工作经费10万元、安全生产经费14万元、食品安全工作经费2万元、法制建设工作经费11万元、纪检工作经费9万元。</w:t>
      </w:r>
      <w:r>
        <w:rPr>
          <w:rFonts w:hint="eastAsia" w:ascii="宋体" w:hAnsi="宋体" w:eastAsia="宋体"/>
          <w:kern w:val="2"/>
          <w:sz w:val="28"/>
          <w:szCs w:val="28"/>
        </w:rPr>
        <w:t>中期追加2017年上半年八个街道积案化解和维稳工作经费40万元</w:t>
      </w:r>
      <w:r>
        <w:rPr>
          <w:rFonts w:hint="eastAsia" w:ascii="宋体" w:hAnsi="宋体" w:eastAsia="宋体"/>
          <w:kern w:val="2"/>
          <w:sz w:val="28"/>
          <w:szCs w:val="28"/>
          <w:lang w:eastAsia="zh-CN"/>
        </w:rPr>
        <w:t>。项目</w:t>
      </w:r>
      <w:r>
        <w:rPr>
          <w:rFonts w:hint="eastAsia" w:ascii="宋体" w:hAnsi="宋体" w:eastAsia="宋体"/>
          <w:kern w:val="2"/>
          <w:sz w:val="28"/>
          <w:szCs w:val="28"/>
        </w:rPr>
        <w:t>实际到位159.92万元，项目实际执行159.92万元</w:t>
      </w:r>
      <w:r>
        <w:rPr>
          <w:rFonts w:hint="eastAsia" w:ascii="宋体" w:hAnsi="宋体" w:eastAsia="宋体"/>
          <w:kern w:val="2"/>
          <w:sz w:val="28"/>
          <w:szCs w:val="28"/>
          <w:lang w:eastAsia="zh-CN"/>
        </w:rPr>
        <w:t>，其中：综合治理工作经费</w:t>
      </w:r>
      <w:r>
        <w:rPr>
          <w:rFonts w:hint="eastAsia" w:ascii="宋体" w:hAnsi="宋体" w:eastAsia="宋体"/>
          <w:kern w:val="2"/>
          <w:sz w:val="28"/>
          <w:szCs w:val="28"/>
          <w:lang w:val="en-US" w:eastAsia="zh-CN"/>
        </w:rPr>
        <w:t>74万元、信访维稳工作经费10万元、安全生产经费14万元、食品安全工作经费2万元、法制建设工作经费10.92万元、纪检工作经费9万元、</w:t>
      </w:r>
      <w:r>
        <w:rPr>
          <w:rFonts w:hint="eastAsia" w:ascii="宋体" w:hAnsi="宋体" w:eastAsia="宋体"/>
          <w:kern w:val="2"/>
          <w:sz w:val="28"/>
          <w:szCs w:val="28"/>
        </w:rPr>
        <w:t>街道积案化解和维稳工作经费40万元。</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经费支出</w:t>
      </w:r>
      <w:r>
        <w:rPr>
          <w:rFonts w:hint="eastAsia" w:ascii="宋体" w:hAnsi="宋体" w:eastAsia="宋体"/>
          <w:kern w:val="2"/>
          <w:sz w:val="28"/>
          <w:szCs w:val="28"/>
          <w:lang w:eastAsia="zh-CN"/>
        </w:rPr>
        <w:t>严格执行《豹澥街道办事处财务管理办法》的规定，</w:t>
      </w:r>
      <w:r>
        <w:rPr>
          <w:rFonts w:hint="eastAsia" w:ascii="宋体" w:hAnsi="宋体" w:eastAsia="宋体"/>
          <w:kern w:val="2"/>
          <w:sz w:val="28"/>
          <w:szCs w:val="28"/>
        </w:rPr>
        <w:t>按照先申请再审批后支付的原则进行，项目资金单独核算，资金的拨付有完整的审批程序和手续。</w:t>
      </w:r>
    </w:p>
    <w:p>
      <w:pPr>
        <w:widowControl w:val="0"/>
        <w:adjustRightInd/>
        <w:snapToGrid/>
        <w:spacing w:after="0" w:line="360" w:lineRule="auto"/>
        <w:ind w:firstLine="560" w:firstLineChars="200"/>
        <w:jc w:val="both"/>
        <w:rPr>
          <w:rFonts w:asciiTheme="minorEastAsia" w:hAnsiTheme="minorEastAsia" w:eastAsiaTheme="minorEastAsia" w:cstheme="minorEastAsia"/>
          <w:sz w:val="28"/>
          <w:szCs w:val="28"/>
        </w:rPr>
      </w:pPr>
      <w:r>
        <w:rPr>
          <w:rFonts w:hint="eastAsia" w:ascii="宋体" w:hAnsi="宋体" w:eastAsia="宋体"/>
          <w:kern w:val="2"/>
          <w:sz w:val="28"/>
          <w:szCs w:val="28"/>
        </w:rPr>
        <w:t>（二）项目绩效目标的完成情况</w:t>
      </w:r>
    </w:p>
    <w:p>
      <w:pPr>
        <w:widowControl w:val="0"/>
        <w:adjustRightInd/>
        <w:snapToGrid/>
        <w:spacing w:after="0" w:line="360" w:lineRule="auto"/>
        <w:ind w:firstLine="560" w:firstLineChars="200"/>
        <w:jc w:val="both"/>
        <w:rPr>
          <w:rFonts w:ascii="宋体" w:hAnsi="宋体" w:eastAsia="宋体"/>
          <w:kern w:val="2"/>
          <w:sz w:val="28"/>
          <w:szCs w:val="28"/>
        </w:rPr>
      </w:pPr>
      <w:r>
        <w:rPr>
          <w:rFonts w:ascii="宋体" w:hAnsi="宋体" w:eastAsia="宋体"/>
          <w:kern w:val="2"/>
          <w:sz w:val="28"/>
          <w:szCs w:val="28"/>
        </w:rPr>
        <w:t>1.</w:t>
      </w:r>
      <w:r>
        <w:rPr>
          <w:rFonts w:hint="eastAsia" w:ascii="宋体" w:hAnsi="宋体" w:eastAsia="宋体"/>
          <w:kern w:val="2"/>
          <w:sz w:val="28"/>
          <w:szCs w:val="28"/>
        </w:rPr>
        <w:t>产出目标</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800"/>
        <w:gridCol w:w="2808"/>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trPr>
        <w:tc>
          <w:tcPr>
            <w:tcW w:w="751"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二级指标</w:t>
            </w:r>
          </w:p>
        </w:tc>
        <w:tc>
          <w:tcPr>
            <w:tcW w:w="1800"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指标内容</w:t>
            </w:r>
          </w:p>
        </w:tc>
        <w:tc>
          <w:tcPr>
            <w:tcW w:w="2808"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指标值</w:t>
            </w:r>
          </w:p>
        </w:tc>
        <w:tc>
          <w:tcPr>
            <w:tcW w:w="3163"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3" w:hRule="atLeast"/>
        </w:trPr>
        <w:tc>
          <w:tcPr>
            <w:tcW w:w="751" w:type="dxa"/>
            <w:vAlign w:val="center"/>
          </w:tcPr>
          <w:p>
            <w:pPr>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数量指标</w:t>
            </w:r>
          </w:p>
        </w:tc>
        <w:tc>
          <w:tcPr>
            <w:tcW w:w="1800"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培训人数</w:t>
            </w:r>
          </w:p>
        </w:tc>
        <w:tc>
          <w:tcPr>
            <w:tcW w:w="2808"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目标值：400人</w:t>
            </w:r>
          </w:p>
        </w:tc>
        <w:tc>
          <w:tcPr>
            <w:tcW w:w="3163"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举行安全培训会议，</w:t>
            </w:r>
            <w:r>
              <w:rPr>
                <w:rFonts w:hint="eastAsia" w:asciiTheme="minorEastAsia" w:hAnsiTheme="minorEastAsia" w:eastAsiaTheme="minorEastAsia" w:cstheme="minorEastAsia"/>
                <w:sz w:val="21"/>
                <w:szCs w:val="21"/>
              </w:rPr>
              <w:t>全年共培训420人</w:t>
            </w:r>
            <w:r>
              <w:rPr>
                <w:rFonts w:hint="eastAsia" w:asciiTheme="minorEastAsia" w:hAnsiTheme="minorEastAsia" w:eastAsiaTheme="minorEastAsia" w:cstheme="minorEastAsia"/>
                <w:sz w:val="21"/>
                <w:szCs w:val="21"/>
                <w:lang w:eastAsia="zh-CN"/>
              </w:rPr>
              <w:t>，极大的提高与会人员的安全意识、增强了预防及处理安全事故的知识</w:t>
            </w:r>
            <w:r>
              <w:rPr>
                <w:rFonts w:hint="eastAsia" w:asciiTheme="minorEastAsia" w:hAnsiTheme="minorEastAsia" w:eastAsiaTheme="minorEastAsia" w:cstheme="minorEastAsia"/>
                <w:sz w:val="21"/>
                <w:szCs w:val="21"/>
              </w:rPr>
              <w:t>。完成100%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atLeast"/>
        </w:trPr>
        <w:tc>
          <w:tcPr>
            <w:tcW w:w="751" w:type="dxa"/>
            <w:vMerge w:val="restart"/>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质量指标</w:t>
            </w: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资金使用合规性</w:t>
            </w:r>
          </w:p>
        </w:tc>
        <w:tc>
          <w:tcPr>
            <w:tcW w:w="2808" w:type="dxa"/>
            <w:vAlign w:val="center"/>
          </w:tcPr>
          <w:p>
            <w:pP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①项目资金使用是否符合相关的财务管理制度规定；</w:t>
            </w:r>
            <w:r>
              <w:rPr>
                <w:rFonts w:hint="eastAsia" w:asciiTheme="minorEastAsia" w:hAnsiTheme="minorEastAsia" w:eastAsiaTheme="minorEastAsia" w:cstheme="minorEastAsia"/>
                <w:color w:val="000000"/>
                <w:sz w:val="21"/>
                <w:szCs w:val="21"/>
              </w:rPr>
              <w:br w:type="textWrapping"/>
            </w:r>
            <w:r>
              <w:rPr>
                <w:rFonts w:hint="eastAsia" w:asciiTheme="minorEastAsia" w:hAnsiTheme="minorEastAsia" w:eastAsiaTheme="minorEastAsia" w:cstheme="minorEastAsia"/>
                <w:color w:val="000000"/>
                <w:sz w:val="21"/>
                <w:szCs w:val="21"/>
              </w:rPr>
              <w:t>②相关经费发放是否按照国家相关规定标准发放。</w:t>
            </w:r>
            <w:r>
              <w:rPr>
                <w:rFonts w:hint="eastAsia" w:asciiTheme="minorEastAsia" w:hAnsiTheme="minorEastAsia" w:eastAsiaTheme="minorEastAsia" w:cstheme="minorEastAsia"/>
                <w:color w:val="000000"/>
                <w:sz w:val="21"/>
                <w:szCs w:val="21"/>
              </w:rPr>
              <w:br w:type="textWrapping"/>
            </w:r>
            <w:r>
              <w:rPr>
                <w:rFonts w:hint="eastAsia" w:asciiTheme="minorEastAsia" w:hAnsiTheme="minorEastAsia" w:eastAsiaTheme="minorEastAsia" w:cstheme="minorEastAsia"/>
                <w:color w:val="000000"/>
                <w:sz w:val="21"/>
                <w:szCs w:val="21"/>
              </w:rPr>
              <w:t>用以反映和考核项目资金的规范运行情况。</w:t>
            </w:r>
          </w:p>
          <w:p>
            <w:pP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目标值：98%</w:t>
            </w:r>
          </w:p>
        </w:tc>
        <w:tc>
          <w:tcPr>
            <w:tcW w:w="3163"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经费支出按照先申请再审批后支付的原则进行，项目资金单独核算，资金的拨付有完整的审批程序和手续</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资金使用100%按照相关规定执行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2" w:hRule="atLeast"/>
        </w:trPr>
        <w:tc>
          <w:tcPr>
            <w:tcW w:w="751" w:type="dxa"/>
            <w:vMerge w:val="continue"/>
            <w:vAlign w:val="center"/>
          </w:tcPr>
          <w:p>
            <w:pPr>
              <w:adjustRightInd/>
              <w:snapToGrid/>
              <w:spacing w:after="0"/>
              <w:rPr>
                <w:rFonts w:asciiTheme="minorEastAsia" w:hAnsiTheme="minorEastAsia" w:eastAsiaTheme="minorEastAsia" w:cstheme="minorEastAsia"/>
                <w:sz w:val="21"/>
                <w:szCs w:val="21"/>
              </w:rPr>
            </w:pP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专项治理水平提升率</w:t>
            </w:r>
          </w:p>
        </w:tc>
        <w:tc>
          <w:tcPr>
            <w:tcW w:w="2808"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目标值：90%</w:t>
            </w:r>
          </w:p>
        </w:tc>
        <w:tc>
          <w:tcPr>
            <w:tcW w:w="3163"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lang w:eastAsia="zh-CN"/>
              </w:rPr>
              <w:t>通过</w:t>
            </w:r>
            <w:r>
              <w:rPr>
                <w:rFonts w:hint="eastAsia" w:asciiTheme="minorEastAsia" w:hAnsiTheme="minorEastAsia" w:eastAsiaTheme="minorEastAsia" w:cstheme="minorEastAsia"/>
                <w:color w:val="000000"/>
                <w:sz w:val="21"/>
                <w:szCs w:val="21"/>
              </w:rPr>
              <w:t>“安全生产检查专班”</w:t>
            </w:r>
            <w:r>
              <w:rPr>
                <w:rFonts w:hint="eastAsia" w:asciiTheme="minorEastAsia" w:hAnsiTheme="minorEastAsia" w:eastAsiaTheme="minorEastAsia" w:cstheme="minorEastAsia"/>
                <w:color w:val="000000"/>
                <w:sz w:val="21"/>
                <w:szCs w:val="21"/>
                <w:lang w:eastAsia="zh-CN"/>
              </w:rPr>
              <w:t>和</w:t>
            </w:r>
            <w:r>
              <w:rPr>
                <w:rFonts w:hint="eastAsia" w:asciiTheme="minorEastAsia" w:hAnsiTheme="minorEastAsia" w:eastAsiaTheme="minorEastAsia" w:cstheme="minorEastAsia"/>
                <w:color w:val="000000"/>
                <w:sz w:val="21"/>
                <w:szCs w:val="21"/>
              </w:rPr>
              <w:t>全年不定时对全</w:t>
            </w:r>
            <w:r>
              <w:rPr>
                <w:rFonts w:hint="eastAsia" w:asciiTheme="minorEastAsia" w:hAnsiTheme="minorEastAsia" w:eastAsiaTheme="minorEastAsia" w:cstheme="minorEastAsia"/>
                <w:color w:val="000000"/>
                <w:sz w:val="21"/>
                <w:szCs w:val="21"/>
                <w:lang w:eastAsia="zh-CN"/>
              </w:rPr>
              <w:t>街</w:t>
            </w:r>
            <w:r>
              <w:rPr>
                <w:rFonts w:hint="eastAsia" w:asciiTheme="minorEastAsia" w:hAnsiTheme="minorEastAsia" w:eastAsiaTheme="minorEastAsia" w:cstheme="minorEastAsia"/>
                <w:color w:val="000000"/>
                <w:sz w:val="21"/>
                <w:szCs w:val="21"/>
              </w:rPr>
              <w:t>进行安全生产抽查</w:t>
            </w:r>
            <w:r>
              <w:rPr>
                <w:rFonts w:hint="eastAsia" w:asciiTheme="minorEastAsia" w:hAnsiTheme="minorEastAsia" w:eastAsiaTheme="minorEastAsia" w:cstheme="minorEastAsia"/>
                <w:color w:val="000000"/>
                <w:sz w:val="21"/>
                <w:szCs w:val="21"/>
                <w:lang w:eastAsia="zh-CN"/>
              </w:rPr>
              <w:t>，使得豹澥街道办事处</w:t>
            </w:r>
            <w:r>
              <w:rPr>
                <w:rFonts w:hint="eastAsia" w:asciiTheme="minorEastAsia" w:hAnsiTheme="minorEastAsia" w:eastAsiaTheme="minorEastAsia" w:cstheme="minorEastAsia"/>
                <w:color w:val="000000"/>
                <w:sz w:val="21"/>
                <w:szCs w:val="21"/>
                <w:lang w:val="en-US" w:eastAsia="zh-CN"/>
              </w:rPr>
              <w:t>2017年</w:t>
            </w:r>
            <w:r>
              <w:rPr>
                <w:rFonts w:hint="eastAsia" w:asciiTheme="minorEastAsia" w:hAnsiTheme="minorEastAsia" w:eastAsiaTheme="minorEastAsia" w:cstheme="minorEastAsia"/>
                <w:color w:val="000000"/>
                <w:sz w:val="21"/>
                <w:szCs w:val="21"/>
              </w:rPr>
              <w:t>专项治理水平</w:t>
            </w:r>
            <w:r>
              <w:rPr>
                <w:rFonts w:hint="eastAsia" w:asciiTheme="minorEastAsia" w:hAnsiTheme="minorEastAsia" w:eastAsiaTheme="minorEastAsia" w:cstheme="minorEastAsia"/>
                <w:color w:val="000000"/>
                <w:sz w:val="21"/>
                <w:szCs w:val="21"/>
                <w:lang w:eastAsia="zh-CN"/>
              </w:rPr>
              <w:t>显著</w:t>
            </w:r>
            <w:r>
              <w:rPr>
                <w:rFonts w:hint="eastAsia" w:asciiTheme="minorEastAsia" w:hAnsiTheme="minorEastAsia" w:eastAsiaTheme="minorEastAsia" w:cstheme="minorEastAsia"/>
                <w:color w:val="000000"/>
                <w:sz w:val="21"/>
                <w:szCs w:val="21"/>
              </w:rPr>
              <w:t>提升</w:t>
            </w:r>
            <w:r>
              <w:rPr>
                <w:rFonts w:hint="eastAsia" w:asciiTheme="minorEastAsia" w:hAnsiTheme="minorEastAsia" w:eastAsiaTheme="minorEastAsia" w:cstheme="minorEastAsia"/>
                <w:color w:val="000000"/>
                <w:sz w:val="21"/>
                <w:szCs w:val="21"/>
                <w:lang w:eastAsia="zh-CN"/>
              </w:rPr>
              <w:t>至</w:t>
            </w:r>
            <w:r>
              <w:rPr>
                <w:rFonts w:hint="eastAsia" w:asciiTheme="minorEastAsia" w:hAnsiTheme="minorEastAsia" w:eastAsiaTheme="minorEastAsia" w:cstheme="minorEastAsia"/>
                <w:color w:val="000000"/>
                <w:sz w:val="21"/>
                <w:szCs w:val="21"/>
              </w:rPr>
              <w:t>92%。</w:t>
            </w:r>
            <w:r>
              <w:rPr>
                <w:rFonts w:hint="eastAsia" w:asciiTheme="minorEastAsia" w:hAnsiTheme="minorEastAsia" w:eastAsiaTheme="minorEastAsia" w:cstheme="minorEastAsia"/>
                <w:sz w:val="21"/>
                <w:szCs w:val="21"/>
              </w:rPr>
              <w:t>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751"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时效指标</w:t>
            </w:r>
          </w:p>
        </w:tc>
        <w:tc>
          <w:tcPr>
            <w:tcW w:w="1800" w:type="dxa"/>
            <w:vAlign w:val="center"/>
          </w:tcPr>
          <w:p>
            <w:pPr>
              <w:jc w:val="both"/>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2017年年内完成此项工作</w:t>
            </w:r>
          </w:p>
        </w:tc>
        <w:tc>
          <w:tcPr>
            <w:tcW w:w="2808" w:type="dxa"/>
            <w:vAlign w:val="center"/>
          </w:tcPr>
          <w:p>
            <w:pPr>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目标值：100%</w:t>
            </w:r>
          </w:p>
        </w:tc>
        <w:tc>
          <w:tcPr>
            <w:tcW w:w="3163" w:type="dxa"/>
            <w:vAlign w:val="center"/>
          </w:tcPr>
          <w:p>
            <w:pPr>
              <w:adjustRightInd/>
              <w:snapToGrid/>
              <w:spacing w:after="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2017年</w:t>
            </w:r>
            <w:r>
              <w:rPr>
                <w:rFonts w:hint="eastAsia" w:asciiTheme="minorEastAsia" w:hAnsiTheme="minorEastAsia" w:eastAsiaTheme="minorEastAsia" w:cstheme="minorEastAsia"/>
                <w:color w:val="000000"/>
                <w:sz w:val="21"/>
                <w:szCs w:val="21"/>
                <w:lang w:eastAsia="zh-CN"/>
              </w:rPr>
              <w:t>在街道正确领导下、各部门的密切配合下</w:t>
            </w:r>
            <w:r>
              <w:rPr>
                <w:rFonts w:hint="eastAsia" w:asciiTheme="minorEastAsia" w:hAnsiTheme="minorEastAsia" w:eastAsiaTheme="minorEastAsia" w:cstheme="minorEastAsia"/>
                <w:color w:val="000000"/>
                <w:sz w:val="21"/>
                <w:szCs w:val="21"/>
              </w:rPr>
              <w:t>圆满完成安全生产及维稳工作。完成100%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9" w:hRule="atLeast"/>
        </w:trPr>
        <w:tc>
          <w:tcPr>
            <w:tcW w:w="751" w:type="dxa"/>
            <w:vAlign w:val="center"/>
          </w:tcPr>
          <w:p>
            <w:pPr>
              <w:adjustRightInd/>
              <w:snapToGrid/>
              <w:spacing w:after="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成本指标</w:t>
            </w:r>
          </w:p>
        </w:tc>
        <w:tc>
          <w:tcPr>
            <w:tcW w:w="1800"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达标项目成本节约</w:t>
            </w:r>
          </w:p>
        </w:tc>
        <w:tc>
          <w:tcPr>
            <w:tcW w:w="2808" w:type="dxa"/>
            <w:vAlign w:val="center"/>
          </w:tcPr>
          <w:p>
            <w:pPr>
              <w:adjustRightInd/>
              <w:snapToGrid/>
              <w:spacing w:after="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实际经费支出小于预算申报金额</w:t>
            </w:r>
          </w:p>
        </w:tc>
        <w:tc>
          <w:tcPr>
            <w:tcW w:w="3163" w:type="dxa"/>
            <w:vAlign w:val="center"/>
          </w:tcPr>
          <w:p>
            <w:pPr>
              <w:adjustRightInd/>
              <w:snapToGrid/>
              <w:spacing w:after="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预算160万元，实际发生159.92万元，节约0.08万元</w:t>
            </w:r>
            <w:r>
              <w:rPr>
                <w:rFonts w:hint="eastAsia" w:asciiTheme="minorEastAsia" w:hAnsiTheme="minorEastAsia" w:eastAsiaTheme="minorEastAsia" w:cstheme="minorEastAsia"/>
                <w:sz w:val="21"/>
                <w:szCs w:val="21"/>
                <w:lang w:eastAsia="zh-CN"/>
              </w:rPr>
              <w:t>。主要是法制建设经费预算</w:t>
            </w:r>
            <w:r>
              <w:rPr>
                <w:rFonts w:hint="eastAsia" w:asciiTheme="minorEastAsia" w:hAnsiTheme="minorEastAsia" w:eastAsiaTheme="minorEastAsia" w:cstheme="minorEastAsia"/>
                <w:sz w:val="21"/>
                <w:szCs w:val="21"/>
                <w:lang w:val="en-US" w:eastAsia="zh-CN"/>
              </w:rPr>
              <w:t>11万元，实际执行10.92万元。因为在工作中街道秉性厉行节约</w:t>
            </w:r>
            <w:bookmarkStart w:id="0" w:name="_GoBack"/>
            <w:bookmarkEnd w:id="0"/>
            <w:r>
              <w:rPr>
                <w:rFonts w:hint="eastAsia" w:asciiTheme="minorEastAsia" w:hAnsiTheme="minorEastAsia" w:eastAsiaTheme="minorEastAsia" w:cstheme="minorEastAsia"/>
                <w:sz w:val="21"/>
                <w:szCs w:val="21"/>
                <w:lang w:val="en-US" w:eastAsia="zh-CN"/>
              </w:rPr>
              <w:t>的传统，尽量减少不必要的开支，所以安全生产及维稳项目</w:t>
            </w:r>
            <w:r>
              <w:rPr>
                <w:rFonts w:hint="eastAsia" w:asciiTheme="minorEastAsia" w:hAnsiTheme="minorEastAsia" w:eastAsiaTheme="minorEastAsia" w:cstheme="minorEastAsia"/>
                <w:sz w:val="21"/>
                <w:szCs w:val="21"/>
              </w:rPr>
              <w:t>实际经费支出小于预算申报金额</w:t>
            </w:r>
            <w:r>
              <w:rPr>
                <w:rFonts w:hint="eastAsia" w:asciiTheme="minorEastAsia" w:hAnsiTheme="minorEastAsia" w:eastAsiaTheme="minorEastAsia" w:cstheme="minorEastAsia"/>
                <w:sz w:val="21"/>
                <w:szCs w:val="21"/>
                <w:lang w:eastAsia="zh-CN"/>
              </w:rPr>
              <w:t>，完成了</w:t>
            </w:r>
            <w:r>
              <w:rPr>
                <w:rFonts w:hint="eastAsia" w:asciiTheme="minorEastAsia" w:hAnsiTheme="minorEastAsia" w:eastAsiaTheme="minorEastAsia" w:cstheme="minorEastAsia"/>
                <w:sz w:val="21"/>
                <w:szCs w:val="21"/>
              </w:rPr>
              <w:t>达标项目成本节约</w:t>
            </w:r>
            <w:r>
              <w:rPr>
                <w:rFonts w:hint="eastAsia" w:asciiTheme="minorEastAsia" w:hAnsiTheme="minorEastAsia" w:eastAsiaTheme="minorEastAsia" w:cstheme="minorEastAsia"/>
                <w:sz w:val="21"/>
                <w:szCs w:val="21"/>
                <w:lang w:eastAsia="zh-CN"/>
              </w:rPr>
              <w:t>的目标。</w:t>
            </w:r>
          </w:p>
        </w:tc>
      </w:tr>
    </w:tbl>
    <w:p>
      <w:pPr>
        <w:widowControl w:val="0"/>
        <w:adjustRightInd/>
        <w:snapToGrid/>
        <w:spacing w:after="0"/>
        <w:ind w:firstLine="560" w:firstLineChars="200"/>
        <w:jc w:val="both"/>
        <w:rPr>
          <w:rFonts w:ascii="宋体" w:hAnsi="宋体" w:eastAsia="宋体" w:cs="宋体"/>
          <w:color w:val="000000"/>
          <w:sz w:val="28"/>
          <w:szCs w:val="28"/>
        </w:rPr>
      </w:pP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cs="宋体"/>
          <w:color w:val="000000"/>
          <w:sz w:val="28"/>
          <w:szCs w:val="28"/>
        </w:rPr>
        <w:t>数量指标、质量指标、时效指标和成本指标全部完成。</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2.效果目标</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160"/>
        <w:gridCol w:w="1596"/>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blHeader/>
        </w:trPr>
        <w:tc>
          <w:tcPr>
            <w:tcW w:w="1711"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二级指标</w:t>
            </w:r>
          </w:p>
        </w:tc>
        <w:tc>
          <w:tcPr>
            <w:tcW w:w="2160"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指标内容</w:t>
            </w:r>
          </w:p>
        </w:tc>
        <w:tc>
          <w:tcPr>
            <w:tcW w:w="1596"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指标值</w:t>
            </w:r>
          </w:p>
        </w:tc>
        <w:tc>
          <w:tcPr>
            <w:tcW w:w="3055"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7" w:hRule="atLeast"/>
        </w:trPr>
        <w:tc>
          <w:tcPr>
            <w:tcW w:w="1711"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经济效益</w:t>
            </w:r>
          </w:p>
        </w:tc>
        <w:tc>
          <w:tcPr>
            <w:tcW w:w="2160"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建设“食品放心工程”工作</w:t>
            </w:r>
          </w:p>
        </w:tc>
        <w:tc>
          <w:tcPr>
            <w:tcW w:w="1596" w:type="dxa"/>
            <w:vAlign w:val="center"/>
          </w:tcPr>
          <w:p>
            <w:pPr>
              <w:adjustRightInd/>
              <w:snapToGrid/>
              <w:spacing w:after="0"/>
              <w:jc w:val="center"/>
              <w:rPr>
                <w:rFonts w:ascii="宋体" w:hAnsi="宋体" w:eastAsia="宋体" w:cs="宋体"/>
                <w:sz w:val="21"/>
                <w:szCs w:val="21"/>
              </w:rPr>
            </w:pPr>
            <w:r>
              <w:rPr>
                <w:rFonts w:hint="eastAsia" w:asciiTheme="minorEastAsia" w:hAnsiTheme="minorEastAsia" w:eastAsiaTheme="minorEastAsia" w:cstheme="minorEastAsia"/>
                <w:color w:val="000000"/>
                <w:sz w:val="21"/>
                <w:szCs w:val="21"/>
              </w:rPr>
              <w:t>目标值：</w:t>
            </w:r>
            <w:r>
              <w:rPr>
                <w:rFonts w:hint="eastAsia" w:ascii="宋体" w:hAnsi="宋体" w:eastAsia="宋体" w:cs="宋体"/>
                <w:sz w:val="21"/>
                <w:szCs w:val="21"/>
              </w:rPr>
              <w:t>优良</w:t>
            </w:r>
          </w:p>
        </w:tc>
        <w:tc>
          <w:tcPr>
            <w:tcW w:w="3055"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lang w:eastAsia="zh-CN"/>
              </w:rPr>
              <w:t>通过学习食品安全知识和对食品质量进行抽查严把食品质量安全关，辖区</w:t>
            </w:r>
            <w:r>
              <w:rPr>
                <w:rFonts w:hint="eastAsia" w:ascii="宋体" w:hAnsi="宋体" w:eastAsia="宋体" w:cs="宋体"/>
                <w:color w:val="000000"/>
                <w:sz w:val="21"/>
                <w:szCs w:val="21"/>
                <w:lang w:val="en-US" w:eastAsia="zh-CN"/>
              </w:rPr>
              <w:t>2017年未出现食品安全事故，</w:t>
            </w:r>
            <w:r>
              <w:rPr>
                <w:rFonts w:hint="eastAsia" w:ascii="宋体" w:hAnsi="宋体" w:eastAsia="宋体" w:cs="宋体"/>
                <w:color w:val="000000"/>
                <w:sz w:val="21"/>
                <w:szCs w:val="21"/>
              </w:rPr>
              <w:t>“食品放心工程”圆满完成。完成：优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6" w:hRule="atLeast"/>
        </w:trPr>
        <w:tc>
          <w:tcPr>
            <w:tcW w:w="1711"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社会效益</w:t>
            </w:r>
          </w:p>
        </w:tc>
        <w:tc>
          <w:tcPr>
            <w:tcW w:w="2160"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积极完成社会治理、平安建设（综治）各项目标任务，支持、参与社会治理创新，结合工作开展重点项目建设</w:t>
            </w:r>
          </w:p>
        </w:tc>
        <w:tc>
          <w:tcPr>
            <w:tcW w:w="1596" w:type="dxa"/>
            <w:vAlign w:val="center"/>
          </w:tcPr>
          <w:p>
            <w:pPr>
              <w:adjustRightInd/>
              <w:snapToGrid/>
              <w:spacing w:after="0"/>
              <w:jc w:val="center"/>
              <w:rPr>
                <w:rFonts w:ascii="宋体" w:hAnsi="宋体" w:eastAsia="宋体" w:cs="宋体"/>
                <w:sz w:val="21"/>
                <w:szCs w:val="21"/>
              </w:rPr>
            </w:pPr>
            <w:r>
              <w:rPr>
                <w:rFonts w:hint="eastAsia" w:asciiTheme="minorEastAsia" w:hAnsiTheme="minorEastAsia" w:eastAsiaTheme="minorEastAsia" w:cstheme="minorEastAsia"/>
                <w:color w:val="000000"/>
                <w:sz w:val="21"/>
                <w:szCs w:val="21"/>
              </w:rPr>
              <w:t>目标值：</w:t>
            </w:r>
            <w:r>
              <w:rPr>
                <w:rFonts w:hint="eastAsia" w:ascii="宋体" w:hAnsi="宋体" w:eastAsia="宋体" w:cs="宋体"/>
                <w:sz w:val="21"/>
                <w:szCs w:val="21"/>
              </w:rPr>
              <w:t>优良</w:t>
            </w:r>
          </w:p>
        </w:tc>
        <w:tc>
          <w:tcPr>
            <w:tcW w:w="3055"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lang w:eastAsia="zh-CN"/>
              </w:rPr>
              <w:t>在街道领导下通过综合治理、信访维稳、安全检查、法制建设等工作的开展</w:t>
            </w:r>
            <w:r>
              <w:rPr>
                <w:rFonts w:hint="eastAsia" w:ascii="宋体" w:hAnsi="宋体" w:eastAsia="宋体" w:cs="宋体"/>
                <w:color w:val="000000"/>
                <w:sz w:val="21"/>
                <w:szCs w:val="21"/>
              </w:rPr>
              <w:t>完成了社会治理、平安建设（综治）各项目标任务，支持、参与了社会治理创新，结合工作开展重点项目建设。完成：优良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711"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rPr>
              <w:t>可持续发展影响</w:t>
            </w:r>
          </w:p>
        </w:tc>
        <w:tc>
          <w:tcPr>
            <w:tcW w:w="2160"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认真落实主体责任，确保完成好平安建设各项工作任务，不断提升社会治理能力与水平</w:t>
            </w:r>
          </w:p>
        </w:tc>
        <w:tc>
          <w:tcPr>
            <w:tcW w:w="1596" w:type="dxa"/>
            <w:vAlign w:val="center"/>
          </w:tcPr>
          <w:p>
            <w:pPr>
              <w:adjustRightInd/>
              <w:snapToGrid/>
              <w:spacing w:after="0"/>
              <w:jc w:val="center"/>
              <w:rPr>
                <w:rFonts w:ascii="宋体" w:hAnsi="宋体" w:eastAsia="宋体" w:cs="宋体"/>
                <w:sz w:val="21"/>
                <w:szCs w:val="21"/>
              </w:rPr>
            </w:pPr>
            <w:r>
              <w:rPr>
                <w:rFonts w:hint="eastAsia" w:asciiTheme="minorEastAsia" w:hAnsiTheme="minorEastAsia" w:eastAsiaTheme="minorEastAsia" w:cstheme="minorEastAsia"/>
                <w:color w:val="000000"/>
                <w:sz w:val="21"/>
                <w:szCs w:val="21"/>
              </w:rPr>
              <w:t>目标值：</w:t>
            </w:r>
            <w:r>
              <w:rPr>
                <w:rFonts w:hint="eastAsia" w:ascii="宋体" w:hAnsi="宋体" w:eastAsia="宋体" w:cs="宋体"/>
                <w:sz w:val="21"/>
                <w:szCs w:val="21"/>
              </w:rPr>
              <w:t>优良</w:t>
            </w:r>
          </w:p>
        </w:tc>
        <w:tc>
          <w:tcPr>
            <w:tcW w:w="3055"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lang w:eastAsia="zh-CN"/>
              </w:rPr>
              <w:t>在各项工作开展的过程中明确各部门的职责和任务，在各个部门密切的配合下圆满完成了辖区安全生产及维稳项目。</w:t>
            </w:r>
            <w:r>
              <w:rPr>
                <w:rFonts w:hint="eastAsia" w:ascii="宋体" w:hAnsi="宋体" w:eastAsia="宋体" w:cs="宋体"/>
                <w:color w:val="000000"/>
                <w:sz w:val="21"/>
                <w:szCs w:val="21"/>
              </w:rPr>
              <w:t>认真落实了主体责任，确保了好平安建设各项工作任务的完成，提升了社会治理能力与水平。完成：优良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711"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color w:val="000000"/>
                <w:sz w:val="21"/>
                <w:szCs w:val="21"/>
              </w:rPr>
              <w:t>服务对象满意度</w:t>
            </w:r>
          </w:p>
        </w:tc>
        <w:tc>
          <w:tcPr>
            <w:tcW w:w="2160" w:type="dxa"/>
            <w:vAlign w:val="center"/>
          </w:tcPr>
          <w:p>
            <w:pPr>
              <w:adjustRightInd/>
              <w:snapToGrid/>
              <w:spacing w:after="0"/>
              <w:jc w:val="both"/>
              <w:rPr>
                <w:rFonts w:ascii="宋体" w:hAnsi="宋体" w:eastAsia="宋体" w:cs="宋体"/>
                <w:sz w:val="21"/>
                <w:szCs w:val="21"/>
              </w:rPr>
            </w:pPr>
            <w:r>
              <w:rPr>
                <w:rFonts w:hint="eastAsia" w:ascii="宋体" w:hAnsi="宋体" w:eastAsia="宋体" w:cs="宋体"/>
                <w:color w:val="000000"/>
                <w:sz w:val="21"/>
                <w:szCs w:val="21"/>
              </w:rPr>
              <w:t>群众满意度</w:t>
            </w:r>
            <w:r>
              <w:rPr>
                <w:rFonts w:hint="eastAsia" w:ascii="宋体" w:hAnsi="宋体" w:eastAsia="宋体" w:cs="宋体"/>
                <w:sz w:val="21"/>
                <w:szCs w:val="21"/>
              </w:rPr>
              <w:t>（</w:t>
            </w:r>
            <w:r>
              <w:rPr>
                <w:rFonts w:ascii="宋体" w:hAnsi="宋体" w:eastAsia="宋体" w:cs="宋体"/>
                <w:sz w:val="21"/>
                <w:szCs w:val="21"/>
              </w:rPr>
              <w:t>%</w:t>
            </w:r>
            <w:r>
              <w:rPr>
                <w:rFonts w:hint="eastAsia" w:ascii="宋体" w:hAnsi="宋体" w:eastAsia="宋体" w:cs="宋体"/>
                <w:sz w:val="21"/>
                <w:szCs w:val="21"/>
              </w:rPr>
              <w:t>）</w:t>
            </w:r>
          </w:p>
        </w:tc>
        <w:tc>
          <w:tcPr>
            <w:tcW w:w="1596"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rPr>
              <w:t>100%</w:t>
            </w:r>
          </w:p>
        </w:tc>
        <w:tc>
          <w:tcPr>
            <w:tcW w:w="3055" w:type="dxa"/>
            <w:vAlign w:val="center"/>
          </w:tcPr>
          <w:p>
            <w:pPr>
              <w:adjustRightInd/>
              <w:snapToGrid/>
              <w:spacing w:after="0"/>
              <w:jc w:val="center"/>
              <w:rPr>
                <w:rFonts w:ascii="宋体" w:hAnsi="宋体" w:eastAsia="宋体" w:cs="宋体"/>
                <w:sz w:val="21"/>
                <w:szCs w:val="21"/>
              </w:rPr>
            </w:pPr>
            <w:r>
              <w:rPr>
                <w:rFonts w:hint="eastAsia" w:ascii="宋体" w:hAnsi="宋体" w:eastAsia="宋体" w:cs="宋体"/>
                <w:sz w:val="21"/>
                <w:szCs w:val="21"/>
                <w:lang w:val="en-US" w:eastAsia="zh-CN"/>
              </w:rPr>
              <w:t>2017年在街道正确领导和各个部门的努力下，辖区未出现重大安全事故，群众对该项工作的满意度为</w:t>
            </w:r>
            <w:r>
              <w:rPr>
                <w:rFonts w:hint="eastAsia" w:ascii="宋体" w:hAnsi="宋体" w:eastAsia="宋体" w:cs="宋体"/>
                <w:sz w:val="21"/>
                <w:szCs w:val="21"/>
              </w:rPr>
              <w:t>100%</w:t>
            </w:r>
          </w:p>
        </w:tc>
      </w:tr>
    </w:tbl>
    <w:p>
      <w:pPr>
        <w:widowControl w:val="0"/>
        <w:adjustRightInd/>
        <w:snapToGrid/>
        <w:spacing w:after="0"/>
        <w:ind w:firstLine="560" w:firstLineChars="200"/>
        <w:jc w:val="both"/>
        <w:rPr>
          <w:rFonts w:ascii="宋体" w:hAnsi="宋体" w:eastAsia="宋体"/>
          <w:kern w:val="2"/>
          <w:sz w:val="28"/>
          <w:szCs w:val="28"/>
        </w:rPr>
      </w:pP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经济效益指标、社会效益指标、可持续发展影响指标和服务对象满意度指标全部完成。</w:t>
      </w:r>
    </w:p>
    <w:p>
      <w:pPr>
        <w:widowControl w:val="0"/>
        <w:adjustRightInd/>
        <w:snapToGrid/>
        <w:spacing w:after="0" w:line="360" w:lineRule="auto"/>
        <w:ind w:firstLine="560" w:firstLineChars="200"/>
        <w:jc w:val="both"/>
        <w:rPr>
          <w:rFonts w:ascii="宋体" w:hAnsi="宋体" w:eastAsia="宋体"/>
          <w:kern w:val="2"/>
          <w:sz w:val="28"/>
          <w:szCs w:val="28"/>
        </w:rPr>
      </w:pPr>
    </w:p>
    <w:p>
      <w:pPr>
        <w:widowControl w:val="0"/>
        <w:numPr>
          <w:ilvl w:val="0"/>
          <w:numId w:val="2"/>
        </w:numPr>
        <w:adjustRightInd/>
        <w:snapToGrid/>
        <w:spacing w:after="0" w:line="360" w:lineRule="auto"/>
        <w:jc w:val="both"/>
        <w:rPr>
          <w:rFonts w:ascii="宋体" w:hAnsi="宋体" w:eastAsia="宋体"/>
          <w:b/>
          <w:bCs/>
          <w:kern w:val="2"/>
          <w:sz w:val="28"/>
          <w:szCs w:val="28"/>
        </w:rPr>
      </w:pPr>
      <w:r>
        <w:rPr>
          <w:rFonts w:hint="eastAsia" w:ascii="宋体" w:hAnsi="宋体" w:eastAsia="宋体"/>
          <w:b/>
          <w:bCs/>
          <w:kern w:val="2"/>
          <w:sz w:val="28"/>
          <w:szCs w:val="28"/>
        </w:rPr>
        <w:t>自评结论</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（一）自评结论</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豹澥街道办事处2017年安全生产及维稳经费项目已顺利完成，项目立项依据充分，项目绩效目标设置基本合理；项目财政资金按时到位；项目的实施组织有序，能够明确人员对项目的各项具体工作，程序到位；财务管理制度得到有效执行；项目资金单独核算，资金的拨付有完整的审批程序和手续。项目的产出达到预期的目标，项目效果良好，项目受益对象满意度较高，项目的绩效目标基本实现。</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经综合分析本项目评分得分为</w:t>
      </w:r>
      <w:r>
        <w:rPr>
          <w:rFonts w:hint="eastAsia" w:ascii="宋体" w:hAnsi="宋体" w:eastAsia="宋体" w:cs="宋体"/>
          <w:color w:val="000000"/>
          <w:sz w:val="28"/>
          <w:szCs w:val="28"/>
        </w:rPr>
        <w:t>88</w:t>
      </w:r>
      <w:r>
        <w:rPr>
          <w:rFonts w:hint="eastAsia" w:ascii="宋体" w:hAnsi="宋体" w:eastAsia="宋体" w:cs="宋体"/>
          <w:sz w:val="28"/>
          <w:szCs w:val="28"/>
        </w:rPr>
        <w:t>分，评分结果级别为：良。各项指标得分情况如下：</w:t>
      </w:r>
    </w:p>
    <w:tbl>
      <w:tblPr>
        <w:tblStyle w:val="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7"/>
        <w:gridCol w:w="1766"/>
        <w:gridCol w:w="1766"/>
        <w:gridCol w:w="176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序号</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指标</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分值</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评价得分</w:t>
            </w:r>
          </w:p>
        </w:tc>
        <w:tc>
          <w:tcPr>
            <w:tcW w:w="2207" w:type="dxa"/>
            <w:vAlign w:val="bottom"/>
          </w:tcPr>
          <w:p>
            <w:pPr>
              <w:jc w:val="center"/>
              <w:rPr>
                <w:rFonts w:ascii="宋体" w:hAnsi="宋体" w:eastAsia="宋体" w:cs="宋体"/>
                <w:szCs w:val="21"/>
              </w:rPr>
            </w:pPr>
            <w:r>
              <w:rPr>
                <w:rFonts w:hint="eastAsia" w:ascii="宋体" w:hAnsi="宋体" w:eastAsia="宋体" w:cs="宋体"/>
                <w:szCs w:val="21"/>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1</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投入管理</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16.00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15.00</w:t>
            </w:r>
          </w:p>
        </w:tc>
        <w:tc>
          <w:tcPr>
            <w:tcW w:w="2207" w:type="dxa"/>
            <w:vMerge w:val="restart"/>
            <w:vAlign w:val="center"/>
          </w:tcPr>
          <w:p>
            <w:pPr>
              <w:jc w:val="center"/>
              <w:rPr>
                <w:rFonts w:ascii="宋体" w:hAnsi="宋体" w:eastAsia="宋体" w:cs="宋体"/>
                <w:szCs w:val="21"/>
              </w:rPr>
            </w:pPr>
            <w:r>
              <w:rPr>
                <w:rFonts w:hint="eastAsia" w:ascii="宋体" w:hAnsi="宋体" w:eastAsia="宋体" w:cs="宋体"/>
                <w:szCs w:val="21"/>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2</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过程管理</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24.00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15.00</w:t>
            </w:r>
          </w:p>
        </w:tc>
        <w:tc>
          <w:tcPr>
            <w:tcW w:w="2207" w:type="dxa"/>
            <w:vMerge w:val="continue"/>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17" w:type="dxa"/>
            <w:vAlign w:val="bottom"/>
          </w:tcPr>
          <w:p>
            <w:pPr>
              <w:jc w:val="center"/>
              <w:rPr>
                <w:rFonts w:ascii="宋体" w:hAnsi="宋体" w:eastAsia="宋体" w:cs="宋体"/>
                <w:szCs w:val="21"/>
              </w:rPr>
            </w:pPr>
            <w:r>
              <w:rPr>
                <w:rFonts w:hint="eastAsia" w:ascii="宋体" w:hAnsi="宋体" w:eastAsia="宋体" w:cs="宋体"/>
                <w:szCs w:val="21"/>
              </w:rPr>
              <w:t>3</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项目绩效</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60.00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58.00</w:t>
            </w:r>
          </w:p>
        </w:tc>
        <w:tc>
          <w:tcPr>
            <w:tcW w:w="2207" w:type="dxa"/>
            <w:vMerge w:val="continue"/>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783" w:type="dxa"/>
            <w:gridSpan w:val="2"/>
            <w:vAlign w:val="bottom"/>
          </w:tcPr>
          <w:p>
            <w:pPr>
              <w:jc w:val="center"/>
              <w:rPr>
                <w:rFonts w:ascii="宋体" w:hAnsi="宋体" w:eastAsia="宋体" w:cs="宋体"/>
                <w:szCs w:val="21"/>
              </w:rPr>
            </w:pPr>
            <w:r>
              <w:rPr>
                <w:rFonts w:hint="eastAsia" w:ascii="宋体" w:hAnsi="宋体" w:eastAsia="宋体" w:cs="宋体"/>
                <w:szCs w:val="21"/>
              </w:rPr>
              <w:t>合计</w:t>
            </w:r>
          </w:p>
        </w:tc>
        <w:tc>
          <w:tcPr>
            <w:tcW w:w="1766" w:type="dxa"/>
            <w:vAlign w:val="bottom"/>
          </w:tcPr>
          <w:p>
            <w:pPr>
              <w:jc w:val="center"/>
              <w:rPr>
                <w:rFonts w:ascii="宋体" w:hAnsi="宋体" w:eastAsia="宋体" w:cs="宋体"/>
                <w:szCs w:val="21"/>
              </w:rPr>
            </w:pPr>
            <w:r>
              <w:rPr>
                <w:rFonts w:hint="eastAsia" w:ascii="宋体" w:hAnsi="宋体" w:eastAsia="宋体" w:cs="宋体"/>
                <w:szCs w:val="21"/>
              </w:rPr>
              <w:t>100.00</w:t>
            </w:r>
          </w:p>
        </w:tc>
        <w:tc>
          <w:tcPr>
            <w:tcW w:w="1766" w:type="dxa"/>
            <w:vAlign w:val="bottom"/>
          </w:tcPr>
          <w:p>
            <w:pPr>
              <w:jc w:val="center"/>
              <w:rPr>
                <w:rFonts w:ascii="宋体" w:hAnsi="宋体" w:eastAsia="宋体" w:cs="宋体"/>
                <w:color w:val="000000"/>
                <w:szCs w:val="21"/>
              </w:rPr>
            </w:pPr>
            <w:r>
              <w:rPr>
                <w:rFonts w:hint="eastAsia" w:ascii="宋体" w:hAnsi="宋体" w:eastAsia="宋体" w:cs="宋体"/>
                <w:color w:val="000000"/>
                <w:szCs w:val="21"/>
              </w:rPr>
              <w:t>88.00</w:t>
            </w:r>
          </w:p>
        </w:tc>
        <w:tc>
          <w:tcPr>
            <w:tcW w:w="2207" w:type="dxa"/>
            <w:vMerge w:val="continue"/>
            <w:vAlign w:val="center"/>
          </w:tcPr>
          <w:p>
            <w:pPr>
              <w:rPr>
                <w:rFonts w:ascii="宋体" w:hAnsi="宋体" w:eastAsia="宋体" w:cs="宋体"/>
                <w:szCs w:val="21"/>
              </w:rPr>
            </w:pPr>
          </w:p>
        </w:tc>
      </w:tr>
    </w:tbl>
    <w:p>
      <w:pPr>
        <w:widowControl w:val="0"/>
        <w:adjustRightInd/>
        <w:snapToGrid/>
        <w:spacing w:after="0" w:line="360" w:lineRule="auto"/>
        <w:jc w:val="both"/>
        <w:rPr>
          <w:rFonts w:ascii="宋体" w:hAnsi="宋体" w:eastAsia="宋体"/>
          <w:kern w:val="2"/>
          <w:sz w:val="28"/>
          <w:szCs w:val="28"/>
        </w:rPr>
      </w:pP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（二）主要经验，存在的问题和改进措施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1.主要经验</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（1）项目按计划实施，且按时完成项目。</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（2）项目的实施，组织有序，能够明确人员对项目的各项具体工作，程序到位。</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（3）项目资金使用符合程序，会计核算规范。</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2.存在的问题</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（1）对社区社会治安综合治理工作主体认识模糊。对党提出的“党委领导、政府负责、社会协同、公众参与的社会管理格局”缺乏深刻认识和理解，缺乏齐抓共管的自觉性和主动性。</w:t>
      </w:r>
    </w:p>
    <w:p>
      <w:pPr>
        <w:widowControl w:val="0"/>
        <w:adjustRightInd/>
        <w:snapToGrid/>
        <w:spacing w:after="0" w:line="360" w:lineRule="auto"/>
        <w:ind w:firstLine="560" w:firstLineChars="200"/>
        <w:jc w:val="both"/>
        <w:rPr>
          <w:rFonts w:hint="eastAsia" w:ascii="宋体" w:hAnsi="宋体" w:eastAsia="宋体"/>
          <w:kern w:val="2"/>
          <w:sz w:val="28"/>
          <w:szCs w:val="28"/>
        </w:rPr>
      </w:pPr>
      <w:r>
        <w:rPr>
          <w:rFonts w:hint="eastAsia" w:ascii="宋体" w:hAnsi="宋体" w:eastAsia="宋体"/>
          <w:kern w:val="2"/>
          <w:sz w:val="28"/>
          <w:szCs w:val="28"/>
        </w:rPr>
        <w:t>（2）安全生产及维稳人员紧张且专业化水平仍然有待提高。</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3</w:t>
      </w:r>
      <w:r>
        <w:rPr>
          <w:rFonts w:hint="eastAsia" w:ascii="宋体" w:hAnsi="宋体" w:eastAsia="宋体"/>
          <w:kern w:val="2"/>
          <w:sz w:val="28"/>
          <w:szCs w:val="28"/>
          <w:lang w:eastAsia="zh-CN"/>
        </w:rPr>
        <w:t>）辖区人口分散且多为农村地区，虽不断进行安全生产与稳定工作的宣传和教育，但实际取得的效果有限，仍然存在部分群众和单位安全生产意识不高、稳定意识不强的情况，导致存在安全生产及不稳定的隐患。</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4</w:t>
      </w:r>
      <w:r>
        <w:rPr>
          <w:rFonts w:hint="eastAsia" w:ascii="宋体" w:hAnsi="宋体" w:eastAsia="宋体"/>
          <w:kern w:val="2"/>
          <w:sz w:val="28"/>
          <w:szCs w:val="28"/>
          <w:lang w:eastAsia="zh-CN"/>
        </w:rPr>
        <w:t>）设计的效益指标多为定性指标，缺少具体可量化的指标，在实际评价过程中没有标准，难以比较评价。</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3.改进措施</w:t>
      </w:r>
    </w:p>
    <w:p>
      <w:pPr>
        <w:widowControl w:val="0"/>
        <w:adjustRightInd/>
        <w:snapToGrid/>
        <w:spacing w:after="0" w:line="360" w:lineRule="auto"/>
        <w:ind w:firstLine="560" w:firstLineChars="200"/>
        <w:jc w:val="both"/>
        <w:rPr>
          <w:rFonts w:ascii="宋体" w:hAnsi="宋体" w:eastAsia="宋体"/>
          <w:kern w:val="2"/>
          <w:sz w:val="28"/>
          <w:szCs w:val="28"/>
        </w:rPr>
      </w:pPr>
      <w:r>
        <w:rPr>
          <w:rFonts w:hint="eastAsia" w:ascii="宋体" w:hAnsi="宋体" w:eastAsia="宋体"/>
          <w:kern w:val="2"/>
          <w:sz w:val="28"/>
          <w:szCs w:val="28"/>
        </w:rPr>
        <w:t>（1）街道和有关部门应进一步理顺社区建设的管理体制，健全领导机制，着力构建横向到边、纵向到底、纵横结合的全覆盖、网格化的组织体系。</w:t>
      </w:r>
    </w:p>
    <w:p>
      <w:pPr>
        <w:widowControl w:val="0"/>
        <w:adjustRightInd/>
        <w:snapToGrid/>
        <w:spacing w:after="0" w:line="360" w:lineRule="auto"/>
        <w:ind w:firstLine="560" w:firstLineChars="200"/>
        <w:jc w:val="both"/>
        <w:rPr>
          <w:rFonts w:hint="eastAsia" w:ascii="宋体" w:hAnsi="宋体" w:eastAsia="宋体"/>
          <w:kern w:val="2"/>
          <w:sz w:val="28"/>
          <w:szCs w:val="28"/>
        </w:rPr>
      </w:pPr>
      <w:r>
        <w:rPr>
          <w:rFonts w:hint="eastAsia" w:ascii="宋体" w:hAnsi="宋体" w:eastAsia="宋体"/>
          <w:kern w:val="2"/>
          <w:sz w:val="28"/>
          <w:szCs w:val="28"/>
        </w:rPr>
        <w:t>（2）适当增加安全生产及维稳编外人员数量，不断组织人员参加培训，提高其专业化水平。</w:t>
      </w:r>
    </w:p>
    <w:p>
      <w:pPr>
        <w:widowControl w:val="0"/>
        <w:adjustRightInd/>
        <w:snapToGrid/>
        <w:spacing w:after="0" w:line="360" w:lineRule="auto"/>
        <w:ind w:firstLine="560" w:firstLineChars="200"/>
        <w:jc w:val="both"/>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3</w:t>
      </w:r>
      <w:r>
        <w:rPr>
          <w:rFonts w:hint="eastAsia" w:ascii="宋体" w:hAnsi="宋体" w:eastAsia="宋体"/>
          <w:kern w:val="2"/>
          <w:sz w:val="28"/>
          <w:szCs w:val="28"/>
          <w:lang w:eastAsia="zh-CN"/>
        </w:rPr>
        <w:t>）加大宣传和教育力度，坚持“以人为本”的理念，发现隐患及时妥善处理，把危险因素消灭在萌芽状态。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jc w:val="both"/>
        <w:textAlignment w:val="auto"/>
        <w:outlineLvl w:val="9"/>
        <w:rPr>
          <w:rFonts w:hint="eastAsia" w:ascii="宋体" w:hAnsi="宋体" w:eastAsia="宋体"/>
          <w:kern w:val="2"/>
          <w:sz w:val="28"/>
          <w:szCs w:val="28"/>
          <w:lang w:eastAsia="zh-CN"/>
        </w:rPr>
      </w:pPr>
      <w:r>
        <w:rPr>
          <w:rFonts w:hint="eastAsia" w:ascii="宋体" w:hAnsi="宋体" w:eastAsia="宋体"/>
          <w:kern w:val="2"/>
          <w:sz w:val="28"/>
          <w:szCs w:val="28"/>
          <w:lang w:eastAsia="zh-CN"/>
        </w:rPr>
        <w:t>（</w:t>
      </w:r>
      <w:r>
        <w:rPr>
          <w:rFonts w:hint="eastAsia" w:ascii="宋体" w:hAnsi="宋体" w:eastAsia="宋体"/>
          <w:kern w:val="2"/>
          <w:sz w:val="28"/>
          <w:szCs w:val="28"/>
          <w:lang w:val="en-US" w:eastAsia="zh-CN"/>
        </w:rPr>
        <w:t>4</w:t>
      </w:r>
      <w:r>
        <w:rPr>
          <w:rFonts w:hint="eastAsia" w:ascii="宋体" w:hAnsi="宋体" w:eastAsia="宋体"/>
          <w:kern w:val="2"/>
          <w:sz w:val="28"/>
          <w:szCs w:val="28"/>
          <w:lang w:eastAsia="zh-CN"/>
        </w:rPr>
        <w:t>）</w:t>
      </w:r>
      <w:r>
        <w:rPr>
          <w:rFonts w:hint="eastAsia" w:ascii="宋体" w:hAnsi="宋体" w:eastAsia="宋体"/>
          <w:b w:val="0"/>
          <w:bCs w:val="0"/>
          <w:kern w:val="2"/>
          <w:sz w:val="28"/>
          <w:szCs w:val="28"/>
          <w:lang w:eastAsia="zh-CN"/>
        </w:rPr>
        <w:t>完善绩效评价体系，加强监督检查和考核工作。进一步探索完善项目绩效评价指标体系，加强对绩效管理工作的跟踪督查，做到绩效管理依据、按程序、有奖惩，实现绩效管理的规范化、常态化。</w:t>
      </w:r>
    </w:p>
    <w:sectPr>
      <w:footerReference r:id="rId4" w:type="default"/>
      <w:pgSz w:w="11906" w:h="16838"/>
      <w:pgMar w:top="1440" w:right="1800" w:bottom="1440" w:left="1800"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创艺简标宋">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5A2C55"/>
    <w:multiLevelType w:val="singleLevel"/>
    <w:tmpl w:val="F25A2C55"/>
    <w:lvl w:ilvl="0" w:tentative="0">
      <w:start w:val="3"/>
      <w:numFmt w:val="chineseCounting"/>
      <w:suff w:val="nothing"/>
      <w:lvlText w:val="%1、"/>
      <w:lvlJc w:val="left"/>
      <w:rPr>
        <w:rFonts w:hint="eastAsia"/>
      </w:rPr>
    </w:lvl>
  </w:abstractNum>
  <w:abstractNum w:abstractNumId="1">
    <w:nsid w:val="5938B95F"/>
    <w:multiLevelType w:val="singleLevel"/>
    <w:tmpl w:val="5938B95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noPunctuationKerning w:val="1"/>
  <w:characterSpacingControl w:val="doNotCompress"/>
  <w:noLineBreaksAfter w:lang="zh-CN" w:val="$([{£¥·‘“〈《「『【〔〖〝﹙﹛﹝＄（．［｛￡￥"/>
  <w:noLineBreaksBefore w:lang="zh-CN" w:val="!%),.:;&gt;?]}¢¨°·ˇˉ―‖’”…‰′″›℃∶、。〃〉》」』】〕〗〞︶︺︾﹀﹄﹚﹜﹞！＂％＇），．：；？］｀｜｝～￠"/>
  <w:hdrShapeDefaults>
    <o:shapelayout v:ext="edit">
      <o:idmap v:ext="edit" data="3,4"/>
    </o:shapelayout>
  </w:hdrShapeDefaults>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72ED"/>
    <w:rsid w:val="0001772C"/>
    <w:rsid w:val="000956FF"/>
    <w:rsid w:val="00132D39"/>
    <w:rsid w:val="00146167"/>
    <w:rsid w:val="00172A27"/>
    <w:rsid w:val="001836CF"/>
    <w:rsid w:val="0019103B"/>
    <w:rsid w:val="001D035B"/>
    <w:rsid w:val="00201ECE"/>
    <w:rsid w:val="00255FCD"/>
    <w:rsid w:val="00262EFC"/>
    <w:rsid w:val="00271925"/>
    <w:rsid w:val="002D1D0B"/>
    <w:rsid w:val="002E21C0"/>
    <w:rsid w:val="00312E59"/>
    <w:rsid w:val="00323B43"/>
    <w:rsid w:val="0036411B"/>
    <w:rsid w:val="00370F22"/>
    <w:rsid w:val="0037538F"/>
    <w:rsid w:val="003C33F2"/>
    <w:rsid w:val="003D37D8"/>
    <w:rsid w:val="00426133"/>
    <w:rsid w:val="00430421"/>
    <w:rsid w:val="004358AB"/>
    <w:rsid w:val="004407E6"/>
    <w:rsid w:val="004474B4"/>
    <w:rsid w:val="0046091D"/>
    <w:rsid w:val="00465EE0"/>
    <w:rsid w:val="004C5417"/>
    <w:rsid w:val="004D7D65"/>
    <w:rsid w:val="00511E86"/>
    <w:rsid w:val="00533C17"/>
    <w:rsid w:val="005A796E"/>
    <w:rsid w:val="005B449F"/>
    <w:rsid w:val="005C057F"/>
    <w:rsid w:val="0061044F"/>
    <w:rsid w:val="00651C31"/>
    <w:rsid w:val="00680D7A"/>
    <w:rsid w:val="006A2012"/>
    <w:rsid w:val="006E231C"/>
    <w:rsid w:val="0082633A"/>
    <w:rsid w:val="00836EB3"/>
    <w:rsid w:val="008B7726"/>
    <w:rsid w:val="008C0053"/>
    <w:rsid w:val="00915F22"/>
    <w:rsid w:val="00924366"/>
    <w:rsid w:val="009616CE"/>
    <w:rsid w:val="00A067A3"/>
    <w:rsid w:val="00A374EA"/>
    <w:rsid w:val="00A51A73"/>
    <w:rsid w:val="00AF6F28"/>
    <w:rsid w:val="00B03154"/>
    <w:rsid w:val="00B45745"/>
    <w:rsid w:val="00B53446"/>
    <w:rsid w:val="00B74475"/>
    <w:rsid w:val="00BB59F6"/>
    <w:rsid w:val="00BC40AE"/>
    <w:rsid w:val="00BD0F80"/>
    <w:rsid w:val="00C80834"/>
    <w:rsid w:val="00CA7085"/>
    <w:rsid w:val="00CC3D9A"/>
    <w:rsid w:val="00CE4EE0"/>
    <w:rsid w:val="00D31D50"/>
    <w:rsid w:val="00D5135D"/>
    <w:rsid w:val="00E0108E"/>
    <w:rsid w:val="00E1028F"/>
    <w:rsid w:val="00E31945"/>
    <w:rsid w:val="00E35B29"/>
    <w:rsid w:val="00E734A0"/>
    <w:rsid w:val="00EB5077"/>
    <w:rsid w:val="00EC79A3"/>
    <w:rsid w:val="00ED1D71"/>
    <w:rsid w:val="00F05143"/>
    <w:rsid w:val="00F07312"/>
    <w:rsid w:val="00F32EE5"/>
    <w:rsid w:val="00F33C26"/>
    <w:rsid w:val="00F51E42"/>
    <w:rsid w:val="00F555B9"/>
    <w:rsid w:val="00F60A02"/>
    <w:rsid w:val="00F71A1D"/>
    <w:rsid w:val="00FC05EF"/>
    <w:rsid w:val="00FC3855"/>
    <w:rsid w:val="00FC4499"/>
    <w:rsid w:val="00FC774E"/>
    <w:rsid w:val="01A569BB"/>
    <w:rsid w:val="05581275"/>
    <w:rsid w:val="07C5281A"/>
    <w:rsid w:val="099C3725"/>
    <w:rsid w:val="0CB00426"/>
    <w:rsid w:val="0CCD5135"/>
    <w:rsid w:val="0F635640"/>
    <w:rsid w:val="14C72396"/>
    <w:rsid w:val="155A59AE"/>
    <w:rsid w:val="15B35816"/>
    <w:rsid w:val="16974733"/>
    <w:rsid w:val="16C70060"/>
    <w:rsid w:val="1FBC769C"/>
    <w:rsid w:val="210C797F"/>
    <w:rsid w:val="216B6B00"/>
    <w:rsid w:val="21C34C98"/>
    <w:rsid w:val="22420288"/>
    <w:rsid w:val="251D7232"/>
    <w:rsid w:val="26070664"/>
    <w:rsid w:val="2683122C"/>
    <w:rsid w:val="2D14105F"/>
    <w:rsid w:val="309F7FA0"/>
    <w:rsid w:val="333B24BC"/>
    <w:rsid w:val="339E26D7"/>
    <w:rsid w:val="341A36C5"/>
    <w:rsid w:val="373C1CF4"/>
    <w:rsid w:val="395F7BA3"/>
    <w:rsid w:val="3E901B01"/>
    <w:rsid w:val="3FE477A2"/>
    <w:rsid w:val="40233E34"/>
    <w:rsid w:val="40C33E66"/>
    <w:rsid w:val="43C303F0"/>
    <w:rsid w:val="49BF5597"/>
    <w:rsid w:val="4A167237"/>
    <w:rsid w:val="4A7E074C"/>
    <w:rsid w:val="4C1E286A"/>
    <w:rsid w:val="56824E7D"/>
    <w:rsid w:val="56C32683"/>
    <w:rsid w:val="57C1330C"/>
    <w:rsid w:val="5AD2333D"/>
    <w:rsid w:val="5F8E5F1A"/>
    <w:rsid w:val="5FA25AFB"/>
    <w:rsid w:val="5FE02854"/>
    <w:rsid w:val="5FFE53B4"/>
    <w:rsid w:val="62272D70"/>
    <w:rsid w:val="632979FF"/>
    <w:rsid w:val="64F430FA"/>
    <w:rsid w:val="6533099E"/>
    <w:rsid w:val="682B2575"/>
    <w:rsid w:val="68695536"/>
    <w:rsid w:val="72D85C36"/>
    <w:rsid w:val="72F8385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semiHidden/>
    <w:qFormat/>
    <w:uiPriority w:val="99"/>
    <w:pPr>
      <w:ind w:left="100" w:leftChars="2500"/>
    </w:pPr>
  </w:style>
  <w:style w:type="paragraph" w:styleId="3">
    <w:name w:val="footer"/>
    <w:basedOn w:val="1"/>
    <w:link w:val="10"/>
    <w:semiHidden/>
    <w:qFormat/>
    <w:uiPriority w:val="99"/>
    <w:pPr>
      <w:tabs>
        <w:tab w:val="center" w:pos="4153"/>
        <w:tab w:val="right" w:pos="8306"/>
      </w:tabs>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99"/>
    <w:pPr>
      <w:widowControl w:val="0"/>
      <w:adjustRightInd/>
      <w:snapToGrid/>
      <w:spacing w:before="100" w:beforeAutospacing="1" w:after="100" w:afterAutospacing="1"/>
    </w:pPr>
    <w:rPr>
      <w:rFonts w:ascii="Calibri" w:hAnsi="Calibri" w:eastAsia="宋体"/>
      <w:sz w:val="24"/>
      <w:szCs w:val="24"/>
    </w:rPr>
  </w:style>
  <w:style w:type="character" w:styleId="8">
    <w:name w:val="page number"/>
    <w:basedOn w:val="7"/>
    <w:qFormat/>
    <w:uiPriority w:val="0"/>
  </w:style>
  <w:style w:type="character" w:customStyle="1" w:styleId="9">
    <w:name w:val="页眉 Char"/>
    <w:basedOn w:val="7"/>
    <w:link w:val="4"/>
    <w:semiHidden/>
    <w:qFormat/>
    <w:locked/>
    <w:uiPriority w:val="99"/>
    <w:rPr>
      <w:rFonts w:ascii="Tahoma" w:hAnsi="Tahoma" w:cs="Times New Roman"/>
      <w:sz w:val="18"/>
      <w:szCs w:val="18"/>
    </w:rPr>
  </w:style>
  <w:style w:type="character" w:customStyle="1" w:styleId="10">
    <w:name w:val="页脚 Char"/>
    <w:basedOn w:val="7"/>
    <w:link w:val="3"/>
    <w:semiHidden/>
    <w:qFormat/>
    <w:locked/>
    <w:uiPriority w:val="99"/>
    <w:rPr>
      <w:rFonts w:ascii="Tahoma" w:hAnsi="Tahoma" w:cs="Times New Roman"/>
      <w:sz w:val="18"/>
      <w:szCs w:val="18"/>
    </w:rPr>
  </w:style>
  <w:style w:type="character" w:customStyle="1" w:styleId="11">
    <w:name w:val="日期 Char"/>
    <w:basedOn w:val="7"/>
    <w:link w:val="2"/>
    <w:semiHidden/>
    <w:qFormat/>
    <w:locked/>
    <w:uiPriority w:val="99"/>
    <w:rPr>
      <w:rFonts w:ascii="Tahoma" w:hAnsi="Tahoma" w:cs="Times New Roman"/>
    </w:rPr>
  </w:style>
  <w:style w:type="paragraph" w:customStyle="1" w:styleId="12">
    <w:name w:val="列出段落1"/>
    <w:basedOn w:val="1"/>
    <w:qFormat/>
    <w:uiPriority w:val="99"/>
    <w:pPr>
      <w:widowControl w:val="0"/>
      <w:adjustRightInd/>
      <w:snapToGrid/>
      <w:spacing w:after="0"/>
      <w:ind w:firstLine="420" w:firstLineChars="200"/>
      <w:jc w:val="both"/>
    </w:pPr>
    <w:rPr>
      <w:rFonts w:ascii="Calibri" w:hAnsi="Calibri" w:eastAsia="宋体"/>
      <w:kern w:val="2"/>
      <w:sz w:val="21"/>
    </w:rPr>
  </w:style>
  <w:style w:type="paragraph" w:customStyle="1" w:styleId="13">
    <w:name w:val="列出段落11"/>
    <w:basedOn w:val="1"/>
    <w:qFormat/>
    <w:uiPriority w:val="99"/>
    <w:pPr>
      <w:widowControl w:val="0"/>
      <w:adjustRightInd/>
      <w:snapToGrid/>
      <w:spacing w:after="0"/>
      <w:ind w:firstLine="420" w:firstLineChars="200"/>
      <w:jc w:val="both"/>
    </w:pPr>
    <w:rPr>
      <w:rFonts w:ascii="Calibri" w:hAnsi="Calibri" w:eastAsia="宋体"/>
      <w:kern w:val="2"/>
      <w:sz w:val="21"/>
    </w:rPr>
  </w:style>
  <w:style w:type="paragraph" w:customStyle="1" w:styleId="14">
    <w:name w:val="列出段落2"/>
    <w:basedOn w:val="1"/>
    <w:qFormat/>
    <w:uiPriority w:val="99"/>
    <w:pPr>
      <w:widowControl w:val="0"/>
      <w:adjustRightInd/>
      <w:snapToGrid/>
      <w:spacing w:after="0"/>
      <w:ind w:firstLine="420" w:firstLineChars="200"/>
      <w:jc w:val="both"/>
    </w:pPr>
    <w:rPr>
      <w:rFonts w:ascii="Calibri" w:hAnsi="Calibri" w:eastAsia="宋体"/>
      <w:kern w:val="2"/>
      <w:sz w:val="21"/>
    </w:rPr>
  </w:style>
  <w:style w:type="character" w:customStyle="1" w:styleId="15">
    <w:name w:val="font1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420</Words>
  <Characters>2395</Characters>
  <Lines>19</Lines>
  <Paragraphs>5</Paragraphs>
  <TotalTime>2</TotalTime>
  <ScaleCrop>false</ScaleCrop>
  <LinksUpToDate>false</LinksUpToDate>
  <CharactersWithSpaces>2810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2018-05-15T08:40:00Z</cp:lastPrinted>
  <dcterms:modified xsi:type="dcterms:W3CDTF">2024-10-17T02:37:27Z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