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atLeast"/>
        <w:jc w:val="center"/>
        <w:rPr>
          <w:rFonts w:ascii="创艺简标宋" w:eastAsia="创艺简标宋"/>
          <w:w w:val="90"/>
          <w:kern w:val="44"/>
          <w:sz w:val="52"/>
          <w:szCs w:val="52"/>
        </w:rPr>
      </w:pPr>
    </w:p>
    <w:p>
      <w:pPr>
        <w:spacing w:line="560" w:lineRule="atLeast"/>
        <w:jc w:val="center"/>
        <w:rPr>
          <w:rFonts w:ascii="创艺简标宋" w:eastAsia="创艺简标宋"/>
          <w:w w:val="90"/>
          <w:kern w:val="44"/>
          <w:sz w:val="52"/>
          <w:szCs w:val="52"/>
        </w:rPr>
      </w:pPr>
    </w:p>
    <w:p>
      <w:pPr>
        <w:spacing w:line="560" w:lineRule="atLeast"/>
        <w:jc w:val="center"/>
        <w:rPr>
          <w:rFonts w:ascii="创艺简标宋" w:eastAsia="创艺简标宋"/>
          <w:w w:val="90"/>
          <w:kern w:val="44"/>
          <w:sz w:val="52"/>
          <w:szCs w:val="52"/>
        </w:rPr>
      </w:pPr>
    </w:p>
    <w:p>
      <w:pPr>
        <w:spacing w:line="360" w:lineRule="auto"/>
        <w:jc w:val="center"/>
        <w:rPr>
          <w:rFonts w:ascii="黑体" w:hAnsi="黑体" w:eastAsia="黑体" w:cs="黑体"/>
          <w:b/>
          <w:bCs/>
          <w:sz w:val="44"/>
          <w:szCs w:val="44"/>
        </w:rPr>
      </w:pPr>
      <w:r>
        <w:rPr>
          <w:rFonts w:hint="eastAsia" w:ascii="黑体" w:hAnsi="黑体" w:eastAsia="黑体" w:cs="黑体"/>
          <w:b/>
          <w:bCs/>
          <w:sz w:val="36"/>
          <w:szCs w:val="36"/>
        </w:rPr>
        <w:t>武汉东湖新技术开发区预算项目绩效自评报告</w:t>
      </w:r>
    </w:p>
    <w:p>
      <w:pPr>
        <w:spacing w:line="360" w:lineRule="auto"/>
        <w:jc w:val="center"/>
        <w:rPr>
          <w:rFonts w:ascii="宋体" w:hAnsi="宋体" w:cs="宋体"/>
          <w:b/>
          <w:bCs/>
          <w:sz w:val="28"/>
          <w:szCs w:val="28"/>
        </w:rPr>
      </w:pPr>
    </w:p>
    <w:p>
      <w:pPr>
        <w:spacing w:line="360" w:lineRule="auto"/>
        <w:jc w:val="both"/>
        <w:rPr>
          <w:rFonts w:ascii="宋体" w:hAnsi="宋体" w:cs="宋体"/>
          <w:b/>
          <w:bCs/>
          <w:sz w:val="28"/>
          <w:szCs w:val="28"/>
        </w:rPr>
      </w:pPr>
    </w:p>
    <w:p>
      <w:pPr>
        <w:spacing w:line="360" w:lineRule="auto"/>
        <w:jc w:val="center"/>
        <w:rPr>
          <w:rFonts w:ascii="宋体" w:hAnsi="宋体" w:cs="宋体"/>
          <w:b/>
          <w:bCs/>
          <w:sz w:val="28"/>
          <w:szCs w:val="28"/>
        </w:rPr>
      </w:pPr>
    </w:p>
    <w:p>
      <w:pPr>
        <w:spacing w:line="360" w:lineRule="auto"/>
        <w:jc w:val="center"/>
        <w:rPr>
          <w:rFonts w:ascii="宋体" w:hAnsi="宋体" w:cs="宋体"/>
          <w:b/>
          <w:bCs/>
          <w:sz w:val="28"/>
          <w:szCs w:val="28"/>
        </w:rPr>
      </w:pPr>
    </w:p>
    <w:p>
      <w:pPr>
        <w:spacing w:line="360" w:lineRule="auto"/>
        <w:jc w:val="center"/>
        <w:rPr>
          <w:rFonts w:ascii="宋体" w:hAnsi="宋体" w:cs="宋体"/>
          <w:b/>
          <w:bCs/>
          <w:sz w:val="28"/>
          <w:szCs w:val="28"/>
        </w:rPr>
      </w:pPr>
    </w:p>
    <w:p>
      <w:pPr>
        <w:rPr>
          <w:rFonts w:hint="eastAsia" w:asciiTheme="minorEastAsia" w:hAnsiTheme="minorEastAsia" w:eastAsiaTheme="minorEastAsia" w:cstheme="minorEastAsia"/>
          <w:b/>
          <w:sz w:val="32"/>
          <w:szCs w:val="32"/>
          <w:u w:val="single"/>
          <w:lang w:val="en-US" w:eastAsia="zh-CN"/>
        </w:rPr>
      </w:pPr>
      <w:r>
        <w:rPr>
          <w:rFonts w:hint="eastAsia" w:asciiTheme="minorEastAsia" w:hAnsiTheme="minorEastAsia" w:eastAsiaTheme="minorEastAsia" w:cstheme="minorEastAsia"/>
          <w:b/>
          <w:sz w:val="30"/>
          <w:szCs w:val="30"/>
        </w:rPr>
        <w:t xml:space="preserve">    </w:t>
      </w:r>
      <w:r>
        <w:rPr>
          <w:rFonts w:hint="eastAsia" w:asciiTheme="minorEastAsia" w:hAnsiTheme="minorEastAsia" w:eastAsiaTheme="minorEastAsia" w:cstheme="minorEastAsia"/>
          <w:b/>
          <w:sz w:val="32"/>
          <w:szCs w:val="32"/>
        </w:rPr>
        <w:t xml:space="preserve"> 项目名称：</w:t>
      </w:r>
      <w:r>
        <w:rPr>
          <w:rFonts w:hint="eastAsia" w:asciiTheme="minorEastAsia" w:hAnsiTheme="minorEastAsia" w:eastAsiaTheme="minorEastAsia" w:cstheme="minorEastAsia"/>
          <w:b/>
          <w:sz w:val="32"/>
          <w:szCs w:val="32"/>
          <w:u w:val="single"/>
          <w:lang w:val="en-US" w:eastAsia="zh-CN"/>
        </w:rPr>
        <w:t xml:space="preserve">          </w:t>
      </w:r>
      <w:r>
        <w:rPr>
          <w:rFonts w:hint="eastAsia" w:asciiTheme="minorEastAsia" w:hAnsiTheme="minorEastAsia" w:eastAsiaTheme="minorEastAsia" w:cstheme="minorEastAsia"/>
          <w:b/>
          <w:sz w:val="32"/>
          <w:szCs w:val="32"/>
          <w:u w:val="single"/>
        </w:rPr>
        <w:t>计划生育项目</w:t>
      </w:r>
      <w:r>
        <w:rPr>
          <w:rFonts w:hint="eastAsia" w:asciiTheme="minorEastAsia" w:hAnsiTheme="minorEastAsia" w:eastAsiaTheme="minorEastAsia" w:cstheme="minorEastAsia"/>
          <w:b/>
          <w:sz w:val="32"/>
          <w:szCs w:val="32"/>
          <w:u w:val="single"/>
          <w:lang w:val="en-US" w:eastAsia="zh-CN"/>
        </w:rPr>
        <w:t xml:space="preserve">        </w:t>
      </w:r>
    </w:p>
    <w:p>
      <w:pPr>
        <w:rPr>
          <w:rFonts w:asciiTheme="minorEastAsia" w:hAnsiTheme="minorEastAsia" w:eastAsiaTheme="minorEastAsia" w:cstheme="minorEastAsia"/>
          <w:b/>
          <w:sz w:val="32"/>
          <w:szCs w:val="32"/>
          <w:u w:val="single"/>
        </w:rPr>
      </w:pPr>
      <w:r>
        <w:rPr>
          <w:rFonts w:hint="eastAsia" w:asciiTheme="minorEastAsia" w:hAnsiTheme="minorEastAsia" w:eastAsiaTheme="minorEastAsia" w:cstheme="minorEastAsia"/>
          <w:b/>
          <w:sz w:val="32"/>
          <w:szCs w:val="32"/>
        </w:rPr>
        <w:t xml:space="preserve">     项目单位：</w:t>
      </w:r>
      <w:r>
        <w:rPr>
          <w:rFonts w:hint="eastAsia" w:asciiTheme="minorEastAsia" w:hAnsiTheme="minorEastAsia" w:eastAsiaTheme="minorEastAsia" w:cstheme="minorEastAsia"/>
          <w:b/>
          <w:sz w:val="32"/>
          <w:szCs w:val="32"/>
          <w:u w:val="single"/>
        </w:rPr>
        <w:t>东湖新技术开发区豹澥街道办事处</w:t>
      </w:r>
    </w:p>
    <w:p>
      <w:pPr>
        <w:rPr>
          <w:rFonts w:hint="eastAsia" w:asciiTheme="minorEastAsia" w:hAnsiTheme="minorEastAsia" w:eastAsiaTheme="minorEastAsia" w:cstheme="minorEastAsia"/>
          <w:b/>
          <w:sz w:val="32"/>
          <w:szCs w:val="32"/>
          <w:u w:val="single"/>
        </w:rPr>
      </w:pPr>
      <w:r>
        <w:rPr>
          <w:rFonts w:hint="eastAsia" w:asciiTheme="minorEastAsia" w:hAnsiTheme="minorEastAsia" w:eastAsiaTheme="minorEastAsia" w:cstheme="minorEastAsia"/>
          <w:b/>
          <w:sz w:val="32"/>
          <w:szCs w:val="32"/>
        </w:rPr>
        <w:t xml:space="preserve">     区财政局主管业务处室：</w:t>
      </w:r>
      <w:r>
        <w:rPr>
          <w:rFonts w:hint="eastAsia" w:asciiTheme="minorEastAsia" w:hAnsiTheme="minorEastAsia" w:eastAsiaTheme="minorEastAsia" w:cstheme="minorEastAsia"/>
          <w:b/>
          <w:sz w:val="32"/>
          <w:szCs w:val="32"/>
          <w:u w:val="single"/>
        </w:rPr>
        <w:t xml:space="preserve">  </w:t>
      </w:r>
      <w:r>
        <w:rPr>
          <w:rFonts w:hint="eastAsia" w:asciiTheme="minorEastAsia" w:hAnsiTheme="minorEastAsia" w:eastAsiaTheme="minorEastAsia" w:cstheme="minorEastAsia"/>
          <w:b/>
          <w:sz w:val="32"/>
          <w:szCs w:val="32"/>
          <w:u w:val="single"/>
          <w:lang w:val="en-US" w:eastAsia="zh-CN"/>
        </w:rPr>
        <w:t xml:space="preserve">    </w:t>
      </w:r>
      <w:r>
        <w:rPr>
          <w:rFonts w:hint="eastAsia" w:asciiTheme="minorEastAsia" w:hAnsiTheme="minorEastAsia" w:eastAsiaTheme="minorEastAsia" w:cstheme="minorEastAsia"/>
          <w:b/>
          <w:sz w:val="32"/>
          <w:szCs w:val="32"/>
          <w:u w:val="single"/>
        </w:rPr>
        <w:t xml:space="preserve"> 行财科 </w:t>
      </w:r>
      <w:r>
        <w:rPr>
          <w:rFonts w:hint="eastAsia" w:asciiTheme="minorEastAsia" w:hAnsiTheme="minorEastAsia" w:eastAsiaTheme="minorEastAsia" w:cstheme="minorEastAsia"/>
          <w:b/>
          <w:sz w:val="32"/>
          <w:szCs w:val="32"/>
          <w:u w:val="single"/>
          <w:lang w:val="en-US" w:eastAsia="zh-CN"/>
        </w:rPr>
        <w:t xml:space="preserve">  </w:t>
      </w:r>
      <w:r>
        <w:rPr>
          <w:rFonts w:hint="eastAsia" w:asciiTheme="minorEastAsia" w:hAnsiTheme="minorEastAsia" w:eastAsiaTheme="minorEastAsia" w:cstheme="minorEastAsia"/>
          <w:b/>
          <w:sz w:val="32"/>
          <w:szCs w:val="32"/>
          <w:u w:val="single"/>
        </w:rPr>
        <w:t xml:space="preserve">  </w:t>
      </w:r>
    </w:p>
    <w:p>
      <w:pPr>
        <w:ind w:firstLine="790" w:firstLineChars="246"/>
        <w:rPr>
          <w:rFonts w:hint="eastAsia" w:asciiTheme="minorEastAsia" w:hAnsiTheme="minorEastAsia" w:eastAsiaTheme="minorEastAsia" w:cstheme="minorEastAsia"/>
          <w:b/>
          <w:sz w:val="32"/>
          <w:szCs w:val="32"/>
          <w:u w:val="single"/>
          <w:lang w:val="en-US" w:eastAsia="zh-CN"/>
        </w:rPr>
      </w:pPr>
      <w:r>
        <w:rPr>
          <w:rFonts w:hint="eastAsia" w:asciiTheme="minorEastAsia" w:hAnsiTheme="minorEastAsia" w:eastAsiaTheme="minorEastAsia" w:cstheme="minorEastAsia"/>
          <w:b/>
          <w:sz w:val="32"/>
          <w:szCs w:val="32"/>
        </w:rPr>
        <w:t>评价机构：</w:t>
      </w:r>
      <w:r>
        <w:rPr>
          <w:rFonts w:hint="eastAsia" w:asciiTheme="minorEastAsia" w:hAnsiTheme="minorEastAsia" w:eastAsiaTheme="minorEastAsia" w:cstheme="minorEastAsia"/>
          <w:b/>
          <w:sz w:val="32"/>
          <w:szCs w:val="32"/>
          <w:u w:val="single"/>
          <w:lang w:val="en-US" w:eastAsia="zh-CN"/>
        </w:rPr>
        <w:t xml:space="preserve">  </w:t>
      </w:r>
      <w:r>
        <w:rPr>
          <w:rFonts w:hint="eastAsia" w:asciiTheme="minorEastAsia" w:hAnsiTheme="minorEastAsia" w:eastAsiaTheme="minorEastAsia" w:cstheme="minorEastAsia"/>
          <w:b/>
          <w:sz w:val="32"/>
          <w:szCs w:val="32"/>
          <w:u w:val="single"/>
        </w:rPr>
        <w:t>武汉真道会计师事务有限公司</w:t>
      </w:r>
      <w:r>
        <w:rPr>
          <w:rFonts w:hint="eastAsia" w:asciiTheme="minorEastAsia" w:hAnsiTheme="minorEastAsia" w:eastAsiaTheme="minorEastAsia" w:cstheme="minorEastAsia"/>
          <w:b/>
          <w:sz w:val="32"/>
          <w:szCs w:val="32"/>
          <w:u w:val="single"/>
          <w:lang w:val="en-US" w:eastAsia="zh-CN"/>
        </w:rPr>
        <w:t xml:space="preserve">  </w:t>
      </w:r>
    </w:p>
    <w:p>
      <w:pPr>
        <w:spacing w:line="360" w:lineRule="auto"/>
        <w:jc w:val="center"/>
        <w:rPr>
          <w:rFonts w:ascii="宋体" w:hAnsi="宋体" w:cs="宋体"/>
          <w:b/>
          <w:bCs/>
          <w:sz w:val="28"/>
          <w:szCs w:val="28"/>
        </w:rPr>
      </w:pPr>
    </w:p>
    <w:p>
      <w:pPr>
        <w:spacing w:line="360" w:lineRule="auto"/>
        <w:jc w:val="center"/>
        <w:rPr>
          <w:rFonts w:ascii="宋体" w:hAnsi="宋体" w:cs="宋体"/>
          <w:b/>
          <w:bCs/>
          <w:sz w:val="28"/>
          <w:szCs w:val="28"/>
        </w:rPr>
      </w:pPr>
    </w:p>
    <w:p>
      <w:pPr>
        <w:spacing w:line="360" w:lineRule="auto"/>
        <w:jc w:val="center"/>
        <w:rPr>
          <w:rFonts w:ascii="宋体" w:hAnsi="宋体" w:cs="宋体"/>
          <w:b/>
          <w:bCs/>
          <w:sz w:val="44"/>
          <w:szCs w:val="44"/>
        </w:rPr>
      </w:pPr>
    </w:p>
    <w:p>
      <w:pPr>
        <w:spacing w:line="360" w:lineRule="auto"/>
        <w:rPr>
          <w:rFonts w:ascii="宋体" w:hAnsi="宋体" w:cs="宋体"/>
          <w:b/>
          <w:bCs/>
          <w:sz w:val="28"/>
          <w:szCs w:val="28"/>
        </w:rPr>
      </w:pPr>
    </w:p>
    <w:p>
      <w:pPr>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2018年5月</w:t>
      </w:r>
    </w:p>
    <w:p>
      <w:pPr>
        <w:spacing w:line="360" w:lineRule="auto"/>
        <w:jc w:val="center"/>
        <w:rPr>
          <w:rFonts w:asciiTheme="minorEastAsia" w:hAnsiTheme="minorEastAsia" w:eastAsiaTheme="minorEastAsia" w:cstheme="minorEastAsia"/>
          <w:b/>
          <w:sz w:val="32"/>
          <w:szCs w:val="32"/>
        </w:rPr>
        <w:sectPr>
          <w:headerReference r:id="rId3" w:type="default"/>
          <w:pgSz w:w="11906" w:h="16838"/>
          <w:pgMar w:top="1440" w:right="1800" w:bottom="1440" w:left="1800" w:header="708" w:footer="708" w:gutter="0"/>
          <w:cols w:space="708" w:num="1"/>
          <w:docGrid w:linePitch="360" w:charSpace="0"/>
        </w:sectPr>
      </w:pPr>
    </w:p>
    <w:p>
      <w:pPr>
        <w:jc w:val="center"/>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武汉东湖新技术开发区豹澥街道办事处2017年</w:t>
      </w:r>
    </w:p>
    <w:p>
      <w:pPr>
        <w:jc w:val="center"/>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sz w:val="32"/>
          <w:szCs w:val="32"/>
        </w:rPr>
        <w:t>计划生育项目经费</w:t>
      </w:r>
      <w:r>
        <w:rPr>
          <w:rFonts w:hint="eastAsia" w:asciiTheme="minorEastAsia" w:hAnsiTheme="minorEastAsia" w:eastAsiaTheme="minorEastAsia" w:cstheme="minorEastAsia"/>
          <w:b/>
          <w:bCs/>
          <w:sz w:val="32"/>
          <w:szCs w:val="32"/>
        </w:rPr>
        <w:t>绩效自评报告</w:t>
      </w:r>
    </w:p>
    <w:p>
      <w:pPr>
        <w:pStyle w:val="13"/>
        <w:spacing w:line="360" w:lineRule="auto"/>
        <w:ind w:firstLine="0" w:firstLineChars="0"/>
        <w:rPr>
          <w:rFonts w:ascii="宋体" w:hAnsi="宋体"/>
          <w:b/>
          <w:sz w:val="28"/>
          <w:szCs w:val="28"/>
        </w:rPr>
      </w:pPr>
    </w:p>
    <w:p>
      <w:pPr>
        <w:pStyle w:val="13"/>
        <w:spacing w:line="360" w:lineRule="auto"/>
        <w:ind w:firstLine="0" w:firstLineChars="0"/>
        <w:rPr>
          <w:rFonts w:ascii="宋体"/>
          <w:b/>
          <w:sz w:val="28"/>
          <w:szCs w:val="28"/>
        </w:rPr>
      </w:pPr>
      <w:r>
        <w:rPr>
          <w:rFonts w:hint="eastAsia" w:ascii="宋体" w:hAnsi="宋体"/>
          <w:b/>
          <w:sz w:val="28"/>
          <w:szCs w:val="28"/>
        </w:rPr>
        <w:t>一、项目基本情况</w:t>
      </w:r>
    </w:p>
    <w:p>
      <w:pPr>
        <w:widowControl w:val="0"/>
        <w:adjustRightInd/>
        <w:snapToGrid/>
        <w:spacing w:after="0" w:line="360" w:lineRule="auto"/>
        <w:ind w:firstLine="560" w:firstLineChars="200"/>
        <w:jc w:val="both"/>
        <w:rPr>
          <w:rFonts w:ascii="宋体" w:hAnsi="宋体" w:eastAsia="宋体"/>
          <w:kern w:val="2"/>
          <w:sz w:val="28"/>
          <w:szCs w:val="28"/>
        </w:rPr>
      </w:pPr>
      <w:r>
        <w:rPr>
          <w:rFonts w:ascii="宋体" w:hAnsi="宋体" w:eastAsia="宋体"/>
          <w:kern w:val="2"/>
          <w:sz w:val="28"/>
          <w:szCs w:val="28"/>
        </w:rPr>
        <w:t>(</w:t>
      </w:r>
      <w:r>
        <w:rPr>
          <w:rFonts w:hint="eastAsia" w:ascii="宋体" w:hAnsi="宋体" w:eastAsia="宋体"/>
          <w:kern w:val="2"/>
          <w:sz w:val="28"/>
          <w:szCs w:val="28"/>
        </w:rPr>
        <w:t>一</w:t>
      </w:r>
      <w:r>
        <w:rPr>
          <w:rFonts w:ascii="宋体" w:hAnsi="宋体" w:eastAsia="宋体"/>
          <w:kern w:val="2"/>
          <w:sz w:val="28"/>
          <w:szCs w:val="28"/>
        </w:rPr>
        <w:t>)</w:t>
      </w:r>
      <w:r>
        <w:rPr>
          <w:rFonts w:hint="eastAsia" w:ascii="宋体" w:hAnsi="宋体" w:eastAsia="宋体"/>
          <w:kern w:val="2"/>
          <w:sz w:val="28"/>
          <w:szCs w:val="28"/>
        </w:rPr>
        <w:t>项目概况</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豹澥街道办事处为保障了街道计生政策的执行和落实，严格控制超生人口，有效提高人口质量，按照省市区有关政策，对豹澥街道办事处计划生育经费予以保障。计划生育经费主要用于计划生育家庭法定性、政策性奖励；计划生育信息系统建设；计划生育免费基本技术服务；计划生育服务网络建设；计划生育宣传教育；“关爱女孩”专项工作；出生人口性别比综合治理；计划生育目标责任制管理等工作。</w:t>
      </w:r>
    </w:p>
    <w:p>
      <w:pPr>
        <w:widowControl w:val="0"/>
        <w:adjustRightInd/>
        <w:snapToGrid/>
        <w:spacing w:after="0" w:line="360" w:lineRule="auto"/>
        <w:ind w:firstLine="560" w:firstLineChars="200"/>
        <w:jc w:val="both"/>
        <w:rPr>
          <w:rFonts w:ascii="宋体" w:hAnsi="宋体" w:eastAsia="宋体"/>
          <w:kern w:val="2"/>
          <w:sz w:val="28"/>
          <w:szCs w:val="28"/>
        </w:rPr>
      </w:pPr>
      <w:r>
        <w:rPr>
          <w:rFonts w:ascii="宋体" w:hAnsi="宋体" w:eastAsia="宋体"/>
          <w:kern w:val="2"/>
          <w:sz w:val="28"/>
          <w:szCs w:val="28"/>
        </w:rPr>
        <w:t>201</w:t>
      </w:r>
      <w:r>
        <w:rPr>
          <w:rFonts w:hint="eastAsia" w:ascii="宋体" w:hAnsi="宋体" w:eastAsia="宋体"/>
          <w:kern w:val="2"/>
          <w:sz w:val="28"/>
          <w:szCs w:val="28"/>
        </w:rPr>
        <w:t>7年豹澥街计划生育项目实际支出138.64万元。计划生育项目完成了相关目标任务。</w:t>
      </w:r>
    </w:p>
    <w:p>
      <w:pPr>
        <w:widowControl w:val="0"/>
        <w:adjustRightInd/>
        <w:snapToGrid/>
        <w:spacing w:after="0" w:line="360" w:lineRule="auto"/>
        <w:ind w:firstLine="560" w:firstLineChars="200"/>
        <w:jc w:val="both"/>
        <w:rPr>
          <w:rFonts w:ascii="宋体" w:hAnsi="宋体" w:eastAsia="宋体"/>
          <w:kern w:val="2"/>
          <w:sz w:val="28"/>
          <w:szCs w:val="28"/>
        </w:rPr>
      </w:pPr>
      <w:r>
        <w:rPr>
          <w:rFonts w:ascii="宋体" w:hAnsi="宋体" w:eastAsia="宋体"/>
          <w:kern w:val="2"/>
          <w:sz w:val="28"/>
          <w:szCs w:val="28"/>
        </w:rPr>
        <w:t>(</w:t>
      </w:r>
      <w:r>
        <w:rPr>
          <w:rFonts w:hint="eastAsia" w:ascii="宋体" w:hAnsi="宋体" w:eastAsia="宋体"/>
          <w:kern w:val="2"/>
          <w:sz w:val="28"/>
          <w:szCs w:val="28"/>
        </w:rPr>
        <w:t>二</w:t>
      </w:r>
      <w:r>
        <w:rPr>
          <w:rFonts w:ascii="宋体" w:hAnsi="宋体" w:eastAsia="宋体"/>
          <w:kern w:val="2"/>
          <w:sz w:val="28"/>
          <w:szCs w:val="28"/>
        </w:rPr>
        <w:t>)</w:t>
      </w:r>
      <w:r>
        <w:rPr>
          <w:rFonts w:hint="eastAsia" w:ascii="宋体" w:hAnsi="宋体" w:eastAsia="宋体"/>
          <w:kern w:val="2"/>
          <w:sz w:val="28"/>
          <w:szCs w:val="28"/>
        </w:rPr>
        <w:t>项目预算绩效目标</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项目总目标：服务好辖区内育龄妇女，提高出生人口政策符合率，严格控制出生人口性别比。</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具体绩效目标分解如下：</w:t>
      </w:r>
    </w:p>
    <w:p>
      <w:pPr>
        <w:widowControl w:val="0"/>
        <w:numPr>
          <w:ilvl w:val="0"/>
          <w:numId w:val="1"/>
        </w:numPr>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产出目标</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数量指标：村社区计生专干岗位人数25人、村社区计生专干岗位经费1200元/人、村计生计生专干入户调查人数25人、村计生计生专干入户调查经费1200元/人、计生中心户长劳务人数122人、计生中心户长劳务补贴600元/人；质量指标：政策外多孩率不超出2%、</w:t>
      </w:r>
      <w:r>
        <w:rPr>
          <w:rFonts w:hint="eastAsia" w:ascii="宋体" w:hAnsi="宋体" w:eastAsia="宋体" w:cs="宋体"/>
          <w:color w:val="000000"/>
          <w:sz w:val="28"/>
          <w:szCs w:val="28"/>
        </w:rPr>
        <w:t>资金使用合规率100%、目标完成质量达标率98%；时效指标：计生惠民补助发放及实率100%；成本指标：实际经费支出小于预算申报金额</w:t>
      </w:r>
      <w:r>
        <w:rPr>
          <w:rFonts w:hint="eastAsia" w:ascii="宋体" w:hAnsi="宋体" w:eastAsia="宋体"/>
          <w:kern w:val="2"/>
          <w:sz w:val="28"/>
          <w:szCs w:val="28"/>
        </w:rPr>
        <w:t>。</w:t>
      </w:r>
    </w:p>
    <w:p>
      <w:pPr>
        <w:widowControl w:val="0"/>
        <w:numPr>
          <w:ilvl w:val="0"/>
          <w:numId w:val="1"/>
        </w:numPr>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效果目标</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经济效益：减轻农村集体经济负担；社会效益：计生优质服务率95%；可持续发展影响：加强出生人口性别比综合治理；服务对象满意度：</w:t>
      </w:r>
      <w:r>
        <w:rPr>
          <w:rFonts w:hint="eastAsia" w:ascii="宋体" w:hAnsi="宋体" w:eastAsia="宋体" w:cs="宋体"/>
          <w:color w:val="000000"/>
          <w:sz w:val="28"/>
          <w:szCs w:val="28"/>
        </w:rPr>
        <w:t>辖区计生服务对象满意度100%</w:t>
      </w:r>
      <w:r>
        <w:rPr>
          <w:rFonts w:hint="eastAsia" w:ascii="宋体" w:hAnsi="宋体" w:eastAsia="宋体"/>
          <w:kern w:val="2"/>
          <w:sz w:val="28"/>
          <w:szCs w:val="28"/>
        </w:rPr>
        <w:t>。</w:t>
      </w:r>
    </w:p>
    <w:p>
      <w:pPr>
        <w:widowControl w:val="0"/>
        <w:adjustRightInd/>
        <w:snapToGrid/>
        <w:spacing w:after="0" w:line="360" w:lineRule="auto"/>
        <w:jc w:val="both"/>
        <w:rPr>
          <w:rFonts w:ascii="宋体" w:hAnsi="宋体" w:eastAsia="宋体"/>
          <w:b/>
          <w:bCs/>
          <w:kern w:val="2"/>
          <w:sz w:val="28"/>
          <w:szCs w:val="28"/>
        </w:rPr>
      </w:pPr>
    </w:p>
    <w:p>
      <w:pPr>
        <w:widowControl w:val="0"/>
        <w:adjustRightInd/>
        <w:snapToGrid/>
        <w:spacing w:after="0" w:line="360" w:lineRule="auto"/>
        <w:jc w:val="both"/>
        <w:rPr>
          <w:rFonts w:ascii="宋体" w:hAnsi="宋体" w:eastAsia="宋体"/>
          <w:b/>
          <w:bCs/>
          <w:kern w:val="2"/>
          <w:sz w:val="28"/>
          <w:szCs w:val="28"/>
        </w:rPr>
      </w:pPr>
      <w:r>
        <w:rPr>
          <w:rFonts w:hint="eastAsia" w:ascii="宋体" w:hAnsi="宋体" w:eastAsia="宋体"/>
          <w:b/>
          <w:bCs/>
          <w:kern w:val="2"/>
          <w:sz w:val="28"/>
          <w:szCs w:val="28"/>
        </w:rPr>
        <w:t>二、项目绩效分析</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（一）项目管理情况</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1.业务管理情况</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（1）领导重视，机构健全。</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计划生育是关乎人口数量与质量的大事，豹澥街道高度重视辖区计划生育的开展，指定街道综合办负责此项目，并要求街综合办为该项目配备具体经办人员，负责具体业务的实施，并要求其他相关部门积极配合完成计划生育工作，从组织领导上给与此项目提供坚实保障。</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（2）</w:t>
      </w:r>
      <w:r>
        <w:fldChar w:fldCharType="begin"/>
      </w:r>
      <w:r>
        <w:instrText xml:space="preserve"> HYPERLINK "http://www.cssyq.com/guizhangzhidu/" </w:instrText>
      </w:r>
      <w:r>
        <w:fldChar w:fldCharType="separate"/>
      </w:r>
      <w:r>
        <w:rPr>
          <w:rFonts w:hint="eastAsia" w:ascii="宋体" w:hAnsi="宋体" w:eastAsia="宋体"/>
          <w:kern w:val="2"/>
          <w:sz w:val="28"/>
          <w:szCs w:val="28"/>
        </w:rPr>
        <w:t>制度</w:t>
      </w:r>
      <w:r>
        <w:rPr>
          <w:rFonts w:hint="eastAsia" w:ascii="宋体" w:hAnsi="宋体" w:eastAsia="宋体"/>
          <w:kern w:val="2"/>
          <w:sz w:val="28"/>
          <w:szCs w:val="28"/>
        </w:rPr>
        <w:fldChar w:fldCharType="end"/>
      </w:r>
      <w:r>
        <w:rPr>
          <w:rFonts w:hint="eastAsia" w:ascii="宋体" w:hAnsi="宋体" w:eastAsia="宋体"/>
          <w:kern w:val="2"/>
          <w:sz w:val="28"/>
          <w:szCs w:val="28"/>
        </w:rPr>
        <w:t>健全，规范使用。</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具体使用范围按照相关文件的精神的要求，在街道和社区党组织的领导和组织下遵循公开透明、及时便利的原则。街综合办保管项目的相关基础资料。项目实施前报相关业务科室、领导审核后再实施。</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（3）运作规范，资料完善。</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社区监督指导委员会负责项目实施和资金使用的全过程监督，街道党工委负责项目和资金的审核把关和指导实施。项目资金的使用情况及时在街道和社区公示栏进行公示，接受居民群众的监督。同时，加强项目的政策宣传，及时总结和推广好的做法和典型事例。</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2.财务管理情况</w:t>
      </w:r>
    </w:p>
    <w:p>
      <w:pPr>
        <w:widowControl w:val="0"/>
        <w:adjustRightInd/>
        <w:snapToGrid/>
        <w:spacing w:after="0" w:line="360" w:lineRule="auto"/>
        <w:ind w:firstLine="560" w:firstLineChars="200"/>
        <w:jc w:val="both"/>
        <w:rPr>
          <w:rFonts w:hint="eastAsia" w:ascii="宋体" w:hAnsi="宋体" w:eastAsia="宋体"/>
          <w:kern w:val="2"/>
          <w:sz w:val="28"/>
          <w:szCs w:val="28"/>
        </w:rPr>
      </w:pPr>
      <w:r>
        <w:rPr>
          <w:rFonts w:hint="eastAsia" w:ascii="宋体" w:hAnsi="宋体" w:eastAsia="宋体"/>
          <w:kern w:val="2"/>
          <w:sz w:val="28"/>
          <w:szCs w:val="28"/>
        </w:rPr>
        <w:t>2017年计划生育项目年初预算127.69万元，年中增加药具管理0.12万元、星级专干补助0.78万元、基层示范单位创建0.5万元、奖励扶助特别扶助16.42万元、发放医疗爱心包1.96万元。实际到位138.64万元，项目实际执行138.64万元。</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经费支出</w:t>
      </w:r>
      <w:r>
        <w:rPr>
          <w:rFonts w:hint="eastAsia" w:ascii="宋体" w:hAnsi="宋体" w:eastAsia="宋体"/>
          <w:kern w:val="2"/>
          <w:sz w:val="28"/>
          <w:szCs w:val="28"/>
          <w:lang w:eastAsia="zh-CN"/>
        </w:rPr>
        <w:t>严格执行《豹澥街道办事处财务管理办法》的规定，</w:t>
      </w:r>
      <w:r>
        <w:rPr>
          <w:rFonts w:hint="eastAsia" w:ascii="宋体" w:hAnsi="宋体" w:eastAsia="宋体"/>
          <w:kern w:val="2"/>
          <w:sz w:val="28"/>
          <w:szCs w:val="28"/>
        </w:rPr>
        <w:t>按照先申请再审批后支付的原则进行，项目资金单独核算，资金的拨付有完整的审批程序和手续，中途绝不截留资金，对资金采取封闭式管理。</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（二）项目绩效目标的完成情况</w:t>
      </w:r>
    </w:p>
    <w:p>
      <w:pPr>
        <w:widowControl w:val="0"/>
        <w:adjustRightInd/>
        <w:snapToGrid/>
        <w:spacing w:after="0" w:line="360" w:lineRule="auto"/>
        <w:ind w:firstLine="560" w:firstLineChars="200"/>
        <w:jc w:val="both"/>
        <w:rPr>
          <w:rFonts w:ascii="宋体" w:hAnsi="宋体" w:eastAsia="宋体"/>
          <w:kern w:val="2"/>
          <w:sz w:val="28"/>
          <w:szCs w:val="28"/>
        </w:rPr>
      </w:pPr>
      <w:r>
        <w:rPr>
          <w:rFonts w:ascii="宋体" w:hAnsi="宋体" w:eastAsia="宋体"/>
          <w:kern w:val="2"/>
          <w:sz w:val="28"/>
          <w:szCs w:val="28"/>
        </w:rPr>
        <w:t>1.</w:t>
      </w:r>
      <w:r>
        <w:rPr>
          <w:rFonts w:hint="eastAsia" w:ascii="宋体" w:hAnsi="宋体" w:eastAsia="宋体"/>
          <w:kern w:val="2"/>
          <w:sz w:val="28"/>
          <w:szCs w:val="28"/>
        </w:rPr>
        <w:t>产出目标</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1800"/>
        <w:gridCol w:w="2616"/>
        <w:gridCol w:w="3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blHeader/>
        </w:trPr>
        <w:tc>
          <w:tcPr>
            <w:tcW w:w="751"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二级指标</w:t>
            </w:r>
          </w:p>
        </w:tc>
        <w:tc>
          <w:tcPr>
            <w:tcW w:w="1800"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指标内容</w:t>
            </w:r>
          </w:p>
        </w:tc>
        <w:tc>
          <w:tcPr>
            <w:tcW w:w="2616"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指标值</w:t>
            </w:r>
          </w:p>
        </w:tc>
        <w:tc>
          <w:tcPr>
            <w:tcW w:w="3355"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751" w:type="dxa"/>
            <w:vMerge w:val="restart"/>
            <w:vAlign w:val="center"/>
          </w:tcPr>
          <w:p>
            <w:pPr>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数量指标</w:t>
            </w:r>
          </w:p>
        </w:tc>
        <w:tc>
          <w:tcPr>
            <w:tcW w:w="1800" w:type="dxa"/>
            <w:vAlign w:val="center"/>
          </w:tcPr>
          <w:p>
            <w:pPr>
              <w:adjustRightInd/>
              <w:snapToGrid/>
              <w:spacing w:after="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村社区计生专干岗位人数</w:t>
            </w:r>
          </w:p>
        </w:tc>
        <w:tc>
          <w:tcPr>
            <w:tcW w:w="2616" w:type="dxa"/>
            <w:vAlign w:val="center"/>
          </w:tcPr>
          <w:p>
            <w:pPr>
              <w:adjustRightInd/>
              <w:snapToGrid/>
              <w:spacing w:after="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目标值：25人</w:t>
            </w:r>
          </w:p>
        </w:tc>
        <w:tc>
          <w:tcPr>
            <w:tcW w:w="3355"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实际发放村社区计生专干岗位25人。完成100%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trPr>
        <w:tc>
          <w:tcPr>
            <w:tcW w:w="751" w:type="dxa"/>
            <w:vMerge w:val="continue"/>
            <w:vAlign w:val="center"/>
          </w:tcPr>
          <w:p>
            <w:pPr>
              <w:jc w:val="center"/>
              <w:rPr>
                <w:rFonts w:asciiTheme="minorEastAsia" w:hAnsiTheme="minorEastAsia" w:eastAsiaTheme="minorEastAsia" w:cstheme="minorEastAsia"/>
                <w:sz w:val="21"/>
                <w:szCs w:val="21"/>
              </w:rPr>
            </w:pPr>
          </w:p>
        </w:tc>
        <w:tc>
          <w:tcPr>
            <w:tcW w:w="1800" w:type="dxa"/>
            <w:vAlign w:val="center"/>
          </w:tcPr>
          <w:p>
            <w:pPr>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村社区计生专干岗位经费</w:t>
            </w:r>
          </w:p>
        </w:tc>
        <w:tc>
          <w:tcPr>
            <w:tcW w:w="2616" w:type="dxa"/>
            <w:vAlign w:val="center"/>
          </w:tcPr>
          <w:p>
            <w:pPr>
              <w:jc w:val="both"/>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目标值：1200元/年</w:t>
            </w:r>
          </w:p>
        </w:tc>
        <w:tc>
          <w:tcPr>
            <w:tcW w:w="3355"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严格按照1200元/年的标准</w:t>
            </w:r>
            <w:r>
              <w:rPr>
                <w:rFonts w:hint="eastAsia" w:asciiTheme="minorEastAsia" w:hAnsiTheme="minorEastAsia" w:eastAsiaTheme="minorEastAsia" w:cstheme="minorEastAsia"/>
                <w:color w:val="000000"/>
                <w:sz w:val="21"/>
                <w:szCs w:val="21"/>
                <w:lang w:eastAsia="zh-CN"/>
              </w:rPr>
              <w:t>发放</w:t>
            </w:r>
            <w:r>
              <w:rPr>
                <w:rFonts w:hint="eastAsia" w:asciiTheme="minorEastAsia" w:hAnsiTheme="minorEastAsia" w:eastAsiaTheme="minorEastAsia" w:cstheme="minorEastAsia"/>
                <w:color w:val="000000"/>
                <w:sz w:val="21"/>
                <w:szCs w:val="21"/>
              </w:rPr>
              <w:t>村社区计生专干岗位经费。完成100%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atLeast"/>
        </w:trPr>
        <w:tc>
          <w:tcPr>
            <w:tcW w:w="751" w:type="dxa"/>
            <w:vMerge w:val="continue"/>
            <w:vAlign w:val="center"/>
          </w:tcPr>
          <w:p>
            <w:pPr>
              <w:adjustRightInd/>
              <w:snapToGrid/>
              <w:spacing w:after="0"/>
              <w:jc w:val="center"/>
              <w:rPr>
                <w:rFonts w:asciiTheme="minorEastAsia" w:hAnsiTheme="minorEastAsia" w:eastAsiaTheme="minorEastAsia" w:cstheme="minorEastAsia"/>
                <w:sz w:val="21"/>
                <w:szCs w:val="21"/>
              </w:rPr>
            </w:pPr>
          </w:p>
        </w:tc>
        <w:tc>
          <w:tcPr>
            <w:tcW w:w="1800" w:type="dxa"/>
            <w:vAlign w:val="center"/>
          </w:tcPr>
          <w:p>
            <w:pPr>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村计生计生专干入户调查人数</w:t>
            </w:r>
          </w:p>
        </w:tc>
        <w:tc>
          <w:tcPr>
            <w:tcW w:w="2616" w:type="dxa"/>
            <w:vAlign w:val="center"/>
          </w:tcPr>
          <w:p>
            <w:pPr>
              <w:adjustRightInd/>
              <w:snapToGrid/>
              <w:spacing w:after="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目标值：25人</w:t>
            </w:r>
          </w:p>
        </w:tc>
        <w:tc>
          <w:tcPr>
            <w:tcW w:w="3355"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实际发放村计生计生专干入户调查25人。完成100%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751" w:type="dxa"/>
            <w:vMerge w:val="continue"/>
            <w:vAlign w:val="center"/>
          </w:tcPr>
          <w:p>
            <w:pPr>
              <w:adjustRightInd/>
              <w:snapToGrid/>
              <w:spacing w:after="0"/>
              <w:rPr>
                <w:rFonts w:asciiTheme="minorEastAsia" w:hAnsiTheme="minorEastAsia" w:eastAsiaTheme="minorEastAsia" w:cstheme="minorEastAsia"/>
                <w:sz w:val="21"/>
                <w:szCs w:val="21"/>
              </w:rPr>
            </w:pPr>
          </w:p>
        </w:tc>
        <w:tc>
          <w:tcPr>
            <w:tcW w:w="1800" w:type="dxa"/>
            <w:vAlign w:val="center"/>
          </w:tcPr>
          <w:p>
            <w:pPr>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村计生计生专干入户调查经费</w:t>
            </w:r>
          </w:p>
        </w:tc>
        <w:tc>
          <w:tcPr>
            <w:tcW w:w="2616" w:type="dxa"/>
            <w:vAlign w:val="center"/>
          </w:tcPr>
          <w:p>
            <w:pPr>
              <w:jc w:val="both"/>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目标值：1200元/年</w:t>
            </w:r>
          </w:p>
        </w:tc>
        <w:tc>
          <w:tcPr>
            <w:tcW w:w="3355"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严格按照1200元/年的标准</w:t>
            </w:r>
            <w:r>
              <w:rPr>
                <w:rFonts w:hint="eastAsia" w:asciiTheme="minorEastAsia" w:hAnsiTheme="minorEastAsia" w:eastAsiaTheme="minorEastAsia" w:cstheme="minorEastAsia"/>
                <w:color w:val="000000"/>
                <w:sz w:val="21"/>
                <w:szCs w:val="21"/>
                <w:lang w:eastAsia="zh-CN"/>
              </w:rPr>
              <w:t>发放</w:t>
            </w:r>
            <w:r>
              <w:rPr>
                <w:rFonts w:hint="eastAsia" w:asciiTheme="minorEastAsia" w:hAnsiTheme="minorEastAsia" w:eastAsiaTheme="minorEastAsia" w:cstheme="minorEastAsia"/>
                <w:color w:val="000000"/>
                <w:sz w:val="21"/>
                <w:szCs w:val="21"/>
              </w:rPr>
              <w:t>村计生计生专干入户调查经费。完成100%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751" w:type="dxa"/>
            <w:vMerge w:val="continue"/>
            <w:vAlign w:val="center"/>
          </w:tcPr>
          <w:p>
            <w:pPr>
              <w:adjustRightInd/>
              <w:snapToGrid/>
              <w:spacing w:after="0"/>
              <w:rPr>
                <w:rFonts w:asciiTheme="minorEastAsia" w:hAnsiTheme="minorEastAsia" w:eastAsiaTheme="minorEastAsia" w:cstheme="minorEastAsia"/>
                <w:sz w:val="21"/>
                <w:szCs w:val="21"/>
              </w:rPr>
            </w:pPr>
          </w:p>
        </w:tc>
        <w:tc>
          <w:tcPr>
            <w:tcW w:w="1800" w:type="dxa"/>
            <w:vAlign w:val="center"/>
          </w:tcPr>
          <w:p>
            <w:pPr>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计生中心户长劳务人数</w:t>
            </w:r>
          </w:p>
        </w:tc>
        <w:tc>
          <w:tcPr>
            <w:tcW w:w="2616" w:type="dxa"/>
            <w:vAlign w:val="center"/>
          </w:tcPr>
          <w:p>
            <w:pPr>
              <w:adjustRightInd/>
              <w:snapToGrid/>
              <w:spacing w:after="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目标值：122人</w:t>
            </w:r>
          </w:p>
        </w:tc>
        <w:tc>
          <w:tcPr>
            <w:tcW w:w="3355"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实际发放</w:t>
            </w:r>
            <w:r>
              <w:rPr>
                <w:rFonts w:hint="eastAsia" w:asciiTheme="minorEastAsia" w:hAnsiTheme="minorEastAsia" w:eastAsiaTheme="minorEastAsia" w:cstheme="minorEastAsia"/>
                <w:color w:val="000000"/>
                <w:sz w:val="21"/>
                <w:szCs w:val="21"/>
              </w:rPr>
              <w:t>计生中心户长劳务122人。完成100%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751" w:type="dxa"/>
            <w:vMerge w:val="continue"/>
            <w:vAlign w:val="center"/>
          </w:tcPr>
          <w:p>
            <w:pPr>
              <w:adjustRightInd/>
              <w:snapToGrid/>
              <w:spacing w:after="0"/>
              <w:rPr>
                <w:rFonts w:asciiTheme="minorEastAsia" w:hAnsiTheme="minorEastAsia" w:eastAsiaTheme="minorEastAsia" w:cstheme="minorEastAsia"/>
                <w:sz w:val="21"/>
                <w:szCs w:val="21"/>
              </w:rPr>
            </w:pPr>
          </w:p>
        </w:tc>
        <w:tc>
          <w:tcPr>
            <w:tcW w:w="1800" w:type="dxa"/>
            <w:vAlign w:val="center"/>
          </w:tcPr>
          <w:p>
            <w:pPr>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计生中心户长劳务补贴</w:t>
            </w:r>
          </w:p>
        </w:tc>
        <w:tc>
          <w:tcPr>
            <w:tcW w:w="2616" w:type="dxa"/>
            <w:vAlign w:val="center"/>
          </w:tcPr>
          <w:p>
            <w:pPr>
              <w:jc w:val="both"/>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目标值：600元/年</w:t>
            </w:r>
          </w:p>
        </w:tc>
        <w:tc>
          <w:tcPr>
            <w:tcW w:w="3355"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严格按照600元/年的标准</w:t>
            </w:r>
            <w:r>
              <w:rPr>
                <w:rFonts w:hint="eastAsia" w:asciiTheme="minorEastAsia" w:hAnsiTheme="minorEastAsia" w:eastAsiaTheme="minorEastAsia" w:cstheme="minorEastAsia"/>
                <w:color w:val="000000"/>
                <w:sz w:val="21"/>
                <w:szCs w:val="21"/>
                <w:lang w:eastAsia="zh-CN"/>
              </w:rPr>
              <w:t>发放</w:t>
            </w:r>
            <w:r>
              <w:rPr>
                <w:rFonts w:hint="eastAsia" w:asciiTheme="minorEastAsia" w:hAnsiTheme="minorEastAsia" w:eastAsiaTheme="minorEastAsia" w:cstheme="minorEastAsia"/>
                <w:color w:val="000000"/>
                <w:sz w:val="21"/>
                <w:szCs w:val="21"/>
              </w:rPr>
              <w:t>计生中心户长劳务补贴。完成100%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51" w:type="dxa"/>
            <w:vMerge w:val="restart"/>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质量指标</w:t>
            </w:r>
          </w:p>
        </w:tc>
        <w:tc>
          <w:tcPr>
            <w:tcW w:w="1800" w:type="dxa"/>
            <w:vAlign w:val="center"/>
          </w:tcPr>
          <w:p>
            <w:pPr>
              <w:jc w:val="both"/>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资金使用合规性</w:t>
            </w:r>
          </w:p>
        </w:tc>
        <w:tc>
          <w:tcPr>
            <w:tcW w:w="2616" w:type="dxa"/>
            <w:vAlign w:val="center"/>
          </w:tcPr>
          <w:p>
            <w:pPr>
              <w:textAlignment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①项目资金使用是否符合相关的财务管理制度规定；</w:t>
            </w:r>
            <w:r>
              <w:rPr>
                <w:rFonts w:hint="eastAsia" w:asciiTheme="minorEastAsia" w:hAnsiTheme="minorEastAsia" w:eastAsiaTheme="minorEastAsia" w:cstheme="minorEastAsia"/>
                <w:color w:val="000000"/>
                <w:sz w:val="21"/>
                <w:szCs w:val="21"/>
              </w:rPr>
              <w:br w:type="textWrapping"/>
            </w:r>
            <w:r>
              <w:rPr>
                <w:rFonts w:hint="eastAsia" w:asciiTheme="minorEastAsia" w:hAnsiTheme="minorEastAsia" w:eastAsiaTheme="minorEastAsia" w:cstheme="minorEastAsia"/>
                <w:color w:val="000000"/>
                <w:sz w:val="21"/>
                <w:szCs w:val="21"/>
              </w:rPr>
              <w:t>②相关经费发放是否按照国家相关规定标准发放。</w:t>
            </w:r>
            <w:r>
              <w:rPr>
                <w:rFonts w:hint="eastAsia" w:asciiTheme="minorEastAsia" w:hAnsiTheme="minorEastAsia" w:eastAsiaTheme="minorEastAsia" w:cstheme="minorEastAsia"/>
                <w:color w:val="000000"/>
                <w:sz w:val="21"/>
                <w:szCs w:val="21"/>
              </w:rPr>
              <w:br w:type="textWrapping"/>
            </w:r>
            <w:r>
              <w:rPr>
                <w:rFonts w:hint="eastAsia" w:asciiTheme="minorEastAsia" w:hAnsiTheme="minorEastAsia" w:eastAsiaTheme="minorEastAsia" w:cstheme="minorEastAsia"/>
                <w:color w:val="000000"/>
                <w:sz w:val="21"/>
                <w:szCs w:val="21"/>
              </w:rPr>
              <w:t>用以反映和考核项目资金的规范运行情况。</w:t>
            </w:r>
          </w:p>
          <w:p>
            <w:pPr>
              <w:textAlignment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目标值：98%</w:t>
            </w:r>
          </w:p>
        </w:tc>
        <w:tc>
          <w:tcPr>
            <w:tcW w:w="3355"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经费支出按照先申请再审批后支付的原则进行，项目资金单独核算，资金的拨付有完整的审批程序和手续</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资金使用100%按照相关规定执行</w:t>
            </w:r>
            <w:r>
              <w:rPr>
                <w:rFonts w:hint="eastAsia" w:asciiTheme="minorEastAsia" w:hAnsiTheme="minorEastAsia" w:eastAsiaTheme="minorEastAsia" w:cstheme="minorEastAsia"/>
                <w:color w:val="000000"/>
                <w:sz w:val="21"/>
                <w:szCs w:val="21"/>
              </w:rPr>
              <w:t>完成100%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trPr>
        <w:tc>
          <w:tcPr>
            <w:tcW w:w="751" w:type="dxa"/>
            <w:vMerge w:val="continue"/>
            <w:vAlign w:val="center"/>
          </w:tcPr>
          <w:p>
            <w:pPr>
              <w:adjustRightInd/>
              <w:snapToGrid/>
              <w:spacing w:after="0"/>
              <w:rPr>
                <w:rFonts w:asciiTheme="minorEastAsia" w:hAnsiTheme="minorEastAsia" w:eastAsiaTheme="minorEastAsia" w:cstheme="minorEastAsia"/>
                <w:sz w:val="21"/>
                <w:szCs w:val="21"/>
              </w:rPr>
            </w:pPr>
          </w:p>
        </w:tc>
        <w:tc>
          <w:tcPr>
            <w:tcW w:w="1800" w:type="dxa"/>
            <w:vAlign w:val="center"/>
          </w:tcPr>
          <w:p>
            <w:pPr>
              <w:jc w:val="both"/>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政策外多孩率不超出</w:t>
            </w:r>
          </w:p>
        </w:tc>
        <w:tc>
          <w:tcPr>
            <w:tcW w:w="2616" w:type="dxa"/>
            <w:vAlign w:val="center"/>
          </w:tcPr>
          <w:p>
            <w:pPr>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目标值：2%</w:t>
            </w:r>
          </w:p>
        </w:tc>
        <w:tc>
          <w:tcPr>
            <w:tcW w:w="3355"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lang w:eastAsia="zh-CN"/>
              </w:rPr>
              <w:t>通过优生优育的不断宣传</w:t>
            </w:r>
            <w:r>
              <w:rPr>
                <w:rFonts w:hint="eastAsia" w:asciiTheme="minorEastAsia" w:hAnsiTheme="minorEastAsia" w:eastAsiaTheme="minorEastAsia" w:cstheme="minorEastAsia"/>
                <w:color w:val="000000"/>
                <w:sz w:val="21"/>
                <w:szCs w:val="21"/>
              </w:rPr>
              <w:t>全年政策外多孩率为1.5%。完成100%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751"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时效指标</w:t>
            </w:r>
          </w:p>
        </w:tc>
        <w:tc>
          <w:tcPr>
            <w:tcW w:w="1800" w:type="dxa"/>
            <w:vAlign w:val="center"/>
          </w:tcPr>
          <w:p>
            <w:pPr>
              <w:jc w:val="both"/>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计生惠民补助发放及时率</w:t>
            </w:r>
          </w:p>
        </w:tc>
        <w:tc>
          <w:tcPr>
            <w:tcW w:w="2616" w:type="dxa"/>
            <w:vAlign w:val="center"/>
          </w:tcPr>
          <w:p>
            <w:pPr>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目标值：100%</w:t>
            </w:r>
          </w:p>
        </w:tc>
        <w:tc>
          <w:tcPr>
            <w:tcW w:w="3355"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计生惠民补助资金100%及时发放</w:t>
            </w:r>
            <w:r>
              <w:rPr>
                <w:rFonts w:hint="eastAsia" w:asciiTheme="minorEastAsia" w:hAnsiTheme="minorEastAsia" w:eastAsiaTheme="minorEastAsia" w:cstheme="minorEastAsia"/>
                <w:color w:val="000000"/>
                <w:sz w:val="21"/>
                <w:szCs w:val="21"/>
              </w:rPr>
              <w:t>。完成100%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751" w:type="dxa"/>
            <w:vAlign w:val="center"/>
          </w:tcPr>
          <w:p>
            <w:pPr>
              <w:adjustRightInd/>
              <w:snapToGrid/>
              <w:spacing w:after="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成本指标</w:t>
            </w:r>
          </w:p>
        </w:tc>
        <w:tc>
          <w:tcPr>
            <w:tcW w:w="1800" w:type="dxa"/>
            <w:vAlign w:val="center"/>
          </w:tcPr>
          <w:p>
            <w:pPr>
              <w:adjustRightInd/>
              <w:snapToGrid/>
              <w:spacing w:after="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经费支出/年初申报金额</w:t>
            </w:r>
          </w:p>
        </w:tc>
        <w:tc>
          <w:tcPr>
            <w:tcW w:w="2616" w:type="dxa"/>
            <w:vAlign w:val="center"/>
          </w:tcPr>
          <w:p>
            <w:pPr>
              <w:adjustRightInd/>
              <w:snapToGrid/>
              <w:spacing w:after="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目标值：小于1</w:t>
            </w:r>
          </w:p>
        </w:tc>
        <w:tc>
          <w:tcPr>
            <w:tcW w:w="3355"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预算147.47万元，实际发生138.64万元，节约8.83万元。完成100%</w:t>
            </w:r>
          </w:p>
        </w:tc>
      </w:tr>
    </w:tbl>
    <w:p>
      <w:pPr>
        <w:widowControl w:val="0"/>
        <w:adjustRightInd/>
        <w:snapToGrid/>
        <w:spacing w:after="0"/>
        <w:ind w:firstLine="560" w:firstLineChars="200"/>
        <w:jc w:val="both"/>
        <w:rPr>
          <w:rFonts w:ascii="宋体" w:hAnsi="宋体" w:eastAsia="宋体" w:cs="宋体"/>
          <w:color w:val="000000"/>
          <w:sz w:val="28"/>
          <w:szCs w:val="28"/>
        </w:rPr>
      </w:pPr>
    </w:p>
    <w:p>
      <w:pPr>
        <w:widowControl w:val="0"/>
        <w:adjustRightInd/>
        <w:snapToGrid/>
        <w:spacing w:after="0" w:line="360" w:lineRule="auto"/>
        <w:ind w:firstLine="560" w:firstLineChars="200"/>
        <w:jc w:val="both"/>
        <w:rPr>
          <w:rFonts w:ascii="宋体" w:hAnsi="宋体" w:eastAsia="宋体" w:cs="宋体"/>
          <w:color w:val="000000"/>
          <w:sz w:val="28"/>
          <w:szCs w:val="28"/>
        </w:rPr>
      </w:pPr>
      <w:r>
        <w:rPr>
          <w:rFonts w:hint="eastAsia" w:ascii="宋体" w:hAnsi="宋体" w:eastAsia="宋体" w:cs="宋体"/>
          <w:color w:val="000000"/>
          <w:sz w:val="28"/>
          <w:szCs w:val="28"/>
        </w:rPr>
        <w:t>数量指标、质量指标、时效指标和成本指标全部完成。</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2.效果目标</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3"/>
        <w:gridCol w:w="2328"/>
        <w:gridCol w:w="1632"/>
        <w:gridCol w:w="3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blHeader/>
        </w:trPr>
        <w:tc>
          <w:tcPr>
            <w:tcW w:w="1123"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rPr>
              <w:t>二级指标</w:t>
            </w:r>
          </w:p>
        </w:tc>
        <w:tc>
          <w:tcPr>
            <w:tcW w:w="2328"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rPr>
              <w:t>指标内容</w:t>
            </w:r>
          </w:p>
        </w:tc>
        <w:tc>
          <w:tcPr>
            <w:tcW w:w="1632"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rPr>
              <w:t>指标值</w:t>
            </w:r>
          </w:p>
        </w:tc>
        <w:tc>
          <w:tcPr>
            <w:tcW w:w="3439"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1" w:hRule="atLeast"/>
        </w:trPr>
        <w:tc>
          <w:tcPr>
            <w:tcW w:w="1123"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rPr>
              <w:t>经济效益</w:t>
            </w:r>
          </w:p>
        </w:tc>
        <w:tc>
          <w:tcPr>
            <w:tcW w:w="2328" w:type="dxa"/>
            <w:vAlign w:val="center"/>
          </w:tcPr>
          <w:p>
            <w:pPr>
              <w:adjustRightInd/>
              <w:snapToGrid/>
              <w:spacing w:after="0"/>
              <w:jc w:val="both"/>
              <w:rPr>
                <w:rFonts w:ascii="宋体" w:hAnsi="宋体" w:eastAsia="宋体" w:cs="宋体"/>
                <w:sz w:val="21"/>
                <w:szCs w:val="21"/>
              </w:rPr>
            </w:pPr>
            <w:r>
              <w:rPr>
                <w:rFonts w:hint="eastAsia" w:ascii="宋体" w:hAnsi="宋体" w:eastAsia="宋体" w:cs="宋体"/>
                <w:color w:val="000000"/>
                <w:sz w:val="21"/>
                <w:szCs w:val="21"/>
              </w:rPr>
              <w:t>减轻农村集体经济负担</w:t>
            </w:r>
          </w:p>
        </w:tc>
        <w:tc>
          <w:tcPr>
            <w:tcW w:w="1632"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rPr>
              <w:t>目标值：优良</w:t>
            </w:r>
          </w:p>
        </w:tc>
        <w:tc>
          <w:tcPr>
            <w:tcW w:w="3439"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rPr>
              <w:t>提供实施该项目在一定程度上</w:t>
            </w:r>
            <w:r>
              <w:rPr>
                <w:rFonts w:hint="eastAsia" w:ascii="宋体" w:hAnsi="宋体" w:eastAsia="宋体" w:cs="宋体"/>
                <w:color w:val="000000"/>
                <w:sz w:val="21"/>
                <w:szCs w:val="21"/>
              </w:rPr>
              <w:t>减轻了农村集体经济负担。完成优良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1" w:hRule="atLeast"/>
        </w:trPr>
        <w:tc>
          <w:tcPr>
            <w:tcW w:w="1123"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rPr>
              <w:t>社会效益</w:t>
            </w:r>
          </w:p>
        </w:tc>
        <w:tc>
          <w:tcPr>
            <w:tcW w:w="2328" w:type="dxa"/>
            <w:vAlign w:val="center"/>
          </w:tcPr>
          <w:p>
            <w:pPr>
              <w:adjustRightInd/>
              <w:snapToGrid/>
              <w:spacing w:after="0"/>
              <w:jc w:val="both"/>
              <w:rPr>
                <w:rFonts w:ascii="宋体" w:hAnsi="宋体" w:eastAsia="宋体" w:cs="宋体"/>
                <w:sz w:val="21"/>
                <w:szCs w:val="21"/>
              </w:rPr>
            </w:pPr>
            <w:r>
              <w:rPr>
                <w:rFonts w:hint="eastAsia" w:ascii="宋体" w:hAnsi="宋体" w:eastAsia="宋体" w:cs="宋体"/>
                <w:color w:val="000000"/>
                <w:sz w:val="21"/>
                <w:szCs w:val="21"/>
              </w:rPr>
              <w:t>计生优质服务率</w:t>
            </w:r>
            <w:r>
              <w:rPr>
                <w:rFonts w:hint="eastAsia" w:ascii="宋体" w:hAnsi="宋体" w:eastAsia="宋体" w:cs="宋体"/>
                <w:sz w:val="21"/>
                <w:szCs w:val="21"/>
              </w:rPr>
              <w:t>（</w:t>
            </w:r>
            <w:r>
              <w:rPr>
                <w:rFonts w:ascii="宋体" w:hAnsi="宋体" w:eastAsia="宋体" w:cs="宋体"/>
                <w:sz w:val="21"/>
                <w:szCs w:val="21"/>
              </w:rPr>
              <w:t>%</w:t>
            </w:r>
            <w:r>
              <w:rPr>
                <w:rFonts w:hint="eastAsia" w:ascii="宋体" w:hAnsi="宋体" w:eastAsia="宋体" w:cs="宋体"/>
                <w:sz w:val="21"/>
                <w:szCs w:val="21"/>
              </w:rPr>
              <w:t>）</w:t>
            </w:r>
          </w:p>
        </w:tc>
        <w:tc>
          <w:tcPr>
            <w:tcW w:w="1632"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rPr>
              <w:t>目标值：95%</w:t>
            </w:r>
          </w:p>
        </w:tc>
        <w:tc>
          <w:tcPr>
            <w:tcW w:w="3439"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lang w:eastAsia="zh-CN"/>
              </w:rPr>
              <w:t>通过计划生育生殖健康促进及三查四术活动、关爱女孩等专项活动的开展，</w:t>
            </w:r>
            <w:r>
              <w:rPr>
                <w:rFonts w:hint="eastAsia" w:ascii="宋体" w:hAnsi="宋体" w:eastAsia="宋体" w:cs="宋体"/>
                <w:sz w:val="21"/>
                <w:szCs w:val="21"/>
              </w:rPr>
              <w:t>全年</w:t>
            </w:r>
            <w:r>
              <w:rPr>
                <w:rFonts w:hint="eastAsia" w:ascii="宋体" w:hAnsi="宋体" w:eastAsia="宋体" w:cs="宋体"/>
                <w:color w:val="000000"/>
                <w:sz w:val="21"/>
                <w:szCs w:val="21"/>
              </w:rPr>
              <w:t>计生优质服务率达98%。完成100%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123"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color w:val="000000"/>
                <w:sz w:val="21"/>
                <w:szCs w:val="21"/>
              </w:rPr>
              <w:t>可持续发展影响</w:t>
            </w:r>
          </w:p>
        </w:tc>
        <w:tc>
          <w:tcPr>
            <w:tcW w:w="2328" w:type="dxa"/>
            <w:vAlign w:val="center"/>
          </w:tcPr>
          <w:p>
            <w:pPr>
              <w:adjustRightInd/>
              <w:snapToGrid/>
              <w:spacing w:after="0"/>
              <w:jc w:val="both"/>
              <w:rPr>
                <w:rFonts w:ascii="宋体" w:hAnsi="宋体" w:eastAsia="宋体" w:cs="宋体"/>
                <w:sz w:val="21"/>
                <w:szCs w:val="21"/>
              </w:rPr>
            </w:pPr>
            <w:r>
              <w:rPr>
                <w:rFonts w:hint="eastAsia" w:ascii="宋体" w:hAnsi="宋体" w:eastAsia="宋体" w:cs="宋体"/>
                <w:color w:val="000000"/>
                <w:sz w:val="21"/>
                <w:szCs w:val="21"/>
              </w:rPr>
              <w:t>加强出生人口性别比综合治理</w:t>
            </w:r>
          </w:p>
        </w:tc>
        <w:tc>
          <w:tcPr>
            <w:tcW w:w="1632"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rPr>
              <w:t>目标值：优良</w:t>
            </w:r>
          </w:p>
        </w:tc>
        <w:tc>
          <w:tcPr>
            <w:tcW w:w="3439"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rPr>
              <w:t>通过出生人口性别比综合治理</w:t>
            </w:r>
            <w:r>
              <w:rPr>
                <w:rFonts w:hint="eastAsia" w:ascii="宋体" w:hAnsi="宋体" w:eastAsia="宋体" w:cs="宋体"/>
                <w:sz w:val="21"/>
                <w:szCs w:val="21"/>
                <w:lang w:eastAsia="zh-CN"/>
              </w:rPr>
              <w:t>、计划生育宣传教育等工作的开展使得辖区</w:t>
            </w:r>
            <w:r>
              <w:rPr>
                <w:rFonts w:hint="eastAsia" w:ascii="宋体" w:hAnsi="宋体" w:eastAsia="宋体" w:cs="宋体"/>
                <w:color w:val="000000"/>
                <w:sz w:val="21"/>
                <w:szCs w:val="21"/>
              </w:rPr>
              <w:t>出生人口性别比综合治理</w:t>
            </w:r>
            <w:r>
              <w:rPr>
                <w:rFonts w:hint="eastAsia" w:ascii="宋体" w:hAnsi="宋体" w:eastAsia="宋体" w:cs="宋体"/>
                <w:color w:val="000000"/>
                <w:sz w:val="21"/>
                <w:szCs w:val="21"/>
                <w:lang w:eastAsia="zh-CN"/>
              </w:rPr>
              <w:t>工作取得长足发展</w:t>
            </w:r>
            <w:r>
              <w:rPr>
                <w:rFonts w:hint="eastAsia" w:ascii="宋体" w:hAnsi="宋体" w:eastAsia="宋体" w:cs="宋体"/>
                <w:color w:val="000000"/>
                <w:sz w:val="21"/>
                <w:szCs w:val="21"/>
              </w:rPr>
              <w:t>。完成：优良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123"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color w:val="000000"/>
                <w:sz w:val="21"/>
                <w:szCs w:val="21"/>
              </w:rPr>
              <w:t>服务对象满意度</w:t>
            </w:r>
          </w:p>
        </w:tc>
        <w:tc>
          <w:tcPr>
            <w:tcW w:w="2328" w:type="dxa"/>
            <w:vAlign w:val="center"/>
          </w:tcPr>
          <w:p>
            <w:pPr>
              <w:adjustRightInd/>
              <w:snapToGrid/>
              <w:spacing w:after="0"/>
              <w:jc w:val="both"/>
              <w:rPr>
                <w:rFonts w:ascii="宋体" w:hAnsi="宋体" w:eastAsia="宋体" w:cs="宋体"/>
                <w:sz w:val="21"/>
                <w:szCs w:val="21"/>
              </w:rPr>
            </w:pPr>
            <w:r>
              <w:rPr>
                <w:rFonts w:hint="eastAsia" w:ascii="宋体" w:hAnsi="宋体" w:eastAsia="宋体" w:cs="宋体"/>
                <w:color w:val="000000"/>
                <w:sz w:val="21"/>
                <w:szCs w:val="21"/>
              </w:rPr>
              <w:t>辖区计生服务对象满意度</w:t>
            </w:r>
            <w:r>
              <w:rPr>
                <w:rFonts w:hint="eastAsia" w:ascii="宋体" w:hAnsi="宋体" w:eastAsia="宋体" w:cs="宋体"/>
                <w:sz w:val="21"/>
                <w:szCs w:val="21"/>
              </w:rPr>
              <w:t>（</w:t>
            </w:r>
            <w:r>
              <w:rPr>
                <w:rFonts w:ascii="宋体" w:hAnsi="宋体" w:eastAsia="宋体" w:cs="宋体"/>
                <w:sz w:val="21"/>
                <w:szCs w:val="21"/>
              </w:rPr>
              <w:t>%</w:t>
            </w:r>
            <w:r>
              <w:rPr>
                <w:rFonts w:hint="eastAsia" w:ascii="宋体" w:hAnsi="宋体" w:eastAsia="宋体" w:cs="宋体"/>
                <w:sz w:val="21"/>
                <w:szCs w:val="21"/>
              </w:rPr>
              <w:t>）</w:t>
            </w:r>
          </w:p>
        </w:tc>
        <w:tc>
          <w:tcPr>
            <w:tcW w:w="1632"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rPr>
              <w:t>目标值：100%</w:t>
            </w:r>
          </w:p>
        </w:tc>
        <w:tc>
          <w:tcPr>
            <w:tcW w:w="3439"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lang w:eastAsia="zh-CN"/>
              </w:rPr>
              <w:t>通过实施该项目</w:t>
            </w:r>
            <w:r>
              <w:rPr>
                <w:rFonts w:hint="eastAsia" w:ascii="宋体" w:hAnsi="宋体" w:eastAsia="宋体" w:cs="宋体"/>
                <w:sz w:val="21"/>
                <w:szCs w:val="21"/>
              </w:rPr>
              <w:t>保障了街道计生政策的执行和落实，严格控制</w:t>
            </w:r>
            <w:r>
              <w:rPr>
                <w:rFonts w:hint="eastAsia" w:ascii="宋体" w:hAnsi="宋体" w:eastAsia="宋体" w:cs="宋体"/>
                <w:sz w:val="21"/>
                <w:szCs w:val="21"/>
                <w:lang w:eastAsia="zh-CN"/>
              </w:rPr>
              <w:t>了</w:t>
            </w:r>
            <w:r>
              <w:rPr>
                <w:rFonts w:hint="eastAsia" w:ascii="宋体" w:hAnsi="宋体" w:eastAsia="宋体" w:cs="宋体"/>
                <w:sz w:val="21"/>
                <w:szCs w:val="21"/>
              </w:rPr>
              <w:t>超生人口，有效提高</w:t>
            </w:r>
            <w:r>
              <w:rPr>
                <w:rFonts w:hint="eastAsia" w:ascii="宋体" w:hAnsi="宋体" w:eastAsia="宋体" w:cs="宋体"/>
                <w:sz w:val="21"/>
                <w:szCs w:val="21"/>
                <w:lang w:eastAsia="zh-CN"/>
              </w:rPr>
              <w:t>了</w:t>
            </w:r>
            <w:r>
              <w:rPr>
                <w:rFonts w:hint="eastAsia" w:ascii="宋体" w:hAnsi="宋体" w:eastAsia="宋体" w:cs="宋体"/>
                <w:sz w:val="21"/>
                <w:szCs w:val="21"/>
              </w:rPr>
              <w:t>人口质量</w:t>
            </w:r>
            <w:r>
              <w:rPr>
                <w:rFonts w:hint="eastAsia" w:ascii="宋体" w:hAnsi="宋体" w:eastAsia="宋体" w:cs="宋体"/>
                <w:sz w:val="21"/>
                <w:szCs w:val="21"/>
                <w:lang w:eastAsia="zh-CN"/>
              </w:rPr>
              <w:t>，服务对象满意度达</w:t>
            </w:r>
            <w:r>
              <w:rPr>
                <w:rFonts w:hint="eastAsia" w:ascii="宋体" w:hAnsi="宋体" w:eastAsia="宋体" w:cs="宋体"/>
                <w:sz w:val="21"/>
                <w:szCs w:val="21"/>
              </w:rPr>
              <w:t>100%</w:t>
            </w:r>
          </w:p>
        </w:tc>
      </w:tr>
    </w:tbl>
    <w:p>
      <w:pPr>
        <w:widowControl w:val="0"/>
        <w:adjustRightInd/>
        <w:snapToGrid/>
        <w:spacing w:after="0"/>
        <w:ind w:firstLine="560" w:firstLineChars="200"/>
        <w:jc w:val="both"/>
        <w:rPr>
          <w:rFonts w:ascii="宋体" w:hAnsi="宋体" w:eastAsia="宋体"/>
          <w:kern w:val="2"/>
          <w:sz w:val="28"/>
          <w:szCs w:val="28"/>
        </w:rPr>
      </w:pP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经济效益指标、社会效益指标、可持续发展影响指标和服务对象满意度指标全部完成。</w:t>
      </w:r>
      <w:bookmarkStart w:id="0" w:name="_GoBack"/>
      <w:bookmarkEnd w:id="0"/>
    </w:p>
    <w:p>
      <w:pPr>
        <w:widowControl w:val="0"/>
        <w:adjustRightInd/>
        <w:snapToGrid/>
        <w:spacing w:after="0" w:line="360" w:lineRule="auto"/>
        <w:ind w:firstLine="560" w:firstLineChars="200"/>
        <w:jc w:val="both"/>
        <w:rPr>
          <w:rFonts w:ascii="宋体" w:hAnsi="宋体" w:eastAsia="宋体"/>
          <w:kern w:val="2"/>
          <w:sz w:val="28"/>
          <w:szCs w:val="28"/>
        </w:rPr>
      </w:pPr>
    </w:p>
    <w:p>
      <w:pPr>
        <w:widowControl w:val="0"/>
        <w:numPr>
          <w:ilvl w:val="0"/>
          <w:numId w:val="2"/>
        </w:numPr>
        <w:adjustRightInd/>
        <w:snapToGrid/>
        <w:spacing w:after="0" w:line="360" w:lineRule="auto"/>
        <w:jc w:val="both"/>
        <w:rPr>
          <w:rFonts w:ascii="宋体" w:hAnsi="宋体" w:eastAsia="宋体"/>
          <w:b/>
          <w:bCs/>
          <w:kern w:val="2"/>
          <w:sz w:val="28"/>
          <w:szCs w:val="28"/>
        </w:rPr>
      </w:pPr>
      <w:r>
        <w:rPr>
          <w:rFonts w:hint="eastAsia" w:ascii="宋体" w:hAnsi="宋体" w:eastAsia="宋体"/>
          <w:b/>
          <w:bCs/>
          <w:kern w:val="2"/>
          <w:sz w:val="28"/>
          <w:szCs w:val="28"/>
        </w:rPr>
        <w:t>自评结论</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（一）自评结论</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豹澥街道办事处2017年计划生育经费项目已顺利完成，项目立项依据充分，项目绩效目标设置基本合理；项目财政资金按时到位；项目的实施组织有序，能够明确人员对项目的各项具体工作，程序到位；财务管理制度得到有效执行；项目资金单独核算，资金的拨付有完整的审批程序和手续。项目的产出达到预期的目标，项目效果良好，项目受益对象满意度较高，项目的绩效目标基本实现。</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经综合分析本项目评分得分为87分，评分结果级别为：良。各项指标得分情况如下：</w:t>
      </w:r>
    </w:p>
    <w:tbl>
      <w:tblPr>
        <w:tblStyle w:val="8"/>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17"/>
        <w:gridCol w:w="1766"/>
        <w:gridCol w:w="1766"/>
        <w:gridCol w:w="1766"/>
        <w:gridCol w:w="22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17" w:type="dxa"/>
            <w:vAlign w:val="bottom"/>
          </w:tcPr>
          <w:p>
            <w:pPr>
              <w:jc w:val="center"/>
              <w:rPr>
                <w:rFonts w:ascii="宋体" w:hAnsi="宋体" w:eastAsia="宋体" w:cs="宋体"/>
                <w:szCs w:val="21"/>
              </w:rPr>
            </w:pPr>
            <w:r>
              <w:rPr>
                <w:rFonts w:hint="eastAsia" w:ascii="宋体" w:hAnsi="宋体" w:eastAsia="宋体" w:cs="宋体"/>
                <w:szCs w:val="21"/>
              </w:rPr>
              <w:t>序号</w:t>
            </w:r>
          </w:p>
        </w:tc>
        <w:tc>
          <w:tcPr>
            <w:tcW w:w="1766" w:type="dxa"/>
            <w:vAlign w:val="bottom"/>
          </w:tcPr>
          <w:p>
            <w:pPr>
              <w:jc w:val="center"/>
              <w:rPr>
                <w:rFonts w:ascii="宋体" w:hAnsi="宋体" w:eastAsia="宋体" w:cs="宋体"/>
                <w:szCs w:val="21"/>
              </w:rPr>
            </w:pPr>
            <w:r>
              <w:rPr>
                <w:rFonts w:hint="eastAsia" w:ascii="宋体" w:hAnsi="宋体" w:eastAsia="宋体" w:cs="宋体"/>
                <w:szCs w:val="21"/>
              </w:rPr>
              <w:t>指标</w:t>
            </w:r>
          </w:p>
        </w:tc>
        <w:tc>
          <w:tcPr>
            <w:tcW w:w="1766" w:type="dxa"/>
            <w:vAlign w:val="bottom"/>
          </w:tcPr>
          <w:p>
            <w:pPr>
              <w:jc w:val="center"/>
              <w:rPr>
                <w:rFonts w:ascii="宋体" w:hAnsi="宋体" w:eastAsia="宋体" w:cs="宋体"/>
                <w:szCs w:val="21"/>
              </w:rPr>
            </w:pPr>
            <w:r>
              <w:rPr>
                <w:rFonts w:hint="eastAsia" w:ascii="宋体" w:hAnsi="宋体" w:eastAsia="宋体" w:cs="宋体"/>
                <w:szCs w:val="21"/>
              </w:rPr>
              <w:t>分值</w:t>
            </w:r>
          </w:p>
        </w:tc>
        <w:tc>
          <w:tcPr>
            <w:tcW w:w="1766" w:type="dxa"/>
            <w:vAlign w:val="bottom"/>
          </w:tcPr>
          <w:p>
            <w:pPr>
              <w:jc w:val="center"/>
              <w:rPr>
                <w:rFonts w:ascii="宋体" w:hAnsi="宋体" w:eastAsia="宋体" w:cs="宋体"/>
                <w:szCs w:val="21"/>
              </w:rPr>
            </w:pPr>
            <w:r>
              <w:rPr>
                <w:rFonts w:hint="eastAsia" w:ascii="宋体" w:hAnsi="宋体" w:eastAsia="宋体" w:cs="宋体"/>
                <w:szCs w:val="21"/>
              </w:rPr>
              <w:t>评价得分</w:t>
            </w:r>
          </w:p>
        </w:tc>
        <w:tc>
          <w:tcPr>
            <w:tcW w:w="2207" w:type="dxa"/>
            <w:vAlign w:val="bottom"/>
          </w:tcPr>
          <w:p>
            <w:pPr>
              <w:jc w:val="center"/>
              <w:rPr>
                <w:rFonts w:ascii="宋体" w:hAnsi="宋体" w:eastAsia="宋体" w:cs="宋体"/>
                <w:szCs w:val="21"/>
              </w:rPr>
            </w:pPr>
            <w:r>
              <w:rPr>
                <w:rFonts w:hint="eastAsia" w:ascii="宋体" w:hAnsi="宋体" w:eastAsia="宋体" w:cs="宋体"/>
                <w:szCs w:val="21"/>
              </w:rPr>
              <w:t>评分结果级别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17" w:type="dxa"/>
            <w:vAlign w:val="bottom"/>
          </w:tcPr>
          <w:p>
            <w:pPr>
              <w:jc w:val="center"/>
              <w:rPr>
                <w:rFonts w:ascii="宋体" w:hAnsi="宋体" w:eastAsia="宋体" w:cs="宋体"/>
                <w:szCs w:val="21"/>
              </w:rPr>
            </w:pPr>
            <w:r>
              <w:rPr>
                <w:rFonts w:hint="eastAsia" w:ascii="宋体" w:hAnsi="宋体" w:eastAsia="宋体" w:cs="宋体"/>
                <w:szCs w:val="21"/>
              </w:rPr>
              <w:t>1</w:t>
            </w:r>
          </w:p>
        </w:tc>
        <w:tc>
          <w:tcPr>
            <w:tcW w:w="1766" w:type="dxa"/>
            <w:vAlign w:val="bottom"/>
          </w:tcPr>
          <w:p>
            <w:pPr>
              <w:jc w:val="center"/>
              <w:rPr>
                <w:rFonts w:ascii="宋体" w:hAnsi="宋体" w:eastAsia="宋体" w:cs="宋体"/>
                <w:szCs w:val="21"/>
              </w:rPr>
            </w:pPr>
            <w:r>
              <w:rPr>
                <w:rFonts w:hint="eastAsia" w:ascii="宋体" w:hAnsi="宋体" w:eastAsia="宋体" w:cs="宋体"/>
                <w:szCs w:val="21"/>
              </w:rPr>
              <w:t>投入管理</w:t>
            </w:r>
          </w:p>
        </w:tc>
        <w:tc>
          <w:tcPr>
            <w:tcW w:w="1766" w:type="dxa"/>
            <w:vAlign w:val="bottom"/>
          </w:tcPr>
          <w:p>
            <w:pPr>
              <w:jc w:val="center"/>
              <w:rPr>
                <w:rFonts w:ascii="宋体" w:hAnsi="宋体" w:eastAsia="宋体" w:cs="宋体"/>
                <w:szCs w:val="21"/>
              </w:rPr>
            </w:pPr>
            <w:r>
              <w:rPr>
                <w:rFonts w:hint="eastAsia" w:ascii="宋体" w:hAnsi="宋体" w:eastAsia="宋体" w:cs="宋体"/>
                <w:szCs w:val="21"/>
              </w:rPr>
              <w:t>16.00</w:t>
            </w:r>
          </w:p>
        </w:tc>
        <w:tc>
          <w:tcPr>
            <w:tcW w:w="1766" w:type="dxa"/>
            <w:vAlign w:val="bottom"/>
          </w:tcPr>
          <w:p>
            <w:pPr>
              <w:jc w:val="center"/>
              <w:rPr>
                <w:rFonts w:ascii="宋体" w:hAnsi="宋体" w:eastAsia="宋体" w:cs="宋体"/>
                <w:color w:val="000000"/>
                <w:szCs w:val="21"/>
              </w:rPr>
            </w:pPr>
            <w:r>
              <w:rPr>
                <w:rFonts w:hint="eastAsia" w:ascii="宋体" w:hAnsi="宋体" w:eastAsia="宋体" w:cs="宋体"/>
                <w:color w:val="000000"/>
                <w:szCs w:val="21"/>
              </w:rPr>
              <w:t>15.00</w:t>
            </w:r>
          </w:p>
        </w:tc>
        <w:tc>
          <w:tcPr>
            <w:tcW w:w="2207" w:type="dxa"/>
            <w:vMerge w:val="restart"/>
            <w:vAlign w:val="center"/>
          </w:tcPr>
          <w:p>
            <w:pPr>
              <w:jc w:val="center"/>
              <w:rPr>
                <w:rFonts w:ascii="宋体" w:hAnsi="宋体" w:eastAsia="宋体" w:cs="宋体"/>
                <w:szCs w:val="21"/>
              </w:rPr>
            </w:pPr>
            <w:r>
              <w:rPr>
                <w:rFonts w:hint="eastAsia" w:ascii="宋体" w:hAnsi="宋体" w:eastAsia="宋体" w:cs="宋体"/>
                <w:szCs w:val="21"/>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17" w:type="dxa"/>
            <w:vAlign w:val="bottom"/>
          </w:tcPr>
          <w:p>
            <w:pPr>
              <w:jc w:val="center"/>
              <w:rPr>
                <w:rFonts w:ascii="宋体" w:hAnsi="宋体" w:eastAsia="宋体" w:cs="宋体"/>
                <w:szCs w:val="21"/>
              </w:rPr>
            </w:pPr>
            <w:r>
              <w:rPr>
                <w:rFonts w:hint="eastAsia" w:ascii="宋体" w:hAnsi="宋体" w:eastAsia="宋体" w:cs="宋体"/>
                <w:szCs w:val="21"/>
              </w:rPr>
              <w:t>2</w:t>
            </w:r>
          </w:p>
        </w:tc>
        <w:tc>
          <w:tcPr>
            <w:tcW w:w="1766" w:type="dxa"/>
            <w:vAlign w:val="bottom"/>
          </w:tcPr>
          <w:p>
            <w:pPr>
              <w:jc w:val="center"/>
              <w:rPr>
                <w:rFonts w:ascii="宋体" w:hAnsi="宋体" w:eastAsia="宋体" w:cs="宋体"/>
                <w:szCs w:val="21"/>
              </w:rPr>
            </w:pPr>
            <w:r>
              <w:rPr>
                <w:rFonts w:hint="eastAsia" w:ascii="宋体" w:hAnsi="宋体" w:eastAsia="宋体" w:cs="宋体"/>
                <w:szCs w:val="21"/>
              </w:rPr>
              <w:t>过程管理</w:t>
            </w:r>
          </w:p>
        </w:tc>
        <w:tc>
          <w:tcPr>
            <w:tcW w:w="1766" w:type="dxa"/>
            <w:vAlign w:val="bottom"/>
          </w:tcPr>
          <w:p>
            <w:pPr>
              <w:jc w:val="center"/>
              <w:rPr>
                <w:rFonts w:ascii="宋体" w:hAnsi="宋体" w:eastAsia="宋体" w:cs="宋体"/>
                <w:szCs w:val="21"/>
              </w:rPr>
            </w:pPr>
            <w:r>
              <w:rPr>
                <w:rFonts w:hint="eastAsia" w:ascii="宋体" w:hAnsi="宋体" w:eastAsia="宋体" w:cs="宋体"/>
                <w:szCs w:val="21"/>
              </w:rPr>
              <w:t>24.00</w:t>
            </w:r>
          </w:p>
        </w:tc>
        <w:tc>
          <w:tcPr>
            <w:tcW w:w="1766" w:type="dxa"/>
            <w:vAlign w:val="bottom"/>
          </w:tcPr>
          <w:p>
            <w:pPr>
              <w:jc w:val="center"/>
              <w:rPr>
                <w:rFonts w:ascii="宋体" w:hAnsi="宋体" w:eastAsia="宋体" w:cs="宋体"/>
                <w:color w:val="000000"/>
                <w:szCs w:val="21"/>
              </w:rPr>
            </w:pPr>
            <w:r>
              <w:rPr>
                <w:rFonts w:hint="eastAsia" w:ascii="宋体" w:hAnsi="宋体" w:eastAsia="宋体" w:cs="宋体"/>
                <w:color w:val="000000"/>
                <w:szCs w:val="21"/>
              </w:rPr>
              <w:t>15.00</w:t>
            </w:r>
          </w:p>
        </w:tc>
        <w:tc>
          <w:tcPr>
            <w:tcW w:w="2207" w:type="dxa"/>
            <w:vMerge w:val="continue"/>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17" w:type="dxa"/>
            <w:vAlign w:val="bottom"/>
          </w:tcPr>
          <w:p>
            <w:pPr>
              <w:jc w:val="center"/>
              <w:rPr>
                <w:rFonts w:ascii="宋体" w:hAnsi="宋体" w:eastAsia="宋体" w:cs="宋体"/>
                <w:szCs w:val="21"/>
              </w:rPr>
            </w:pPr>
            <w:r>
              <w:rPr>
                <w:rFonts w:hint="eastAsia" w:ascii="宋体" w:hAnsi="宋体" w:eastAsia="宋体" w:cs="宋体"/>
                <w:szCs w:val="21"/>
              </w:rPr>
              <w:t>3</w:t>
            </w:r>
          </w:p>
        </w:tc>
        <w:tc>
          <w:tcPr>
            <w:tcW w:w="1766" w:type="dxa"/>
            <w:vAlign w:val="bottom"/>
          </w:tcPr>
          <w:p>
            <w:pPr>
              <w:jc w:val="center"/>
              <w:rPr>
                <w:rFonts w:ascii="宋体" w:hAnsi="宋体" w:eastAsia="宋体" w:cs="宋体"/>
                <w:szCs w:val="21"/>
              </w:rPr>
            </w:pPr>
            <w:r>
              <w:rPr>
                <w:rFonts w:hint="eastAsia" w:ascii="宋体" w:hAnsi="宋体" w:eastAsia="宋体" w:cs="宋体"/>
                <w:szCs w:val="21"/>
              </w:rPr>
              <w:t>项目绩效</w:t>
            </w:r>
          </w:p>
        </w:tc>
        <w:tc>
          <w:tcPr>
            <w:tcW w:w="1766" w:type="dxa"/>
            <w:vAlign w:val="bottom"/>
          </w:tcPr>
          <w:p>
            <w:pPr>
              <w:jc w:val="center"/>
              <w:rPr>
                <w:rFonts w:ascii="宋体" w:hAnsi="宋体" w:eastAsia="宋体" w:cs="宋体"/>
                <w:szCs w:val="21"/>
              </w:rPr>
            </w:pPr>
            <w:r>
              <w:rPr>
                <w:rFonts w:hint="eastAsia" w:ascii="宋体" w:hAnsi="宋体" w:eastAsia="宋体" w:cs="宋体"/>
                <w:szCs w:val="21"/>
              </w:rPr>
              <w:t>60.00</w:t>
            </w:r>
          </w:p>
        </w:tc>
        <w:tc>
          <w:tcPr>
            <w:tcW w:w="1766" w:type="dxa"/>
            <w:vAlign w:val="bottom"/>
          </w:tcPr>
          <w:p>
            <w:pPr>
              <w:jc w:val="center"/>
              <w:rPr>
                <w:rFonts w:ascii="宋体" w:hAnsi="宋体" w:eastAsia="宋体" w:cs="宋体"/>
                <w:color w:val="000000"/>
                <w:szCs w:val="21"/>
              </w:rPr>
            </w:pPr>
            <w:r>
              <w:rPr>
                <w:rFonts w:hint="eastAsia" w:ascii="宋体" w:hAnsi="宋体" w:eastAsia="宋体" w:cs="宋体"/>
                <w:color w:val="000000"/>
                <w:szCs w:val="21"/>
              </w:rPr>
              <w:t>57.00</w:t>
            </w:r>
          </w:p>
        </w:tc>
        <w:tc>
          <w:tcPr>
            <w:tcW w:w="2207" w:type="dxa"/>
            <w:vMerge w:val="continue"/>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2783" w:type="dxa"/>
            <w:gridSpan w:val="2"/>
            <w:vAlign w:val="bottom"/>
          </w:tcPr>
          <w:p>
            <w:pPr>
              <w:jc w:val="center"/>
              <w:rPr>
                <w:rFonts w:ascii="宋体" w:hAnsi="宋体" w:eastAsia="宋体" w:cs="宋体"/>
                <w:szCs w:val="21"/>
              </w:rPr>
            </w:pPr>
            <w:r>
              <w:rPr>
                <w:rFonts w:hint="eastAsia" w:ascii="宋体" w:hAnsi="宋体" w:eastAsia="宋体" w:cs="宋体"/>
                <w:szCs w:val="21"/>
              </w:rPr>
              <w:t>合计</w:t>
            </w:r>
          </w:p>
        </w:tc>
        <w:tc>
          <w:tcPr>
            <w:tcW w:w="1766" w:type="dxa"/>
            <w:vAlign w:val="bottom"/>
          </w:tcPr>
          <w:p>
            <w:pPr>
              <w:jc w:val="center"/>
              <w:rPr>
                <w:rFonts w:ascii="宋体" w:hAnsi="宋体" w:eastAsia="宋体" w:cs="宋体"/>
                <w:szCs w:val="21"/>
              </w:rPr>
            </w:pPr>
            <w:r>
              <w:rPr>
                <w:rFonts w:hint="eastAsia" w:ascii="宋体" w:hAnsi="宋体" w:eastAsia="宋体" w:cs="宋体"/>
                <w:szCs w:val="21"/>
              </w:rPr>
              <w:t>100.00</w:t>
            </w:r>
          </w:p>
        </w:tc>
        <w:tc>
          <w:tcPr>
            <w:tcW w:w="1766" w:type="dxa"/>
            <w:vAlign w:val="bottom"/>
          </w:tcPr>
          <w:p>
            <w:pPr>
              <w:jc w:val="center"/>
              <w:rPr>
                <w:rFonts w:ascii="宋体" w:hAnsi="宋体" w:eastAsia="宋体" w:cs="宋体"/>
                <w:color w:val="000000"/>
                <w:szCs w:val="21"/>
              </w:rPr>
            </w:pPr>
            <w:r>
              <w:rPr>
                <w:rFonts w:hint="eastAsia" w:ascii="宋体" w:hAnsi="宋体" w:eastAsia="宋体" w:cs="宋体"/>
                <w:color w:val="000000"/>
                <w:szCs w:val="21"/>
              </w:rPr>
              <w:t>87.00</w:t>
            </w:r>
          </w:p>
        </w:tc>
        <w:tc>
          <w:tcPr>
            <w:tcW w:w="2207" w:type="dxa"/>
            <w:vMerge w:val="continue"/>
            <w:vAlign w:val="center"/>
          </w:tcPr>
          <w:p>
            <w:pPr>
              <w:rPr>
                <w:rFonts w:ascii="宋体" w:hAnsi="宋体" w:eastAsia="宋体" w:cs="宋体"/>
                <w:szCs w:val="21"/>
              </w:rPr>
            </w:pPr>
          </w:p>
        </w:tc>
      </w:tr>
    </w:tbl>
    <w:p>
      <w:pPr>
        <w:widowControl w:val="0"/>
        <w:adjustRightInd/>
        <w:snapToGrid/>
        <w:spacing w:after="0" w:line="360" w:lineRule="auto"/>
        <w:jc w:val="both"/>
        <w:rPr>
          <w:rFonts w:ascii="宋体" w:hAnsi="宋体" w:eastAsia="宋体"/>
          <w:kern w:val="2"/>
          <w:sz w:val="28"/>
          <w:szCs w:val="28"/>
        </w:rPr>
      </w:pP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（二）主要经验，存在的问题和改进措施</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1.主要经验</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（1）项目按计划实施，且按时完成项目。</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（2）项目的实施，组织有序，能够明确人员对项目的各项具体工作，程序到位。</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（3）项目资金使用符合程序，会计核算规范。</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2.存在的问题</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（1）街计生工作基层基础仍很薄弱，统筹解决人口问题压力大，出生人口性别比综合治理仍然艰巨。</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（2）流动人口服务管理难度大，与群众对优质服务的需求仍存在较大差距。</w:t>
      </w:r>
    </w:p>
    <w:p>
      <w:pPr>
        <w:widowControl w:val="0"/>
        <w:adjustRightInd/>
        <w:snapToGrid/>
        <w:spacing w:after="0" w:line="360" w:lineRule="auto"/>
        <w:ind w:firstLine="560" w:firstLineChars="200"/>
        <w:jc w:val="both"/>
        <w:rPr>
          <w:rFonts w:hint="eastAsia" w:ascii="宋体" w:hAnsi="宋体" w:eastAsia="宋体"/>
          <w:kern w:val="2"/>
          <w:sz w:val="28"/>
          <w:szCs w:val="28"/>
          <w:lang w:eastAsia="zh-CN"/>
        </w:rPr>
      </w:pPr>
      <w:r>
        <w:rPr>
          <w:rFonts w:hint="eastAsia" w:ascii="宋体" w:hAnsi="宋体" w:eastAsia="宋体"/>
          <w:kern w:val="2"/>
          <w:sz w:val="28"/>
          <w:szCs w:val="28"/>
        </w:rPr>
        <w:t>（3）没有建立专门的计划生育管理制度及操作流程</w:t>
      </w:r>
      <w:r>
        <w:rPr>
          <w:rFonts w:hint="eastAsia" w:ascii="宋体" w:hAnsi="宋体" w:eastAsia="宋体"/>
          <w:kern w:val="2"/>
          <w:sz w:val="28"/>
          <w:szCs w:val="28"/>
          <w:lang w:eastAsia="zh-CN"/>
        </w:rPr>
        <w:t>。</w:t>
      </w:r>
    </w:p>
    <w:p>
      <w:pPr>
        <w:widowControl w:val="0"/>
        <w:adjustRightInd/>
        <w:snapToGrid/>
        <w:spacing w:after="0" w:line="360" w:lineRule="auto"/>
        <w:ind w:firstLine="560" w:firstLineChars="200"/>
        <w:jc w:val="both"/>
        <w:rPr>
          <w:rFonts w:hint="eastAsia" w:ascii="宋体" w:hAnsi="宋体" w:eastAsia="宋体"/>
          <w:kern w:val="2"/>
          <w:sz w:val="28"/>
          <w:szCs w:val="28"/>
          <w:lang w:eastAsia="zh-CN"/>
        </w:rPr>
      </w:pPr>
      <w:r>
        <w:rPr>
          <w:rFonts w:hint="eastAsia" w:ascii="宋体" w:hAnsi="宋体" w:eastAsia="宋体"/>
          <w:kern w:val="2"/>
          <w:sz w:val="28"/>
          <w:szCs w:val="28"/>
          <w:lang w:eastAsia="zh-CN"/>
        </w:rPr>
        <w:t>（</w:t>
      </w:r>
      <w:r>
        <w:rPr>
          <w:rFonts w:hint="eastAsia" w:ascii="宋体" w:hAnsi="宋体" w:eastAsia="宋体"/>
          <w:kern w:val="2"/>
          <w:sz w:val="28"/>
          <w:szCs w:val="28"/>
          <w:lang w:val="en-US" w:eastAsia="zh-CN"/>
        </w:rPr>
        <w:t>4</w:t>
      </w:r>
      <w:r>
        <w:rPr>
          <w:rFonts w:hint="eastAsia" w:ascii="宋体" w:hAnsi="宋体" w:eastAsia="宋体"/>
          <w:kern w:val="2"/>
          <w:sz w:val="28"/>
          <w:szCs w:val="28"/>
          <w:lang w:eastAsia="zh-CN"/>
        </w:rPr>
        <w:t>）设计的效益指标部分为定性指标，缺少具体可量化的指标，在实际评价过程中没有标准，难以比较评价。</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3.改进措施</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（1）夯实基础工作，严格控制政策外生育，严肃查处违法生育行为，加大统筹解决人口问题的力度。</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（2）加大流动人口的管理力度。一是继续做好流动人口的清理清查工作，摸清流动底数，流动婚、孕、生信息。</w:t>
      </w:r>
    </w:p>
    <w:p>
      <w:pPr>
        <w:widowControl w:val="0"/>
        <w:adjustRightInd/>
        <w:snapToGrid/>
        <w:spacing w:after="0" w:line="360" w:lineRule="auto"/>
        <w:ind w:firstLine="560" w:firstLineChars="200"/>
        <w:jc w:val="both"/>
        <w:rPr>
          <w:rFonts w:hint="eastAsia" w:ascii="宋体" w:hAnsi="宋体" w:eastAsia="宋体"/>
          <w:kern w:val="2"/>
          <w:sz w:val="28"/>
          <w:szCs w:val="28"/>
        </w:rPr>
      </w:pPr>
      <w:r>
        <w:rPr>
          <w:rFonts w:hint="eastAsia" w:ascii="宋体" w:hAnsi="宋体" w:eastAsia="宋体"/>
          <w:kern w:val="2"/>
          <w:sz w:val="28"/>
          <w:szCs w:val="28"/>
        </w:rPr>
        <w:t>（3）建立专门的计划生育管理制度及操作流程并在项目实施过程中严格执行。</w:t>
      </w:r>
    </w:p>
    <w:p>
      <w:pPr>
        <w:widowControl w:val="0"/>
        <w:adjustRightInd/>
        <w:snapToGrid/>
        <w:spacing w:after="0" w:line="360" w:lineRule="auto"/>
        <w:ind w:firstLine="560" w:firstLineChars="200"/>
        <w:jc w:val="both"/>
        <w:rPr>
          <w:rFonts w:hint="eastAsia" w:ascii="宋体" w:hAnsi="宋体" w:eastAsia="宋体"/>
          <w:kern w:val="2"/>
          <w:sz w:val="28"/>
          <w:szCs w:val="28"/>
          <w:lang w:eastAsia="zh-CN"/>
        </w:rPr>
      </w:pPr>
      <w:r>
        <w:rPr>
          <w:rFonts w:hint="eastAsia" w:ascii="宋体" w:hAnsi="宋体" w:eastAsia="宋体"/>
          <w:kern w:val="2"/>
          <w:sz w:val="28"/>
          <w:szCs w:val="28"/>
          <w:lang w:eastAsia="zh-CN"/>
        </w:rPr>
        <w:t>（</w:t>
      </w:r>
      <w:r>
        <w:rPr>
          <w:rFonts w:hint="eastAsia" w:ascii="宋体" w:hAnsi="宋体" w:eastAsia="宋体"/>
          <w:kern w:val="2"/>
          <w:sz w:val="28"/>
          <w:szCs w:val="28"/>
          <w:lang w:val="en-US" w:eastAsia="zh-CN"/>
        </w:rPr>
        <w:t>4</w:t>
      </w:r>
      <w:r>
        <w:rPr>
          <w:rFonts w:hint="eastAsia" w:ascii="宋体" w:hAnsi="宋体" w:eastAsia="宋体"/>
          <w:kern w:val="2"/>
          <w:sz w:val="28"/>
          <w:szCs w:val="28"/>
          <w:lang w:eastAsia="zh-CN"/>
        </w:rPr>
        <w:t>）完善绩效评价体系，加强监督检查和考核工作。进一步探索完善项目绩效评价指标体系，加强对绩效管理工作的跟踪督查，做到绩效管理依据、按程序、有奖惩，实现绩效管理的规范化、常态化。</w:t>
      </w:r>
    </w:p>
    <w:sectPr>
      <w:footerReference r:id="rId4" w:type="default"/>
      <w:pgSz w:w="11906" w:h="16838"/>
      <w:pgMar w:top="1440" w:right="1800" w:bottom="1440" w:left="1800" w:header="708" w:footer="708" w:gutter="0"/>
      <w:pgNumType w:start="1"/>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创艺简标宋">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5A2C55"/>
    <w:multiLevelType w:val="singleLevel"/>
    <w:tmpl w:val="F25A2C55"/>
    <w:lvl w:ilvl="0" w:tentative="0">
      <w:start w:val="3"/>
      <w:numFmt w:val="chineseCounting"/>
      <w:suff w:val="nothing"/>
      <w:lvlText w:val="%1、"/>
      <w:lvlJc w:val="left"/>
      <w:rPr>
        <w:rFonts w:hint="eastAsia"/>
      </w:rPr>
    </w:lvl>
  </w:abstractNum>
  <w:abstractNum w:abstractNumId="1">
    <w:nsid w:val="5938B95F"/>
    <w:multiLevelType w:val="singleLevel"/>
    <w:tmpl w:val="5938B95F"/>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720"/>
  <w:noPunctuationKerning w:val="1"/>
  <w:characterSpacingControl w:val="doNotCompress"/>
  <w:noLineBreaksAfter w:lang="zh-CN" w:val="$([{£¥·‘“〈《「『【〔〖〝﹙﹛﹝＄（．［｛￡￥"/>
  <w:noLineBreaksBefore w:lang="zh-CN" w:val="!%),.:;&gt;?]}¢¨°·ˇˉ―‖’”…‰′″›℃∶、。〃〉》」』】〕〗〞︶︺︾﹀﹄﹚﹜﹞！＂％＇），．：；？］｀｜｝～￠"/>
  <w:hdrShapeDefaults>
    <o:shapelayout v:ext="edit">
      <o:idmap v:ext="edit" data="3,4"/>
    </o:shapelayout>
  </w:hdrShapeDefaults>
  <w:compat>
    <w:ulTrailSpace/>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72ED"/>
    <w:rsid w:val="0001772C"/>
    <w:rsid w:val="000956FF"/>
    <w:rsid w:val="00146167"/>
    <w:rsid w:val="00172A27"/>
    <w:rsid w:val="001836CF"/>
    <w:rsid w:val="001D035B"/>
    <w:rsid w:val="001E5B51"/>
    <w:rsid w:val="00201ECE"/>
    <w:rsid w:val="00255FCD"/>
    <w:rsid w:val="00262EFC"/>
    <w:rsid w:val="00271925"/>
    <w:rsid w:val="002D1D0B"/>
    <w:rsid w:val="002E21C0"/>
    <w:rsid w:val="00312E59"/>
    <w:rsid w:val="00323B43"/>
    <w:rsid w:val="00370F22"/>
    <w:rsid w:val="0037538F"/>
    <w:rsid w:val="003C33F2"/>
    <w:rsid w:val="003D37D8"/>
    <w:rsid w:val="00426133"/>
    <w:rsid w:val="00430421"/>
    <w:rsid w:val="004358AB"/>
    <w:rsid w:val="004407E6"/>
    <w:rsid w:val="004474B4"/>
    <w:rsid w:val="0046091D"/>
    <w:rsid w:val="004D7D65"/>
    <w:rsid w:val="00511E86"/>
    <w:rsid w:val="00533C17"/>
    <w:rsid w:val="005B449F"/>
    <w:rsid w:val="005C057F"/>
    <w:rsid w:val="0061044F"/>
    <w:rsid w:val="00651C31"/>
    <w:rsid w:val="006A2012"/>
    <w:rsid w:val="00736A55"/>
    <w:rsid w:val="0082633A"/>
    <w:rsid w:val="00836EB3"/>
    <w:rsid w:val="008B7726"/>
    <w:rsid w:val="008C0053"/>
    <w:rsid w:val="00915F22"/>
    <w:rsid w:val="00924366"/>
    <w:rsid w:val="0092480D"/>
    <w:rsid w:val="009616CE"/>
    <w:rsid w:val="00A067A3"/>
    <w:rsid w:val="00A374EA"/>
    <w:rsid w:val="00A51A73"/>
    <w:rsid w:val="00A860E8"/>
    <w:rsid w:val="00AF6F28"/>
    <w:rsid w:val="00B03154"/>
    <w:rsid w:val="00B45745"/>
    <w:rsid w:val="00B53446"/>
    <w:rsid w:val="00B74475"/>
    <w:rsid w:val="00BB59F6"/>
    <w:rsid w:val="00BC40AE"/>
    <w:rsid w:val="00C73416"/>
    <w:rsid w:val="00C80834"/>
    <w:rsid w:val="00CA7085"/>
    <w:rsid w:val="00CC3D9A"/>
    <w:rsid w:val="00D31D50"/>
    <w:rsid w:val="00D5135D"/>
    <w:rsid w:val="00E0108E"/>
    <w:rsid w:val="00E1028F"/>
    <w:rsid w:val="00E31945"/>
    <w:rsid w:val="00E35B29"/>
    <w:rsid w:val="00E41828"/>
    <w:rsid w:val="00E734A0"/>
    <w:rsid w:val="00F07312"/>
    <w:rsid w:val="00F32EE5"/>
    <w:rsid w:val="00F33C26"/>
    <w:rsid w:val="00F51E42"/>
    <w:rsid w:val="00F555B9"/>
    <w:rsid w:val="00F60A02"/>
    <w:rsid w:val="00F71A1D"/>
    <w:rsid w:val="00FC05EF"/>
    <w:rsid w:val="00FC3855"/>
    <w:rsid w:val="00FC4499"/>
    <w:rsid w:val="01A569BB"/>
    <w:rsid w:val="05581275"/>
    <w:rsid w:val="06F91B4E"/>
    <w:rsid w:val="099C3725"/>
    <w:rsid w:val="09B049E6"/>
    <w:rsid w:val="0B6970F5"/>
    <w:rsid w:val="0C3F1142"/>
    <w:rsid w:val="0CB00426"/>
    <w:rsid w:val="111C0D78"/>
    <w:rsid w:val="14C72396"/>
    <w:rsid w:val="15B35816"/>
    <w:rsid w:val="16C70060"/>
    <w:rsid w:val="18A44D93"/>
    <w:rsid w:val="18AE1958"/>
    <w:rsid w:val="216B6B00"/>
    <w:rsid w:val="22420288"/>
    <w:rsid w:val="224A1BA0"/>
    <w:rsid w:val="22FE0B3C"/>
    <w:rsid w:val="270745DA"/>
    <w:rsid w:val="2D14105F"/>
    <w:rsid w:val="2F93694C"/>
    <w:rsid w:val="339E26D7"/>
    <w:rsid w:val="341A36C5"/>
    <w:rsid w:val="34681630"/>
    <w:rsid w:val="36071D5A"/>
    <w:rsid w:val="366B76DF"/>
    <w:rsid w:val="3AF173DD"/>
    <w:rsid w:val="40C33E66"/>
    <w:rsid w:val="44085FEE"/>
    <w:rsid w:val="48503CEB"/>
    <w:rsid w:val="48804BEA"/>
    <w:rsid w:val="4C1E286A"/>
    <w:rsid w:val="50B90DE8"/>
    <w:rsid w:val="51BA14E1"/>
    <w:rsid w:val="56824E7D"/>
    <w:rsid w:val="56C32683"/>
    <w:rsid w:val="589D033A"/>
    <w:rsid w:val="5A0E4AE1"/>
    <w:rsid w:val="5AD2333D"/>
    <w:rsid w:val="5B5B6893"/>
    <w:rsid w:val="5FFE53B4"/>
    <w:rsid w:val="61347015"/>
    <w:rsid w:val="62272D70"/>
    <w:rsid w:val="624F4055"/>
    <w:rsid w:val="682B2575"/>
    <w:rsid w:val="69794987"/>
    <w:rsid w:val="6CD7002A"/>
    <w:rsid w:val="70C10909"/>
    <w:rsid w:val="72D85C36"/>
    <w:rsid w:val="72F83850"/>
    <w:rsid w:val="743D4D82"/>
    <w:rsid w:val="7C1C7D47"/>
    <w:rsid w:val="7C9E5377"/>
    <w:rsid w:val="7F2D712A"/>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1"/>
    <w:semiHidden/>
    <w:qFormat/>
    <w:uiPriority w:val="99"/>
    <w:pPr>
      <w:ind w:left="100" w:leftChars="2500"/>
    </w:pPr>
  </w:style>
  <w:style w:type="paragraph" w:styleId="3">
    <w:name w:val="footer"/>
    <w:basedOn w:val="1"/>
    <w:link w:val="10"/>
    <w:semiHidden/>
    <w:qFormat/>
    <w:uiPriority w:val="99"/>
    <w:pPr>
      <w:tabs>
        <w:tab w:val="center" w:pos="4153"/>
        <w:tab w:val="right" w:pos="8306"/>
      </w:tabs>
    </w:pPr>
    <w:rPr>
      <w:sz w:val="18"/>
      <w:szCs w:val="18"/>
    </w:rPr>
  </w:style>
  <w:style w:type="paragraph" w:styleId="4">
    <w:name w:val="header"/>
    <w:basedOn w:val="1"/>
    <w:link w:val="9"/>
    <w:semiHidden/>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qFormat/>
    <w:uiPriority w:val="99"/>
    <w:pPr>
      <w:widowControl w:val="0"/>
      <w:adjustRightInd/>
      <w:snapToGrid/>
      <w:spacing w:before="100" w:beforeAutospacing="1" w:after="100" w:afterAutospacing="1"/>
    </w:pPr>
    <w:rPr>
      <w:rFonts w:ascii="Calibri" w:hAnsi="Calibri" w:eastAsia="宋体"/>
      <w:sz w:val="24"/>
      <w:szCs w:val="24"/>
    </w:rPr>
  </w:style>
  <w:style w:type="character" w:styleId="7">
    <w:name w:val="page number"/>
    <w:basedOn w:val="6"/>
    <w:qFormat/>
    <w:uiPriority w:val="0"/>
  </w:style>
  <w:style w:type="character" w:customStyle="1" w:styleId="9">
    <w:name w:val="页眉 Char"/>
    <w:basedOn w:val="6"/>
    <w:link w:val="4"/>
    <w:semiHidden/>
    <w:qFormat/>
    <w:locked/>
    <w:uiPriority w:val="99"/>
    <w:rPr>
      <w:rFonts w:ascii="Tahoma" w:hAnsi="Tahoma" w:cs="Times New Roman"/>
      <w:sz w:val="18"/>
      <w:szCs w:val="18"/>
    </w:rPr>
  </w:style>
  <w:style w:type="character" w:customStyle="1" w:styleId="10">
    <w:name w:val="页脚 Char"/>
    <w:basedOn w:val="6"/>
    <w:link w:val="3"/>
    <w:semiHidden/>
    <w:qFormat/>
    <w:locked/>
    <w:uiPriority w:val="99"/>
    <w:rPr>
      <w:rFonts w:ascii="Tahoma" w:hAnsi="Tahoma" w:cs="Times New Roman"/>
      <w:sz w:val="18"/>
      <w:szCs w:val="18"/>
    </w:rPr>
  </w:style>
  <w:style w:type="character" w:customStyle="1" w:styleId="11">
    <w:name w:val="日期 Char"/>
    <w:basedOn w:val="6"/>
    <w:link w:val="2"/>
    <w:semiHidden/>
    <w:qFormat/>
    <w:locked/>
    <w:uiPriority w:val="99"/>
    <w:rPr>
      <w:rFonts w:ascii="Tahoma" w:hAnsi="Tahoma" w:cs="Times New Roman"/>
    </w:rPr>
  </w:style>
  <w:style w:type="paragraph" w:customStyle="1" w:styleId="12">
    <w:name w:val="列出段落1"/>
    <w:basedOn w:val="1"/>
    <w:qFormat/>
    <w:uiPriority w:val="99"/>
    <w:pPr>
      <w:widowControl w:val="0"/>
      <w:adjustRightInd/>
      <w:snapToGrid/>
      <w:spacing w:after="0"/>
      <w:ind w:firstLine="420" w:firstLineChars="200"/>
      <w:jc w:val="both"/>
    </w:pPr>
    <w:rPr>
      <w:rFonts w:ascii="Calibri" w:hAnsi="Calibri" w:eastAsia="宋体"/>
      <w:kern w:val="2"/>
      <w:sz w:val="21"/>
    </w:rPr>
  </w:style>
  <w:style w:type="paragraph" w:customStyle="1" w:styleId="13">
    <w:name w:val="列出段落11"/>
    <w:basedOn w:val="1"/>
    <w:qFormat/>
    <w:uiPriority w:val="99"/>
    <w:pPr>
      <w:widowControl w:val="0"/>
      <w:adjustRightInd/>
      <w:snapToGrid/>
      <w:spacing w:after="0"/>
      <w:ind w:firstLine="420" w:firstLineChars="200"/>
      <w:jc w:val="both"/>
    </w:pPr>
    <w:rPr>
      <w:rFonts w:ascii="Calibri" w:hAnsi="Calibri" w:eastAsia="宋体"/>
      <w:kern w:val="2"/>
      <w:sz w:val="21"/>
    </w:rPr>
  </w:style>
  <w:style w:type="paragraph" w:customStyle="1" w:styleId="14">
    <w:name w:val="列出段落2"/>
    <w:basedOn w:val="1"/>
    <w:qFormat/>
    <w:uiPriority w:val="99"/>
    <w:pPr>
      <w:widowControl w:val="0"/>
      <w:adjustRightInd/>
      <w:snapToGrid/>
      <w:spacing w:after="0"/>
      <w:ind w:firstLine="420" w:firstLineChars="200"/>
      <w:jc w:val="both"/>
    </w:pPr>
    <w:rPr>
      <w:rFonts w:ascii="Calibri" w:hAnsi="Calibri" w:eastAsia="宋体"/>
      <w:kern w:val="2"/>
      <w:sz w:val="21"/>
    </w:rPr>
  </w:style>
  <w:style w:type="character" w:customStyle="1" w:styleId="15">
    <w:name w:val="font11"/>
    <w:basedOn w:val="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446</Words>
  <Characters>2546</Characters>
  <Lines>21</Lines>
  <Paragraphs>5</Paragraphs>
  <TotalTime>1</TotalTime>
  <ScaleCrop>false</ScaleCrop>
  <LinksUpToDate>false</LinksUpToDate>
  <CharactersWithSpaces>2987</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2018-05-15T08:40:00Z</cp:lastPrinted>
  <dcterms:modified xsi:type="dcterms:W3CDTF">2018-08-21T03:28:28Z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