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AB1" w:rsidRDefault="009E1AB1">
      <w:pPr>
        <w:spacing w:line="560" w:lineRule="atLeast"/>
        <w:jc w:val="center"/>
        <w:rPr>
          <w:rFonts w:ascii="创艺简标宋" w:eastAsia="创艺简标宋"/>
          <w:w w:val="90"/>
          <w:kern w:val="44"/>
          <w:sz w:val="52"/>
          <w:szCs w:val="52"/>
        </w:rPr>
      </w:pPr>
    </w:p>
    <w:p w:rsidR="009E1AB1" w:rsidRDefault="009E1AB1">
      <w:pPr>
        <w:spacing w:line="560" w:lineRule="atLeast"/>
        <w:jc w:val="center"/>
        <w:rPr>
          <w:rFonts w:ascii="创艺简标宋" w:eastAsia="创艺简标宋"/>
          <w:w w:val="90"/>
          <w:kern w:val="44"/>
          <w:sz w:val="52"/>
          <w:szCs w:val="52"/>
        </w:rPr>
      </w:pPr>
    </w:p>
    <w:p w:rsidR="009E1AB1" w:rsidRDefault="009E1AB1">
      <w:pPr>
        <w:spacing w:line="560" w:lineRule="atLeast"/>
        <w:jc w:val="center"/>
        <w:rPr>
          <w:rFonts w:ascii="创艺简标宋" w:eastAsia="创艺简标宋"/>
          <w:w w:val="90"/>
          <w:kern w:val="44"/>
          <w:sz w:val="52"/>
          <w:szCs w:val="52"/>
        </w:rPr>
      </w:pPr>
    </w:p>
    <w:p w:rsidR="009E1AB1" w:rsidRDefault="00A3036B">
      <w:pPr>
        <w:spacing w:line="360" w:lineRule="auto"/>
        <w:jc w:val="center"/>
        <w:rPr>
          <w:rFonts w:ascii="黑体" w:eastAsia="黑体" w:hAnsi="黑体" w:cs="黑体"/>
          <w:b/>
          <w:bCs/>
          <w:sz w:val="44"/>
          <w:szCs w:val="44"/>
        </w:rPr>
      </w:pPr>
      <w:r>
        <w:rPr>
          <w:rFonts w:ascii="黑体" w:eastAsia="黑体" w:hAnsi="黑体" w:cs="黑体" w:hint="eastAsia"/>
          <w:b/>
          <w:bCs/>
          <w:sz w:val="36"/>
          <w:szCs w:val="36"/>
        </w:rPr>
        <w:t>武汉东湖新技术开发区预算项目绩效自评报告</w:t>
      </w:r>
    </w:p>
    <w:p w:rsidR="009E1AB1" w:rsidRDefault="009E1AB1">
      <w:pPr>
        <w:spacing w:line="360" w:lineRule="auto"/>
        <w:jc w:val="center"/>
        <w:rPr>
          <w:rFonts w:ascii="宋体" w:hAnsi="宋体" w:cs="宋体"/>
          <w:b/>
          <w:bCs/>
          <w:sz w:val="28"/>
          <w:szCs w:val="28"/>
        </w:rPr>
      </w:pPr>
    </w:p>
    <w:p w:rsidR="009E1AB1" w:rsidRDefault="009E1AB1">
      <w:pPr>
        <w:spacing w:line="360" w:lineRule="auto"/>
        <w:jc w:val="both"/>
        <w:rPr>
          <w:rFonts w:ascii="宋体" w:hAnsi="宋体" w:cs="宋体"/>
          <w:b/>
          <w:bCs/>
          <w:sz w:val="28"/>
          <w:szCs w:val="28"/>
        </w:rPr>
      </w:pPr>
    </w:p>
    <w:p w:rsidR="009E1AB1" w:rsidRDefault="009E1AB1">
      <w:pPr>
        <w:spacing w:line="360" w:lineRule="auto"/>
        <w:jc w:val="center"/>
        <w:rPr>
          <w:rFonts w:ascii="宋体" w:hAnsi="宋体" w:cs="宋体"/>
          <w:b/>
          <w:bCs/>
          <w:sz w:val="28"/>
          <w:szCs w:val="28"/>
        </w:rPr>
      </w:pPr>
    </w:p>
    <w:p w:rsidR="009E1AB1" w:rsidRDefault="009E1AB1">
      <w:pPr>
        <w:spacing w:line="360" w:lineRule="auto"/>
        <w:jc w:val="center"/>
        <w:rPr>
          <w:rFonts w:ascii="宋体" w:hAnsi="宋体" w:cs="宋体"/>
          <w:b/>
          <w:bCs/>
          <w:sz w:val="28"/>
          <w:szCs w:val="28"/>
        </w:rPr>
      </w:pPr>
    </w:p>
    <w:p w:rsidR="009E1AB1" w:rsidRDefault="009E1AB1">
      <w:pPr>
        <w:spacing w:line="360" w:lineRule="auto"/>
        <w:jc w:val="center"/>
        <w:rPr>
          <w:rFonts w:ascii="宋体" w:hAnsi="宋体" w:cs="宋体"/>
          <w:b/>
          <w:bCs/>
          <w:sz w:val="28"/>
          <w:szCs w:val="28"/>
        </w:rPr>
      </w:pPr>
    </w:p>
    <w:p w:rsidR="009E1AB1" w:rsidRDefault="00A3036B">
      <w:pPr>
        <w:rPr>
          <w:rFonts w:asciiTheme="minorEastAsia" w:eastAsiaTheme="minorEastAsia" w:hAnsiTheme="minorEastAsia" w:cstheme="minorEastAsia"/>
          <w:b/>
          <w:sz w:val="30"/>
          <w:szCs w:val="30"/>
          <w:u w:val="single"/>
        </w:rPr>
      </w:pPr>
      <w:r>
        <w:rPr>
          <w:rFonts w:asciiTheme="minorEastAsia" w:eastAsiaTheme="minorEastAsia" w:hAnsiTheme="minorEastAsia" w:cstheme="minorEastAsia" w:hint="eastAsia"/>
          <w:b/>
          <w:sz w:val="30"/>
          <w:szCs w:val="30"/>
        </w:rPr>
        <w:t xml:space="preserve"> </w:t>
      </w:r>
      <w:r w:rsidR="00CE2201">
        <w:rPr>
          <w:rFonts w:asciiTheme="minorEastAsia" w:eastAsiaTheme="minorEastAsia" w:hAnsiTheme="minorEastAsia" w:cstheme="minorEastAsia" w:hint="eastAsia"/>
          <w:b/>
          <w:sz w:val="30"/>
          <w:szCs w:val="30"/>
        </w:rPr>
        <w:t xml:space="preserve">    </w:t>
      </w:r>
      <w:r>
        <w:rPr>
          <w:rFonts w:asciiTheme="minorEastAsia" w:eastAsiaTheme="minorEastAsia" w:hAnsiTheme="minorEastAsia" w:cstheme="minorEastAsia" w:hint="eastAsia"/>
          <w:b/>
          <w:sz w:val="30"/>
          <w:szCs w:val="30"/>
        </w:rPr>
        <w:t>项目名称：</w:t>
      </w:r>
      <w:r>
        <w:rPr>
          <w:rFonts w:asciiTheme="minorEastAsia" w:eastAsiaTheme="minorEastAsia" w:hAnsiTheme="minorEastAsia" w:cstheme="minorEastAsia" w:hint="eastAsia"/>
          <w:b/>
          <w:sz w:val="30"/>
          <w:szCs w:val="30"/>
          <w:u w:val="single"/>
        </w:rPr>
        <w:t>“三网”拆除市督办整改项目</w:t>
      </w:r>
    </w:p>
    <w:p w:rsidR="009E1AB1" w:rsidRPr="009645A8" w:rsidRDefault="00A3036B">
      <w:pPr>
        <w:rPr>
          <w:rFonts w:asciiTheme="minorEastAsia" w:eastAsiaTheme="minorEastAsia" w:hAnsiTheme="minorEastAsia" w:cstheme="minorEastAsia"/>
          <w:b/>
          <w:sz w:val="30"/>
          <w:szCs w:val="30"/>
          <w:u w:val="single"/>
        </w:rPr>
      </w:pPr>
      <w:r>
        <w:rPr>
          <w:rFonts w:asciiTheme="minorEastAsia" w:eastAsiaTheme="minorEastAsia" w:hAnsiTheme="minorEastAsia" w:cstheme="minorEastAsia" w:hint="eastAsia"/>
          <w:b/>
          <w:sz w:val="30"/>
          <w:szCs w:val="30"/>
        </w:rPr>
        <w:t xml:space="preserve">     项目单位：</w:t>
      </w:r>
      <w:r>
        <w:rPr>
          <w:rFonts w:asciiTheme="minorEastAsia" w:eastAsiaTheme="minorEastAsia" w:hAnsiTheme="minorEastAsia" w:cstheme="minorEastAsia" w:hint="eastAsia"/>
          <w:b/>
          <w:sz w:val="30"/>
          <w:szCs w:val="30"/>
          <w:u w:val="single"/>
        </w:rPr>
        <w:t>东湖新技术开发区豹澥街道办事处</w:t>
      </w:r>
    </w:p>
    <w:p w:rsidR="009E1AB1" w:rsidRDefault="00A3036B">
      <w:pPr>
        <w:rPr>
          <w:rFonts w:asciiTheme="minorEastAsia" w:eastAsiaTheme="minorEastAsia" w:hAnsiTheme="minorEastAsia" w:cstheme="minorEastAsia" w:hint="eastAsia"/>
          <w:b/>
          <w:sz w:val="30"/>
          <w:szCs w:val="30"/>
          <w:u w:val="single"/>
        </w:rPr>
      </w:pPr>
      <w:r>
        <w:rPr>
          <w:rFonts w:asciiTheme="minorEastAsia" w:eastAsiaTheme="minorEastAsia" w:hAnsiTheme="minorEastAsia" w:cstheme="minorEastAsia" w:hint="eastAsia"/>
          <w:b/>
          <w:sz w:val="30"/>
          <w:szCs w:val="30"/>
        </w:rPr>
        <w:t xml:space="preserve">     区财政局主管业务处室：</w:t>
      </w:r>
      <w:r>
        <w:rPr>
          <w:rFonts w:asciiTheme="minorEastAsia" w:eastAsiaTheme="minorEastAsia" w:hAnsiTheme="minorEastAsia" w:cstheme="minorEastAsia" w:hint="eastAsia"/>
          <w:b/>
          <w:sz w:val="30"/>
          <w:szCs w:val="30"/>
          <w:u w:val="single"/>
        </w:rPr>
        <w:t xml:space="preserve">   </w:t>
      </w:r>
      <w:r w:rsidR="009645A8">
        <w:rPr>
          <w:rFonts w:asciiTheme="minorEastAsia" w:eastAsiaTheme="minorEastAsia" w:hAnsiTheme="minorEastAsia" w:cstheme="minorEastAsia" w:hint="eastAsia"/>
          <w:b/>
          <w:sz w:val="30"/>
          <w:szCs w:val="30"/>
          <w:u w:val="single"/>
        </w:rPr>
        <w:t xml:space="preserve">行财科   </w:t>
      </w:r>
    </w:p>
    <w:p w:rsidR="009645A8" w:rsidRDefault="009645A8" w:rsidP="009645A8">
      <w:pPr>
        <w:ind w:firstLineChars="247" w:firstLine="744"/>
        <w:rPr>
          <w:rFonts w:asciiTheme="minorEastAsia" w:eastAsiaTheme="minorEastAsia" w:hAnsiTheme="minorEastAsia" w:cstheme="minorEastAsia"/>
          <w:b/>
          <w:sz w:val="30"/>
          <w:szCs w:val="30"/>
          <w:u w:val="single"/>
        </w:rPr>
      </w:pPr>
      <w:r w:rsidRPr="009645A8">
        <w:rPr>
          <w:rFonts w:asciiTheme="minorEastAsia" w:eastAsiaTheme="minorEastAsia" w:hAnsiTheme="minorEastAsia" w:cstheme="minorEastAsia" w:hint="eastAsia"/>
          <w:b/>
          <w:sz w:val="30"/>
          <w:szCs w:val="30"/>
        </w:rPr>
        <w:t>评价机构：</w:t>
      </w:r>
      <w:r>
        <w:rPr>
          <w:rFonts w:asciiTheme="minorEastAsia" w:eastAsiaTheme="minorEastAsia" w:hAnsiTheme="minorEastAsia" w:cstheme="minorEastAsia" w:hint="eastAsia"/>
          <w:b/>
          <w:sz w:val="30"/>
          <w:szCs w:val="30"/>
          <w:u w:val="single"/>
        </w:rPr>
        <w:t>武汉真道会计师事务有限公司</w:t>
      </w:r>
    </w:p>
    <w:p w:rsidR="009E1AB1" w:rsidRDefault="009E1AB1">
      <w:pPr>
        <w:spacing w:line="360" w:lineRule="auto"/>
        <w:jc w:val="center"/>
        <w:rPr>
          <w:rFonts w:ascii="宋体" w:hAnsi="宋体" w:cs="宋体"/>
          <w:b/>
          <w:bCs/>
          <w:sz w:val="28"/>
          <w:szCs w:val="28"/>
        </w:rPr>
      </w:pPr>
    </w:p>
    <w:p w:rsidR="009E1AB1" w:rsidRDefault="009E1AB1">
      <w:pPr>
        <w:spacing w:line="360" w:lineRule="auto"/>
        <w:jc w:val="center"/>
        <w:rPr>
          <w:rFonts w:ascii="宋体" w:hAnsi="宋体" w:cs="宋体"/>
          <w:b/>
          <w:bCs/>
          <w:sz w:val="28"/>
          <w:szCs w:val="28"/>
        </w:rPr>
      </w:pPr>
    </w:p>
    <w:p w:rsidR="009E1AB1" w:rsidRDefault="009E1AB1">
      <w:pPr>
        <w:spacing w:line="360" w:lineRule="auto"/>
        <w:jc w:val="center"/>
        <w:rPr>
          <w:rFonts w:ascii="宋体" w:hAnsi="宋体" w:cs="宋体"/>
          <w:b/>
          <w:bCs/>
          <w:sz w:val="44"/>
          <w:szCs w:val="44"/>
        </w:rPr>
      </w:pPr>
    </w:p>
    <w:p w:rsidR="009E1AB1" w:rsidRDefault="009E1AB1">
      <w:pPr>
        <w:spacing w:line="360" w:lineRule="auto"/>
        <w:rPr>
          <w:rFonts w:ascii="宋体" w:hAnsi="宋体" w:cs="宋体"/>
          <w:b/>
          <w:bCs/>
          <w:sz w:val="28"/>
          <w:szCs w:val="28"/>
        </w:rPr>
      </w:pPr>
    </w:p>
    <w:p w:rsidR="009E1AB1" w:rsidRDefault="00A3036B">
      <w:pPr>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2018年5月</w:t>
      </w:r>
    </w:p>
    <w:p w:rsidR="009E1AB1" w:rsidRDefault="009E1AB1">
      <w:pPr>
        <w:spacing w:line="360" w:lineRule="auto"/>
        <w:jc w:val="center"/>
        <w:rPr>
          <w:rFonts w:asciiTheme="minorEastAsia" w:eastAsiaTheme="minorEastAsia" w:hAnsiTheme="minorEastAsia" w:cstheme="minorEastAsia"/>
          <w:b/>
          <w:sz w:val="32"/>
          <w:szCs w:val="32"/>
        </w:rPr>
        <w:sectPr w:rsidR="009E1AB1">
          <w:headerReference w:type="default" r:id="rId8"/>
          <w:pgSz w:w="11906" w:h="16838"/>
          <w:pgMar w:top="1440" w:right="1800" w:bottom="1440" w:left="1800" w:header="708" w:footer="708" w:gutter="0"/>
          <w:cols w:space="708"/>
          <w:docGrid w:linePitch="360"/>
        </w:sectPr>
      </w:pPr>
    </w:p>
    <w:p w:rsidR="009E1AB1" w:rsidRDefault="00A3036B">
      <w:pPr>
        <w:spacing w:line="360" w:lineRule="auto"/>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sz w:val="32"/>
          <w:szCs w:val="32"/>
        </w:rPr>
        <w:lastRenderedPageBreak/>
        <w:t>武汉东湖新技术开发区豹澥街道办事处2017年“三网”拆除市督办整改项目经费</w:t>
      </w:r>
      <w:r>
        <w:rPr>
          <w:rFonts w:asciiTheme="minorEastAsia" w:eastAsiaTheme="minorEastAsia" w:hAnsiTheme="minorEastAsia" w:cstheme="minorEastAsia" w:hint="eastAsia"/>
          <w:b/>
          <w:bCs/>
          <w:sz w:val="32"/>
          <w:szCs w:val="32"/>
        </w:rPr>
        <w:t>绩效自评报告</w:t>
      </w:r>
    </w:p>
    <w:p w:rsidR="009E1AB1" w:rsidRDefault="009E1AB1">
      <w:pPr>
        <w:pStyle w:val="10"/>
        <w:spacing w:line="360" w:lineRule="auto"/>
        <w:ind w:firstLineChars="0" w:firstLine="0"/>
        <w:rPr>
          <w:rFonts w:ascii="宋体" w:hAnsi="宋体"/>
          <w:b/>
          <w:sz w:val="28"/>
          <w:szCs w:val="28"/>
        </w:rPr>
      </w:pPr>
    </w:p>
    <w:p w:rsidR="009E1AB1" w:rsidRDefault="00A3036B">
      <w:pPr>
        <w:pStyle w:val="10"/>
        <w:spacing w:line="360" w:lineRule="auto"/>
        <w:ind w:firstLineChars="0" w:firstLine="0"/>
        <w:rPr>
          <w:rFonts w:ascii="宋体"/>
          <w:b/>
          <w:sz w:val="28"/>
          <w:szCs w:val="28"/>
        </w:rPr>
      </w:pPr>
      <w:r>
        <w:rPr>
          <w:rFonts w:ascii="宋体" w:hAnsi="宋体" w:hint="eastAsia"/>
          <w:b/>
          <w:sz w:val="28"/>
          <w:szCs w:val="28"/>
        </w:rPr>
        <w:t>一、基本情况</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一</w:t>
      </w:r>
      <w:r>
        <w:rPr>
          <w:rFonts w:ascii="宋体" w:eastAsia="宋体" w:hAnsi="宋体"/>
          <w:kern w:val="2"/>
          <w:sz w:val="28"/>
          <w:szCs w:val="28"/>
        </w:rPr>
        <w:t>)</w:t>
      </w:r>
      <w:r>
        <w:rPr>
          <w:rFonts w:ascii="宋体" w:eastAsia="宋体" w:hAnsi="宋体" w:hint="eastAsia"/>
          <w:kern w:val="2"/>
          <w:sz w:val="28"/>
          <w:szCs w:val="28"/>
        </w:rPr>
        <w:t>项目概况</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为了维护好湖泊生态环境，建立和推广湖泊生态渔业先进模式，按照省市区有关政策，对豹澥街道进行“三网”拆除行动。“三网”拆除市督办整改经费主要用于“三网”拆除过程中的费用、对主动拆除“三网”养殖户的补贴等。</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201</w:t>
      </w:r>
      <w:r>
        <w:rPr>
          <w:rFonts w:ascii="宋体" w:eastAsia="宋体" w:hAnsi="宋体" w:hint="eastAsia"/>
          <w:kern w:val="2"/>
          <w:sz w:val="28"/>
          <w:szCs w:val="28"/>
        </w:rPr>
        <w:t>7年豹澥街“三网”拆除市督办整改项目实际支出144.33万元。“三网”拆除市督办整改项目完成了相关目标任务。</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w:t>
      </w:r>
      <w:r>
        <w:rPr>
          <w:rFonts w:ascii="宋体" w:eastAsia="宋体" w:hAnsi="宋体" w:hint="eastAsia"/>
          <w:kern w:val="2"/>
          <w:sz w:val="28"/>
          <w:szCs w:val="28"/>
        </w:rPr>
        <w:t>二</w:t>
      </w:r>
      <w:r>
        <w:rPr>
          <w:rFonts w:ascii="宋体" w:eastAsia="宋体" w:hAnsi="宋体"/>
          <w:kern w:val="2"/>
          <w:sz w:val="28"/>
          <w:szCs w:val="28"/>
        </w:rPr>
        <w:t>)</w:t>
      </w:r>
      <w:r>
        <w:rPr>
          <w:rFonts w:ascii="宋体" w:eastAsia="宋体" w:hAnsi="宋体" w:hint="eastAsia"/>
          <w:kern w:val="2"/>
          <w:sz w:val="28"/>
          <w:szCs w:val="28"/>
        </w:rPr>
        <w:t>项目预算绩效目标</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由于该项目没有纳入预算考核指标，并且是按照《武汉市人民政府关于批转武汉市湖泊渔业三网设施实施方案的通知》（武政规[2016]17号）的要求，结合东湖国家自主创新示范区（2011年-2020年）的总体规划和豹澥街区域内“三网”养殖的实际情况，根据实际拆除的养殖户的“三网”的长度进行补助，因年初难以预先估计拆除的长度、受益农户的数量等指标，所以没有设定绩效目标。</w:t>
      </w:r>
    </w:p>
    <w:p w:rsidR="009E1AB1" w:rsidRDefault="009E1AB1">
      <w:pPr>
        <w:widowControl w:val="0"/>
        <w:adjustRightInd/>
        <w:snapToGrid/>
        <w:spacing w:after="0" w:line="360" w:lineRule="auto"/>
        <w:jc w:val="both"/>
        <w:rPr>
          <w:rFonts w:ascii="宋体" w:eastAsia="宋体" w:hAnsi="宋体"/>
          <w:b/>
          <w:bCs/>
          <w:kern w:val="2"/>
          <w:sz w:val="28"/>
          <w:szCs w:val="28"/>
        </w:rPr>
      </w:pPr>
    </w:p>
    <w:p w:rsidR="009E1AB1" w:rsidRDefault="00A3036B">
      <w:pPr>
        <w:widowControl w:val="0"/>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t>二、项目绩效分析</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（一）项目管理情况</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（1）领导重视，机构健全。</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拆除“三网”养殖实施对净化水质、保护生态环境具有重大意义，豹澥街道高度重视此项工作的开展，指定街办公室负责此项</w:t>
      </w:r>
      <w:r>
        <w:rPr>
          <w:rFonts w:ascii="宋体" w:eastAsia="宋体" w:hAnsi="宋体" w:hint="eastAsia"/>
          <w:kern w:val="2"/>
          <w:sz w:val="28"/>
          <w:szCs w:val="28"/>
        </w:rPr>
        <w:lastRenderedPageBreak/>
        <w:t>目，并要求公共服务办公室为该项目配备具体经办人员，负责具体业务的实施，并要求下属各村委会积极配合完成拆除网片长度、涉及养殖面积的核实，受益养殖户的调查等基础性工作，从组织领导上给与此项目提供坚实保障。</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w:t>
      </w:r>
      <w:hyperlink r:id="rId9" w:history="1">
        <w:r>
          <w:rPr>
            <w:rFonts w:ascii="宋体" w:eastAsia="宋体" w:hAnsi="宋体" w:hint="eastAsia"/>
            <w:kern w:val="2"/>
            <w:sz w:val="28"/>
            <w:szCs w:val="28"/>
          </w:rPr>
          <w:t>制度</w:t>
        </w:r>
      </w:hyperlink>
      <w:r>
        <w:rPr>
          <w:rFonts w:ascii="宋体" w:eastAsia="宋体" w:hAnsi="宋体" w:hint="eastAsia"/>
          <w:kern w:val="2"/>
          <w:sz w:val="28"/>
          <w:szCs w:val="28"/>
        </w:rPr>
        <w:t>健全，规范使用。</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具体使用范围按照相关文件的精神的要求，在街道和社区党组织的领导和组织下遵循公开透明、及时便利的原则。街办公室保管项目的相关基础资料。项目实施前报相关业务科室、领导审核后再实施。</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（3）运作规范，资料完善。</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项目按照“村委会调查各养殖户自拆网片长度、涉及养殖面积——公共服务办公室复核并抽查——公共服务办公室申请资金拨付——街道领导审批——把资金发到养殖户手中”这个流程进行，社区监督指导委员会负责资金使用的全过程监督，街道党工委负责项目和资金的审核把关和指导实施。项目资金的使用情况及时在街道和各村公示栏进行公示，接受居民群众的监督。</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2.财务管理情况</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2017年“三网”拆除市督办整改经费实际到位144.33万元，项目实际执行144.33万元。经费支出按照先申请再审批后支付的原则进行，项目资金单独核算，资金的拨付有完整的审批程序和手续，中途绝不截留资金，对资金采取封闭式管理。</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（二）项目绩效目标的完成情况</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kern w:val="2"/>
          <w:sz w:val="28"/>
          <w:szCs w:val="28"/>
        </w:rPr>
        <w:t>1.</w:t>
      </w:r>
      <w:r>
        <w:rPr>
          <w:rFonts w:ascii="宋体" w:eastAsia="宋体" w:hAnsi="宋体" w:hint="eastAsia"/>
          <w:kern w:val="2"/>
          <w:sz w:val="28"/>
          <w:szCs w:val="28"/>
        </w:rPr>
        <w:t>实际产出情况</w:t>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5"/>
        <w:gridCol w:w="3192"/>
        <w:gridCol w:w="4254"/>
      </w:tblGrid>
      <w:tr w:rsidR="009E1AB1">
        <w:trPr>
          <w:trHeight w:val="405"/>
          <w:tblHeader/>
        </w:trPr>
        <w:tc>
          <w:tcPr>
            <w:tcW w:w="1075"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二级指标</w:t>
            </w:r>
          </w:p>
        </w:tc>
        <w:tc>
          <w:tcPr>
            <w:tcW w:w="3192"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指标内容</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实际完成值</w:t>
            </w:r>
          </w:p>
        </w:tc>
      </w:tr>
      <w:tr w:rsidR="009E1AB1">
        <w:trPr>
          <w:trHeight w:val="713"/>
        </w:trPr>
        <w:tc>
          <w:tcPr>
            <w:tcW w:w="1075" w:type="dxa"/>
            <w:vMerge w:val="restart"/>
            <w:vAlign w:val="center"/>
          </w:tcPr>
          <w:p w:rsidR="009E1AB1" w:rsidRDefault="00A3036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数量指标</w:t>
            </w:r>
          </w:p>
        </w:tc>
        <w:tc>
          <w:tcPr>
            <w:tcW w:w="3192" w:type="dxa"/>
            <w:vAlign w:val="center"/>
          </w:tcPr>
          <w:p w:rsidR="009E1AB1" w:rsidRDefault="00A3036B">
            <w:pPr>
              <w:adjustRightInd/>
              <w:snapToGrid/>
              <w:spacing w:after="0"/>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拆除的网片长度</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全年实际拆除网片47000米</w:t>
            </w:r>
          </w:p>
        </w:tc>
      </w:tr>
      <w:tr w:rsidR="009E1AB1">
        <w:trPr>
          <w:trHeight w:val="549"/>
        </w:trPr>
        <w:tc>
          <w:tcPr>
            <w:tcW w:w="1075" w:type="dxa"/>
            <w:vMerge/>
            <w:vAlign w:val="center"/>
          </w:tcPr>
          <w:p w:rsidR="009E1AB1" w:rsidRDefault="009E1AB1">
            <w:pPr>
              <w:adjustRightInd/>
              <w:snapToGrid/>
              <w:spacing w:after="0"/>
              <w:jc w:val="center"/>
              <w:rPr>
                <w:rFonts w:asciiTheme="minorEastAsia" w:eastAsiaTheme="minorEastAsia" w:hAnsiTheme="minorEastAsia" w:cstheme="minorEastAsia"/>
                <w:sz w:val="21"/>
                <w:szCs w:val="21"/>
              </w:rPr>
            </w:pPr>
          </w:p>
        </w:tc>
        <w:tc>
          <w:tcPr>
            <w:tcW w:w="3192" w:type="dxa"/>
            <w:vAlign w:val="center"/>
          </w:tcPr>
          <w:p w:rsidR="009E1AB1" w:rsidRDefault="00A3036B">
            <w:pPr>
              <w:jc w:val="both"/>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“三网”拆除涉及的养殖面积</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涉及的养殖面积6450亩</w:t>
            </w:r>
          </w:p>
        </w:tc>
      </w:tr>
      <w:tr w:rsidR="009E1AB1">
        <w:trPr>
          <w:trHeight w:val="621"/>
        </w:trPr>
        <w:tc>
          <w:tcPr>
            <w:tcW w:w="1075" w:type="dxa"/>
            <w:vMerge w:val="restart"/>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质量指标</w:t>
            </w:r>
          </w:p>
        </w:tc>
        <w:tc>
          <w:tcPr>
            <w:tcW w:w="3192" w:type="dxa"/>
            <w:vAlign w:val="center"/>
          </w:tcPr>
          <w:p w:rsidR="009E1AB1" w:rsidRDefault="00A3036B">
            <w:pPr>
              <w:jc w:val="both"/>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资金使用合规性</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sz w:val="21"/>
                <w:szCs w:val="21"/>
              </w:rPr>
              <w:t>严格按照相关规定执行</w:t>
            </w:r>
          </w:p>
        </w:tc>
      </w:tr>
      <w:tr w:rsidR="009E1AB1">
        <w:trPr>
          <w:trHeight w:val="621"/>
        </w:trPr>
        <w:tc>
          <w:tcPr>
            <w:tcW w:w="1075" w:type="dxa"/>
            <w:vMerge/>
            <w:vAlign w:val="center"/>
          </w:tcPr>
          <w:p w:rsidR="009E1AB1" w:rsidRDefault="009E1AB1">
            <w:pPr>
              <w:adjustRightInd/>
              <w:snapToGrid/>
              <w:spacing w:after="0"/>
              <w:jc w:val="center"/>
              <w:rPr>
                <w:rFonts w:asciiTheme="minorEastAsia" w:eastAsiaTheme="minorEastAsia" w:hAnsiTheme="minorEastAsia" w:cstheme="minorEastAsia"/>
                <w:sz w:val="21"/>
                <w:szCs w:val="21"/>
              </w:rPr>
            </w:pPr>
          </w:p>
        </w:tc>
        <w:tc>
          <w:tcPr>
            <w:tcW w:w="3192" w:type="dxa"/>
            <w:vAlign w:val="center"/>
          </w:tcPr>
          <w:p w:rsidR="009E1AB1" w:rsidRDefault="00A3036B">
            <w:pPr>
              <w:jc w:val="both"/>
              <w:textAlignment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工程的合格率</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所有拆除工程质量完全合格</w:t>
            </w:r>
          </w:p>
        </w:tc>
      </w:tr>
      <w:tr w:rsidR="009E1AB1">
        <w:trPr>
          <w:trHeight w:val="405"/>
        </w:trPr>
        <w:tc>
          <w:tcPr>
            <w:tcW w:w="1075"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时效指标</w:t>
            </w:r>
          </w:p>
        </w:tc>
        <w:tc>
          <w:tcPr>
            <w:tcW w:w="3192" w:type="dxa"/>
            <w:vAlign w:val="center"/>
          </w:tcPr>
          <w:p w:rsidR="009E1AB1" w:rsidRDefault="00A3036B">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补贴资金发放及时率</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补贴资金</w:t>
            </w:r>
            <w:r>
              <w:rPr>
                <w:rFonts w:asciiTheme="minorEastAsia" w:eastAsiaTheme="minorEastAsia" w:hAnsiTheme="minorEastAsia" w:cstheme="minorEastAsia" w:hint="eastAsia"/>
                <w:sz w:val="21"/>
                <w:szCs w:val="21"/>
              </w:rPr>
              <w:t>100%及时发放到位。</w:t>
            </w:r>
          </w:p>
        </w:tc>
      </w:tr>
      <w:tr w:rsidR="009E1AB1">
        <w:trPr>
          <w:trHeight w:val="539"/>
        </w:trPr>
        <w:tc>
          <w:tcPr>
            <w:tcW w:w="1075" w:type="dxa"/>
            <w:vAlign w:val="center"/>
          </w:tcPr>
          <w:p w:rsidR="009E1AB1" w:rsidRDefault="00A3036B">
            <w:pPr>
              <w:adjustRightInd/>
              <w:snapToGrid/>
              <w:spacing w:after="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成本指标</w:t>
            </w:r>
          </w:p>
        </w:tc>
        <w:tc>
          <w:tcPr>
            <w:tcW w:w="3192" w:type="dxa"/>
            <w:vAlign w:val="center"/>
          </w:tcPr>
          <w:p w:rsidR="009E1AB1" w:rsidRDefault="00A3036B">
            <w:pPr>
              <w:jc w:val="both"/>
              <w:textAlignment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实际发放金额</w:t>
            </w:r>
          </w:p>
        </w:tc>
        <w:tc>
          <w:tcPr>
            <w:tcW w:w="4254" w:type="dxa"/>
            <w:vAlign w:val="center"/>
          </w:tcPr>
          <w:p w:rsidR="009E1AB1" w:rsidRDefault="00A3036B">
            <w:pPr>
              <w:adjustRightInd/>
              <w:snapToGrid/>
              <w:spacing w:after="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实际发放144.33万元</w:t>
            </w:r>
          </w:p>
        </w:tc>
      </w:tr>
    </w:tbl>
    <w:p w:rsidR="009E1AB1" w:rsidRDefault="009E1AB1">
      <w:pPr>
        <w:widowControl w:val="0"/>
        <w:adjustRightInd/>
        <w:snapToGrid/>
        <w:spacing w:after="0" w:line="360" w:lineRule="auto"/>
        <w:jc w:val="both"/>
        <w:rPr>
          <w:rFonts w:ascii="宋体" w:eastAsia="宋体" w:hAnsi="宋体" w:cs="宋体"/>
          <w:color w:val="000000"/>
          <w:sz w:val="28"/>
          <w:szCs w:val="28"/>
        </w:rPr>
      </w:pP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2.产生的效果情况</w:t>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5"/>
        <w:gridCol w:w="2904"/>
        <w:gridCol w:w="3882"/>
      </w:tblGrid>
      <w:tr w:rsidR="009E1AB1">
        <w:trPr>
          <w:trHeight w:val="405"/>
          <w:tblHeader/>
        </w:trPr>
        <w:tc>
          <w:tcPr>
            <w:tcW w:w="1735"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二级指标</w:t>
            </w:r>
          </w:p>
        </w:tc>
        <w:tc>
          <w:tcPr>
            <w:tcW w:w="2904"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指标内容</w:t>
            </w:r>
          </w:p>
        </w:tc>
        <w:tc>
          <w:tcPr>
            <w:tcW w:w="3882"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实际完成值</w:t>
            </w:r>
          </w:p>
        </w:tc>
      </w:tr>
      <w:tr w:rsidR="009E1AB1">
        <w:trPr>
          <w:trHeight w:val="405"/>
        </w:trPr>
        <w:tc>
          <w:tcPr>
            <w:tcW w:w="1735"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环境效益</w:t>
            </w:r>
          </w:p>
        </w:tc>
        <w:tc>
          <w:tcPr>
            <w:tcW w:w="2904" w:type="dxa"/>
            <w:vAlign w:val="center"/>
          </w:tcPr>
          <w:p w:rsidR="009E1AB1" w:rsidRDefault="00A3036B">
            <w:pPr>
              <w:adjustRightInd/>
              <w:snapToGrid/>
              <w:spacing w:after="0"/>
              <w:jc w:val="both"/>
              <w:rPr>
                <w:rFonts w:ascii="宋体" w:eastAsia="宋体" w:hAnsi="宋体" w:cs="宋体"/>
                <w:sz w:val="21"/>
                <w:szCs w:val="21"/>
              </w:rPr>
            </w:pPr>
            <w:r>
              <w:rPr>
                <w:rFonts w:ascii="宋体" w:eastAsia="宋体" w:hAnsi="宋体" w:cs="宋体" w:hint="eastAsia"/>
                <w:sz w:val="21"/>
                <w:szCs w:val="21"/>
              </w:rPr>
              <w:t>净化水质、保护生态环境</w:t>
            </w:r>
          </w:p>
        </w:tc>
        <w:tc>
          <w:tcPr>
            <w:tcW w:w="3882"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通过此项目</w:t>
            </w:r>
            <w:r>
              <w:rPr>
                <w:rFonts w:ascii="宋体" w:eastAsia="宋体" w:hAnsi="宋体" w:cs="宋体" w:hint="eastAsia"/>
                <w:color w:val="000000"/>
                <w:sz w:val="21"/>
                <w:szCs w:val="21"/>
              </w:rPr>
              <w:t>在一定程度上</w:t>
            </w:r>
            <w:r>
              <w:rPr>
                <w:rFonts w:ascii="宋体" w:eastAsia="宋体" w:hAnsi="宋体" w:cs="宋体" w:hint="eastAsia"/>
                <w:sz w:val="21"/>
                <w:szCs w:val="21"/>
              </w:rPr>
              <w:t>净化了水质、保护了生态环境</w:t>
            </w:r>
          </w:p>
        </w:tc>
      </w:tr>
      <w:tr w:rsidR="009E1AB1">
        <w:trPr>
          <w:trHeight w:val="1363"/>
        </w:trPr>
        <w:tc>
          <w:tcPr>
            <w:tcW w:w="1735"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t>可持续发展影响</w:t>
            </w:r>
          </w:p>
        </w:tc>
        <w:tc>
          <w:tcPr>
            <w:tcW w:w="2904" w:type="dxa"/>
            <w:vAlign w:val="center"/>
          </w:tcPr>
          <w:p w:rsidR="009E1AB1" w:rsidRDefault="00A3036B">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有利于东湖国家自主创新示范区（2011年-2020年）的总体规划的实现</w:t>
            </w:r>
          </w:p>
        </w:tc>
        <w:tc>
          <w:tcPr>
            <w:tcW w:w="3882"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通过此项目</w:t>
            </w:r>
            <w:r>
              <w:rPr>
                <w:rFonts w:ascii="宋体" w:eastAsia="宋体" w:hAnsi="宋体" w:cs="宋体" w:hint="eastAsia"/>
                <w:color w:val="000000"/>
                <w:sz w:val="21"/>
                <w:szCs w:val="21"/>
              </w:rPr>
              <w:t>在</w:t>
            </w:r>
            <w:bookmarkStart w:id="0" w:name="_GoBack"/>
            <w:bookmarkEnd w:id="0"/>
            <w:r>
              <w:rPr>
                <w:rFonts w:ascii="宋体" w:eastAsia="宋体" w:hAnsi="宋体" w:cs="宋体" w:hint="eastAsia"/>
                <w:color w:val="000000"/>
                <w:sz w:val="21"/>
                <w:szCs w:val="21"/>
              </w:rPr>
              <w:t>一定程度上</w:t>
            </w:r>
            <w:r>
              <w:rPr>
                <w:rFonts w:ascii="宋体" w:eastAsia="宋体" w:hAnsi="宋体" w:cs="宋体" w:hint="eastAsia"/>
                <w:sz w:val="21"/>
                <w:szCs w:val="21"/>
              </w:rPr>
              <w:t>对</w:t>
            </w:r>
            <w:r>
              <w:rPr>
                <w:rFonts w:ascii="宋体" w:eastAsia="宋体" w:hAnsi="宋体" w:cs="宋体" w:hint="eastAsia"/>
                <w:color w:val="000000"/>
                <w:sz w:val="21"/>
                <w:szCs w:val="21"/>
              </w:rPr>
              <w:t>东湖国家自主创新示范区（2011年-2020年）总体规划的实现具有推动作用</w:t>
            </w:r>
          </w:p>
        </w:tc>
      </w:tr>
      <w:tr w:rsidR="009E1AB1">
        <w:trPr>
          <w:trHeight w:val="675"/>
        </w:trPr>
        <w:tc>
          <w:tcPr>
            <w:tcW w:w="1735"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color w:val="000000"/>
                <w:sz w:val="21"/>
                <w:szCs w:val="21"/>
              </w:rPr>
              <w:t>服务对象满意度</w:t>
            </w:r>
          </w:p>
        </w:tc>
        <w:tc>
          <w:tcPr>
            <w:tcW w:w="2904" w:type="dxa"/>
            <w:vAlign w:val="center"/>
          </w:tcPr>
          <w:p w:rsidR="009E1AB1" w:rsidRDefault="00A3036B">
            <w:pPr>
              <w:adjustRightInd/>
              <w:snapToGrid/>
              <w:spacing w:after="0"/>
              <w:jc w:val="both"/>
              <w:rPr>
                <w:rFonts w:ascii="宋体" w:eastAsia="宋体" w:hAnsi="宋体" w:cs="宋体"/>
                <w:sz w:val="21"/>
                <w:szCs w:val="21"/>
              </w:rPr>
            </w:pPr>
            <w:r>
              <w:rPr>
                <w:rFonts w:ascii="宋体" w:eastAsia="宋体" w:hAnsi="宋体" w:cs="宋体" w:hint="eastAsia"/>
                <w:color w:val="000000"/>
                <w:sz w:val="21"/>
                <w:szCs w:val="21"/>
              </w:rPr>
              <w:t>养殖户满意度</w:t>
            </w:r>
            <w:r>
              <w:rPr>
                <w:rFonts w:ascii="宋体" w:eastAsia="宋体" w:hAnsi="宋体" w:cs="宋体" w:hint="eastAsia"/>
                <w:sz w:val="21"/>
                <w:szCs w:val="21"/>
              </w:rPr>
              <w:t>（</w:t>
            </w:r>
            <w:r>
              <w:rPr>
                <w:rFonts w:ascii="宋体" w:eastAsia="宋体" w:hAnsi="宋体" w:cs="宋体"/>
                <w:sz w:val="21"/>
                <w:szCs w:val="21"/>
              </w:rPr>
              <w:t>%</w:t>
            </w:r>
            <w:r>
              <w:rPr>
                <w:rFonts w:ascii="宋体" w:eastAsia="宋体" w:hAnsi="宋体" w:cs="宋体" w:hint="eastAsia"/>
                <w:sz w:val="21"/>
                <w:szCs w:val="21"/>
              </w:rPr>
              <w:t>）</w:t>
            </w:r>
          </w:p>
        </w:tc>
        <w:tc>
          <w:tcPr>
            <w:tcW w:w="3882" w:type="dxa"/>
            <w:vAlign w:val="center"/>
          </w:tcPr>
          <w:p w:rsidR="009E1AB1" w:rsidRDefault="00A3036B">
            <w:pPr>
              <w:adjustRightInd/>
              <w:snapToGrid/>
              <w:spacing w:after="0"/>
              <w:jc w:val="center"/>
              <w:rPr>
                <w:rFonts w:ascii="宋体" w:eastAsia="宋体" w:hAnsi="宋体" w:cs="宋体"/>
                <w:sz w:val="21"/>
                <w:szCs w:val="21"/>
              </w:rPr>
            </w:pPr>
            <w:r>
              <w:rPr>
                <w:rFonts w:ascii="宋体" w:eastAsia="宋体" w:hAnsi="宋体" w:cs="宋体" w:hint="eastAsia"/>
                <w:sz w:val="21"/>
                <w:szCs w:val="21"/>
              </w:rPr>
              <w:t>92%</w:t>
            </w:r>
          </w:p>
        </w:tc>
      </w:tr>
    </w:tbl>
    <w:p w:rsidR="009E1AB1" w:rsidRDefault="009E1AB1">
      <w:pPr>
        <w:widowControl w:val="0"/>
        <w:adjustRightInd/>
        <w:snapToGrid/>
        <w:spacing w:after="0"/>
        <w:ind w:firstLineChars="200" w:firstLine="560"/>
        <w:jc w:val="both"/>
        <w:rPr>
          <w:rFonts w:ascii="宋体" w:eastAsia="宋体" w:hAnsi="宋体"/>
          <w:kern w:val="2"/>
          <w:sz w:val="28"/>
          <w:szCs w:val="28"/>
        </w:rPr>
      </w:pPr>
    </w:p>
    <w:p w:rsidR="009E1AB1" w:rsidRDefault="009E1AB1">
      <w:pPr>
        <w:widowControl w:val="0"/>
        <w:adjustRightInd/>
        <w:snapToGrid/>
        <w:spacing w:after="0" w:line="360" w:lineRule="auto"/>
        <w:jc w:val="both"/>
        <w:rPr>
          <w:rFonts w:ascii="宋体" w:eastAsia="宋体" w:hAnsi="宋体" w:cs="宋体"/>
          <w:color w:val="000000"/>
          <w:sz w:val="28"/>
          <w:szCs w:val="28"/>
        </w:rPr>
      </w:pPr>
    </w:p>
    <w:p w:rsidR="009E1AB1" w:rsidRDefault="00A3036B">
      <w:pPr>
        <w:widowControl w:val="0"/>
        <w:numPr>
          <w:ilvl w:val="0"/>
          <w:numId w:val="1"/>
        </w:numPr>
        <w:adjustRightInd/>
        <w:snapToGrid/>
        <w:spacing w:after="0" w:line="360" w:lineRule="auto"/>
        <w:jc w:val="both"/>
        <w:rPr>
          <w:rFonts w:ascii="宋体" w:eastAsia="宋体" w:hAnsi="宋体"/>
          <w:b/>
          <w:bCs/>
          <w:kern w:val="2"/>
          <w:sz w:val="28"/>
          <w:szCs w:val="28"/>
        </w:rPr>
      </w:pPr>
      <w:r>
        <w:rPr>
          <w:rFonts w:ascii="宋体" w:eastAsia="宋体" w:hAnsi="宋体" w:hint="eastAsia"/>
          <w:b/>
          <w:bCs/>
          <w:kern w:val="2"/>
          <w:sz w:val="28"/>
          <w:szCs w:val="28"/>
        </w:rPr>
        <w:t>自评结论</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（一）自评结论</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豹澥街道办事处2017年“三网”拆除市督办整改项目已顺利完成，项目立项依据充分；项目财政资金按时到位；项目的实施组织有序，能够明确人员对项目的各项具体工作，程序到位；财务管理制度得到有效执行；项目资金单独核算，资金的拨付有完整的审批程序和手续。项目的产出达到预期的目标，项目效果良好，项目受益对象满意度较高。</w:t>
      </w:r>
    </w:p>
    <w:p w:rsidR="009E1AB1" w:rsidRDefault="00A3036B">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经综合分析本项目评分得分为</w:t>
      </w:r>
      <w:r>
        <w:rPr>
          <w:rFonts w:ascii="宋体" w:eastAsia="宋体" w:hAnsi="宋体" w:cs="宋体" w:hint="eastAsia"/>
          <w:color w:val="000000"/>
          <w:sz w:val="28"/>
          <w:szCs w:val="28"/>
        </w:rPr>
        <w:t>86</w:t>
      </w:r>
      <w:r>
        <w:rPr>
          <w:rFonts w:ascii="宋体" w:eastAsia="宋体" w:hAnsi="宋体" w:cs="宋体" w:hint="eastAsia"/>
          <w:sz w:val="28"/>
          <w:szCs w:val="28"/>
        </w:rPr>
        <w:t>分，评分结果级别为：良。各项指标得分情况如下：</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7"/>
        <w:gridCol w:w="1766"/>
        <w:gridCol w:w="1766"/>
        <w:gridCol w:w="1766"/>
        <w:gridCol w:w="2207"/>
      </w:tblGrid>
      <w:tr w:rsidR="009E1AB1">
        <w:trPr>
          <w:trHeight w:hRule="exact" w:val="454"/>
        </w:trPr>
        <w:tc>
          <w:tcPr>
            <w:tcW w:w="1017"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lastRenderedPageBreak/>
              <w:t>序号</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指标</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分值</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评价得分</w:t>
            </w:r>
          </w:p>
        </w:tc>
        <w:tc>
          <w:tcPr>
            <w:tcW w:w="2207"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评分结果级别</w:t>
            </w:r>
          </w:p>
        </w:tc>
      </w:tr>
      <w:tr w:rsidR="009E1AB1">
        <w:trPr>
          <w:trHeight w:hRule="exact" w:val="454"/>
        </w:trPr>
        <w:tc>
          <w:tcPr>
            <w:tcW w:w="1017"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1</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投入管理</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16.00</w:t>
            </w:r>
          </w:p>
        </w:tc>
        <w:tc>
          <w:tcPr>
            <w:tcW w:w="1766" w:type="dxa"/>
            <w:vAlign w:val="bottom"/>
          </w:tcPr>
          <w:p w:rsidR="009E1AB1" w:rsidRDefault="00A3036B">
            <w:pPr>
              <w:jc w:val="center"/>
              <w:rPr>
                <w:rFonts w:ascii="宋体" w:eastAsia="宋体" w:hAnsi="宋体" w:cs="宋体"/>
                <w:color w:val="000000"/>
                <w:szCs w:val="21"/>
              </w:rPr>
            </w:pPr>
            <w:r>
              <w:rPr>
                <w:rFonts w:ascii="宋体" w:eastAsia="宋体" w:hAnsi="宋体" w:cs="宋体" w:hint="eastAsia"/>
                <w:color w:val="000000"/>
                <w:szCs w:val="21"/>
              </w:rPr>
              <w:t>13.00</w:t>
            </w:r>
          </w:p>
        </w:tc>
        <w:tc>
          <w:tcPr>
            <w:tcW w:w="2207" w:type="dxa"/>
            <w:vMerge w:val="restart"/>
            <w:vAlign w:val="center"/>
          </w:tcPr>
          <w:p w:rsidR="009E1AB1" w:rsidRDefault="00A3036B">
            <w:pPr>
              <w:jc w:val="center"/>
              <w:rPr>
                <w:rFonts w:ascii="宋体" w:eastAsia="宋体" w:hAnsi="宋体" w:cs="宋体"/>
                <w:szCs w:val="21"/>
              </w:rPr>
            </w:pPr>
            <w:r>
              <w:rPr>
                <w:rFonts w:ascii="宋体" w:eastAsia="宋体" w:hAnsi="宋体" w:cs="宋体" w:hint="eastAsia"/>
                <w:szCs w:val="21"/>
              </w:rPr>
              <w:t>良</w:t>
            </w:r>
          </w:p>
        </w:tc>
      </w:tr>
      <w:tr w:rsidR="009E1AB1">
        <w:trPr>
          <w:trHeight w:hRule="exact" w:val="454"/>
        </w:trPr>
        <w:tc>
          <w:tcPr>
            <w:tcW w:w="1017"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2</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过程管理</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24.00</w:t>
            </w:r>
          </w:p>
        </w:tc>
        <w:tc>
          <w:tcPr>
            <w:tcW w:w="1766" w:type="dxa"/>
            <w:vAlign w:val="bottom"/>
          </w:tcPr>
          <w:p w:rsidR="009E1AB1" w:rsidRDefault="00A3036B">
            <w:pPr>
              <w:jc w:val="center"/>
              <w:rPr>
                <w:rFonts w:ascii="宋体" w:eastAsia="宋体" w:hAnsi="宋体" w:cs="宋体"/>
                <w:color w:val="000000"/>
                <w:szCs w:val="21"/>
              </w:rPr>
            </w:pPr>
            <w:r>
              <w:rPr>
                <w:rFonts w:ascii="宋体" w:eastAsia="宋体" w:hAnsi="宋体" w:cs="宋体" w:hint="eastAsia"/>
                <w:color w:val="000000"/>
                <w:szCs w:val="21"/>
              </w:rPr>
              <w:t>17.00</w:t>
            </w:r>
          </w:p>
        </w:tc>
        <w:tc>
          <w:tcPr>
            <w:tcW w:w="2207" w:type="dxa"/>
            <w:vMerge/>
            <w:vAlign w:val="center"/>
          </w:tcPr>
          <w:p w:rsidR="009E1AB1" w:rsidRDefault="009E1AB1">
            <w:pPr>
              <w:rPr>
                <w:rFonts w:ascii="宋体" w:eastAsia="宋体" w:hAnsi="宋体" w:cs="宋体"/>
                <w:szCs w:val="21"/>
              </w:rPr>
            </w:pPr>
          </w:p>
        </w:tc>
      </w:tr>
      <w:tr w:rsidR="009E1AB1">
        <w:trPr>
          <w:trHeight w:hRule="exact" w:val="454"/>
        </w:trPr>
        <w:tc>
          <w:tcPr>
            <w:tcW w:w="1017"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3</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项目绩效</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60.00</w:t>
            </w:r>
          </w:p>
        </w:tc>
        <w:tc>
          <w:tcPr>
            <w:tcW w:w="1766" w:type="dxa"/>
            <w:vAlign w:val="bottom"/>
          </w:tcPr>
          <w:p w:rsidR="009E1AB1" w:rsidRDefault="00A3036B">
            <w:pPr>
              <w:jc w:val="center"/>
              <w:rPr>
                <w:rFonts w:ascii="宋体" w:eastAsia="宋体" w:hAnsi="宋体" w:cs="宋体"/>
                <w:color w:val="000000"/>
                <w:szCs w:val="21"/>
              </w:rPr>
            </w:pPr>
            <w:r>
              <w:rPr>
                <w:rFonts w:ascii="宋体" w:hAnsi="宋体" w:cs="宋体" w:hint="eastAsia"/>
                <w:color w:val="000000"/>
                <w:szCs w:val="21"/>
              </w:rPr>
              <w:t>56</w:t>
            </w:r>
            <w:r>
              <w:rPr>
                <w:rFonts w:ascii="宋体" w:eastAsia="宋体" w:hAnsi="宋体" w:cs="宋体" w:hint="eastAsia"/>
                <w:color w:val="000000"/>
                <w:szCs w:val="21"/>
              </w:rPr>
              <w:t>.00</w:t>
            </w:r>
          </w:p>
        </w:tc>
        <w:tc>
          <w:tcPr>
            <w:tcW w:w="2207" w:type="dxa"/>
            <w:vMerge/>
            <w:vAlign w:val="center"/>
          </w:tcPr>
          <w:p w:rsidR="009E1AB1" w:rsidRDefault="009E1AB1">
            <w:pPr>
              <w:rPr>
                <w:rFonts w:ascii="宋体" w:eastAsia="宋体" w:hAnsi="宋体" w:cs="宋体"/>
                <w:szCs w:val="21"/>
              </w:rPr>
            </w:pPr>
          </w:p>
        </w:tc>
      </w:tr>
      <w:tr w:rsidR="009E1AB1">
        <w:trPr>
          <w:trHeight w:hRule="exact" w:val="454"/>
        </w:trPr>
        <w:tc>
          <w:tcPr>
            <w:tcW w:w="2783" w:type="dxa"/>
            <w:gridSpan w:val="2"/>
            <w:vAlign w:val="bottom"/>
          </w:tcPr>
          <w:p w:rsidR="009E1AB1" w:rsidRDefault="00A3036B">
            <w:pPr>
              <w:jc w:val="center"/>
              <w:rPr>
                <w:rFonts w:ascii="宋体" w:eastAsia="宋体" w:hAnsi="宋体" w:cs="宋体"/>
                <w:szCs w:val="21"/>
              </w:rPr>
            </w:pPr>
            <w:r>
              <w:rPr>
                <w:rFonts w:ascii="宋体" w:eastAsia="宋体" w:hAnsi="宋体" w:cs="宋体" w:hint="eastAsia"/>
                <w:szCs w:val="21"/>
              </w:rPr>
              <w:t>合计</w:t>
            </w:r>
          </w:p>
        </w:tc>
        <w:tc>
          <w:tcPr>
            <w:tcW w:w="1766" w:type="dxa"/>
            <w:vAlign w:val="bottom"/>
          </w:tcPr>
          <w:p w:rsidR="009E1AB1" w:rsidRDefault="00A3036B">
            <w:pPr>
              <w:jc w:val="center"/>
              <w:rPr>
                <w:rFonts w:ascii="宋体" w:eastAsia="宋体" w:hAnsi="宋体" w:cs="宋体"/>
                <w:szCs w:val="21"/>
              </w:rPr>
            </w:pPr>
            <w:r>
              <w:rPr>
                <w:rFonts w:ascii="宋体" w:eastAsia="宋体" w:hAnsi="宋体" w:cs="宋体" w:hint="eastAsia"/>
                <w:szCs w:val="21"/>
              </w:rPr>
              <w:t>100.00</w:t>
            </w:r>
          </w:p>
        </w:tc>
        <w:tc>
          <w:tcPr>
            <w:tcW w:w="1766" w:type="dxa"/>
            <w:vAlign w:val="bottom"/>
          </w:tcPr>
          <w:p w:rsidR="009E1AB1" w:rsidRDefault="00A3036B">
            <w:pPr>
              <w:jc w:val="center"/>
              <w:rPr>
                <w:rFonts w:ascii="宋体" w:eastAsia="宋体" w:hAnsi="宋体" w:cs="宋体"/>
                <w:color w:val="000000"/>
                <w:szCs w:val="21"/>
              </w:rPr>
            </w:pPr>
            <w:r>
              <w:rPr>
                <w:rFonts w:ascii="宋体" w:eastAsia="宋体" w:hAnsi="宋体" w:cs="宋体" w:hint="eastAsia"/>
                <w:color w:val="000000"/>
                <w:szCs w:val="21"/>
              </w:rPr>
              <w:t>86.00</w:t>
            </w:r>
          </w:p>
        </w:tc>
        <w:tc>
          <w:tcPr>
            <w:tcW w:w="2207" w:type="dxa"/>
            <w:vMerge/>
            <w:vAlign w:val="center"/>
          </w:tcPr>
          <w:p w:rsidR="009E1AB1" w:rsidRDefault="009E1AB1">
            <w:pPr>
              <w:rPr>
                <w:rFonts w:ascii="宋体" w:eastAsia="宋体" w:hAnsi="宋体" w:cs="宋体"/>
                <w:szCs w:val="21"/>
              </w:rPr>
            </w:pPr>
          </w:p>
        </w:tc>
      </w:tr>
    </w:tbl>
    <w:p w:rsidR="009E1AB1" w:rsidRDefault="009E1AB1">
      <w:pPr>
        <w:widowControl w:val="0"/>
        <w:adjustRightInd/>
        <w:snapToGrid/>
        <w:spacing w:after="0" w:line="360" w:lineRule="auto"/>
        <w:jc w:val="both"/>
        <w:rPr>
          <w:rFonts w:ascii="宋体" w:eastAsia="宋体" w:hAnsi="宋体"/>
          <w:kern w:val="2"/>
          <w:sz w:val="28"/>
          <w:szCs w:val="28"/>
        </w:rPr>
      </w:pP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（二）主要经验，存在的问题和改进措施</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1.主要经验</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（1）项目按计划实施，且按时完成项目。</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（2）项目的实施，组织有序，能够明确人员对项目的各项具体工作，程序到位。</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（3）项目资金使用符合程序，会计核算规范。</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2.存在的问题</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未建立专门的“三网”拆除管理制度及操作流程。</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3.改进措施</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（1）应建立专门的失地农民过渡性养老金管理制度及操作流程并在项目实施过程中严格执行。</w:t>
      </w:r>
    </w:p>
    <w:p w:rsidR="009E1AB1" w:rsidRDefault="00A3036B">
      <w:pPr>
        <w:widowControl w:val="0"/>
        <w:adjustRightInd/>
        <w:snapToGrid/>
        <w:spacing w:after="0" w:line="360" w:lineRule="auto"/>
        <w:ind w:firstLineChars="200" w:firstLine="560"/>
        <w:jc w:val="both"/>
        <w:rPr>
          <w:rFonts w:ascii="宋体" w:eastAsia="宋体" w:hAnsi="宋体"/>
          <w:kern w:val="2"/>
          <w:sz w:val="28"/>
          <w:szCs w:val="28"/>
        </w:rPr>
      </w:pPr>
      <w:r>
        <w:rPr>
          <w:rFonts w:ascii="宋体" w:eastAsia="宋体" w:hAnsi="宋体" w:hint="eastAsia"/>
          <w:kern w:val="2"/>
          <w:sz w:val="28"/>
          <w:szCs w:val="28"/>
        </w:rPr>
        <w:t>（2）完善绩效评价体系，加强监督检查和考核工作。进一步探索完善项目绩效评价指标体系，加强对绩效管理工作的跟踪督查，做到绩效管理依据、按程序、有奖惩，实现绩效管理的规范化、常态化。</w:t>
      </w:r>
    </w:p>
    <w:p w:rsidR="009E1AB1" w:rsidRDefault="009E1AB1">
      <w:pPr>
        <w:widowControl w:val="0"/>
        <w:adjustRightInd/>
        <w:snapToGrid/>
        <w:spacing w:after="0" w:line="360" w:lineRule="auto"/>
        <w:ind w:firstLineChars="200" w:firstLine="560"/>
        <w:jc w:val="both"/>
        <w:rPr>
          <w:rFonts w:ascii="宋体" w:eastAsia="宋体" w:hAnsi="宋体"/>
          <w:kern w:val="2"/>
          <w:sz w:val="28"/>
          <w:szCs w:val="28"/>
        </w:rPr>
      </w:pPr>
    </w:p>
    <w:sectPr w:rsidR="009E1AB1" w:rsidSect="009E1AB1">
      <w:footerReference w:type="default" r:id="rId10"/>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556" w:rsidRDefault="00192556" w:rsidP="009E1AB1">
      <w:pPr>
        <w:spacing w:after="0"/>
      </w:pPr>
      <w:r>
        <w:separator/>
      </w:r>
    </w:p>
  </w:endnote>
  <w:endnote w:type="continuationSeparator" w:id="1">
    <w:p w:rsidR="00192556" w:rsidRDefault="00192556" w:rsidP="009E1AB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创艺简标宋">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AB1" w:rsidRDefault="002469D0">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1;mso-wrap-style:none;mso-position-horizontal:center;mso-position-horizontal-relative:margin" filled="f" stroked="f">
          <v:textbox style="mso-fit-shape-to-text:t" inset="0,0,0,0">
            <w:txbxContent>
              <w:p w:rsidR="009E1AB1" w:rsidRDefault="002469D0">
                <w:pPr>
                  <w:pStyle w:val="a4"/>
                </w:pPr>
                <w:r>
                  <w:rPr>
                    <w:rFonts w:hint="eastAsia"/>
                  </w:rPr>
                  <w:fldChar w:fldCharType="begin"/>
                </w:r>
                <w:r w:rsidR="00A3036B">
                  <w:rPr>
                    <w:rFonts w:hint="eastAsia"/>
                  </w:rPr>
                  <w:instrText xml:space="preserve"> PAGE  \* MERGEFORMAT </w:instrText>
                </w:r>
                <w:r>
                  <w:rPr>
                    <w:rFonts w:hint="eastAsia"/>
                  </w:rPr>
                  <w:fldChar w:fldCharType="separate"/>
                </w:r>
                <w:r w:rsidR="009645A8">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556" w:rsidRDefault="00192556" w:rsidP="009E1AB1">
      <w:pPr>
        <w:spacing w:after="0"/>
      </w:pPr>
      <w:r>
        <w:separator/>
      </w:r>
    </w:p>
  </w:footnote>
  <w:footnote w:type="continuationSeparator" w:id="1">
    <w:p w:rsidR="00192556" w:rsidRDefault="00192556" w:rsidP="009E1AB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AB1" w:rsidRDefault="009E1AB1">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5A2C55"/>
    <w:multiLevelType w:val="singleLevel"/>
    <w:tmpl w:val="F25A2C55"/>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noPunctuationKerning/>
  <w:characterSpacingControl w:val="doNotCompress"/>
  <w:noLineBreaksAfter w:lang="zh-CN" w:val="$([{£¥·‘“〈《「『【〔〖〝﹙﹛﹝＄（．［｛￡￥"/>
  <w:noLineBreaksBefore w:lang="zh-CN" w:val="!%),.:;&gt;?]}¢¨°·ˇˉ―‖’”…‰′″›℃∶、。〃〉》」』】〕〗〞︶︺︾﹀﹄﹚﹜﹞！＂％＇），．：；？］｀｜｝～￠"/>
  <w:hdrShapeDefaults>
    <o:shapedefaults v:ext="edit" spidmax="8194"/>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72ED"/>
    <w:rsid w:val="0001772C"/>
    <w:rsid w:val="000956FF"/>
    <w:rsid w:val="00146167"/>
    <w:rsid w:val="00172A27"/>
    <w:rsid w:val="001836CF"/>
    <w:rsid w:val="00192556"/>
    <w:rsid w:val="001D035B"/>
    <w:rsid w:val="00201ECE"/>
    <w:rsid w:val="002469D0"/>
    <w:rsid w:val="00255FCD"/>
    <w:rsid w:val="00262EFC"/>
    <w:rsid w:val="00271925"/>
    <w:rsid w:val="002D1D0B"/>
    <w:rsid w:val="002E21C0"/>
    <w:rsid w:val="00312E59"/>
    <w:rsid w:val="00323B43"/>
    <w:rsid w:val="00370F22"/>
    <w:rsid w:val="0037538F"/>
    <w:rsid w:val="003C33F2"/>
    <w:rsid w:val="003D37D8"/>
    <w:rsid w:val="00426133"/>
    <w:rsid w:val="00430421"/>
    <w:rsid w:val="004358AB"/>
    <w:rsid w:val="004407E6"/>
    <w:rsid w:val="004474B4"/>
    <w:rsid w:val="0046091D"/>
    <w:rsid w:val="004D7D65"/>
    <w:rsid w:val="00511E86"/>
    <w:rsid w:val="00533C17"/>
    <w:rsid w:val="005B449F"/>
    <w:rsid w:val="005C057F"/>
    <w:rsid w:val="0061044F"/>
    <w:rsid w:val="00651C31"/>
    <w:rsid w:val="006A2012"/>
    <w:rsid w:val="0082633A"/>
    <w:rsid w:val="00836EB3"/>
    <w:rsid w:val="00857343"/>
    <w:rsid w:val="008B7726"/>
    <w:rsid w:val="008C0053"/>
    <w:rsid w:val="00915F22"/>
    <w:rsid w:val="00924366"/>
    <w:rsid w:val="009616CE"/>
    <w:rsid w:val="009645A8"/>
    <w:rsid w:val="009E1AB1"/>
    <w:rsid w:val="00A067A3"/>
    <w:rsid w:val="00A3036B"/>
    <w:rsid w:val="00A374EA"/>
    <w:rsid w:val="00A51A73"/>
    <w:rsid w:val="00AF6F28"/>
    <w:rsid w:val="00B03154"/>
    <w:rsid w:val="00B45745"/>
    <w:rsid w:val="00B53446"/>
    <w:rsid w:val="00B74475"/>
    <w:rsid w:val="00BB59F6"/>
    <w:rsid w:val="00BC40AE"/>
    <w:rsid w:val="00C80834"/>
    <w:rsid w:val="00CA7085"/>
    <w:rsid w:val="00CC3D9A"/>
    <w:rsid w:val="00CE2201"/>
    <w:rsid w:val="00D31D50"/>
    <w:rsid w:val="00D5135D"/>
    <w:rsid w:val="00E0108E"/>
    <w:rsid w:val="00E1028F"/>
    <w:rsid w:val="00E31945"/>
    <w:rsid w:val="00E35B29"/>
    <w:rsid w:val="00E734A0"/>
    <w:rsid w:val="00F07312"/>
    <w:rsid w:val="00F32EE5"/>
    <w:rsid w:val="00F33C26"/>
    <w:rsid w:val="00F51E42"/>
    <w:rsid w:val="00F555B9"/>
    <w:rsid w:val="00F60A02"/>
    <w:rsid w:val="00F71A1D"/>
    <w:rsid w:val="00FC05EF"/>
    <w:rsid w:val="00FC3855"/>
    <w:rsid w:val="00FC4499"/>
    <w:rsid w:val="01520C5C"/>
    <w:rsid w:val="01A569BB"/>
    <w:rsid w:val="02086254"/>
    <w:rsid w:val="021D17F3"/>
    <w:rsid w:val="03C35576"/>
    <w:rsid w:val="05581275"/>
    <w:rsid w:val="08EB277F"/>
    <w:rsid w:val="099C3725"/>
    <w:rsid w:val="0CB00426"/>
    <w:rsid w:val="13054149"/>
    <w:rsid w:val="136A3415"/>
    <w:rsid w:val="13EC7688"/>
    <w:rsid w:val="14C72396"/>
    <w:rsid w:val="15323C10"/>
    <w:rsid w:val="15AB7E28"/>
    <w:rsid w:val="15B35816"/>
    <w:rsid w:val="15DD3784"/>
    <w:rsid w:val="16C70060"/>
    <w:rsid w:val="20C06CEE"/>
    <w:rsid w:val="216B6B00"/>
    <w:rsid w:val="22420288"/>
    <w:rsid w:val="26F4479D"/>
    <w:rsid w:val="27D81005"/>
    <w:rsid w:val="28DE383B"/>
    <w:rsid w:val="2AF7070A"/>
    <w:rsid w:val="2D14105F"/>
    <w:rsid w:val="339E26D7"/>
    <w:rsid w:val="341A36C5"/>
    <w:rsid w:val="37570165"/>
    <w:rsid w:val="40C33E66"/>
    <w:rsid w:val="44132707"/>
    <w:rsid w:val="46C6585F"/>
    <w:rsid w:val="4B123007"/>
    <w:rsid w:val="4C1E286A"/>
    <w:rsid w:val="4DA20E6D"/>
    <w:rsid w:val="56824E7D"/>
    <w:rsid w:val="56C32683"/>
    <w:rsid w:val="58BB33C1"/>
    <w:rsid w:val="5AD2333D"/>
    <w:rsid w:val="5B3F5114"/>
    <w:rsid w:val="5FFE53B4"/>
    <w:rsid w:val="61A90672"/>
    <w:rsid w:val="62272D70"/>
    <w:rsid w:val="64740B0A"/>
    <w:rsid w:val="67B34FBF"/>
    <w:rsid w:val="682B2575"/>
    <w:rsid w:val="68981A3A"/>
    <w:rsid w:val="69066511"/>
    <w:rsid w:val="6D980B48"/>
    <w:rsid w:val="6D9F7E66"/>
    <w:rsid w:val="6EF533AA"/>
    <w:rsid w:val="72D85C36"/>
    <w:rsid w:val="72F83850"/>
    <w:rsid w:val="74440737"/>
    <w:rsid w:val="78700F16"/>
    <w:rsid w:val="789649BF"/>
    <w:rsid w:val="7EFE68B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AB1"/>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rsid w:val="009E1AB1"/>
    <w:pPr>
      <w:ind w:leftChars="2500" w:left="100"/>
    </w:pPr>
  </w:style>
  <w:style w:type="paragraph" w:styleId="a4">
    <w:name w:val="footer"/>
    <w:basedOn w:val="a"/>
    <w:link w:val="Char0"/>
    <w:uiPriority w:val="99"/>
    <w:semiHidden/>
    <w:qFormat/>
    <w:rsid w:val="009E1AB1"/>
    <w:pPr>
      <w:tabs>
        <w:tab w:val="center" w:pos="4153"/>
        <w:tab w:val="right" w:pos="8306"/>
      </w:tabs>
    </w:pPr>
    <w:rPr>
      <w:sz w:val="18"/>
      <w:szCs w:val="18"/>
    </w:rPr>
  </w:style>
  <w:style w:type="paragraph" w:styleId="a5">
    <w:name w:val="header"/>
    <w:basedOn w:val="a"/>
    <w:link w:val="Char1"/>
    <w:uiPriority w:val="99"/>
    <w:semiHidden/>
    <w:qFormat/>
    <w:rsid w:val="009E1AB1"/>
    <w:pPr>
      <w:pBdr>
        <w:bottom w:val="single" w:sz="6" w:space="1" w:color="auto"/>
      </w:pBdr>
      <w:tabs>
        <w:tab w:val="center" w:pos="4153"/>
        <w:tab w:val="right" w:pos="8306"/>
      </w:tabs>
      <w:jc w:val="center"/>
    </w:pPr>
    <w:rPr>
      <w:sz w:val="18"/>
      <w:szCs w:val="18"/>
    </w:rPr>
  </w:style>
  <w:style w:type="paragraph" w:styleId="a6">
    <w:name w:val="Normal (Web)"/>
    <w:basedOn w:val="a"/>
    <w:uiPriority w:val="99"/>
    <w:qFormat/>
    <w:rsid w:val="009E1AB1"/>
    <w:pPr>
      <w:widowControl w:val="0"/>
      <w:adjustRightInd/>
      <w:snapToGrid/>
      <w:spacing w:before="100" w:beforeAutospacing="1" w:after="100" w:afterAutospacing="1"/>
    </w:pPr>
    <w:rPr>
      <w:rFonts w:ascii="Calibri" w:eastAsia="宋体" w:hAnsi="Calibri"/>
      <w:sz w:val="24"/>
      <w:szCs w:val="24"/>
    </w:rPr>
  </w:style>
  <w:style w:type="character" w:styleId="a7">
    <w:name w:val="page number"/>
    <w:basedOn w:val="a0"/>
    <w:qFormat/>
    <w:rsid w:val="009E1AB1"/>
  </w:style>
  <w:style w:type="character" w:customStyle="1" w:styleId="Char1">
    <w:name w:val="页眉 Char"/>
    <w:basedOn w:val="a0"/>
    <w:link w:val="a5"/>
    <w:uiPriority w:val="99"/>
    <w:semiHidden/>
    <w:qFormat/>
    <w:locked/>
    <w:rsid w:val="009E1AB1"/>
    <w:rPr>
      <w:rFonts w:ascii="Tahoma" w:hAnsi="Tahoma" w:cs="Times New Roman"/>
      <w:sz w:val="18"/>
      <w:szCs w:val="18"/>
    </w:rPr>
  </w:style>
  <w:style w:type="character" w:customStyle="1" w:styleId="Char0">
    <w:name w:val="页脚 Char"/>
    <w:basedOn w:val="a0"/>
    <w:link w:val="a4"/>
    <w:uiPriority w:val="99"/>
    <w:semiHidden/>
    <w:qFormat/>
    <w:locked/>
    <w:rsid w:val="009E1AB1"/>
    <w:rPr>
      <w:rFonts w:ascii="Tahoma" w:hAnsi="Tahoma" w:cs="Times New Roman"/>
      <w:sz w:val="18"/>
      <w:szCs w:val="18"/>
    </w:rPr>
  </w:style>
  <w:style w:type="character" w:customStyle="1" w:styleId="Char">
    <w:name w:val="日期 Char"/>
    <w:basedOn w:val="a0"/>
    <w:link w:val="a3"/>
    <w:uiPriority w:val="99"/>
    <w:semiHidden/>
    <w:qFormat/>
    <w:locked/>
    <w:rsid w:val="009E1AB1"/>
    <w:rPr>
      <w:rFonts w:ascii="Tahoma" w:hAnsi="Tahoma" w:cs="Times New Roman"/>
    </w:rPr>
  </w:style>
  <w:style w:type="paragraph" w:customStyle="1" w:styleId="1">
    <w:name w:val="列出段落1"/>
    <w:basedOn w:val="a"/>
    <w:uiPriority w:val="99"/>
    <w:qFormat/>
    <w:rsid w:val="009E1AB1"/>
    <w:pPr>
      <w:widowControl w:val="0"/>
      <w:adjustRightInd/>
      <w:snapToGrid/>
      <w:spacing w:after="0"/>
      <w:ind w:firstLineChars="200" w:firstLine="420"/>
      <w:jc w:val="both"/>
    </w:pPr>
    <w:rPr>
      <w:rFonts w:ascii="Calibri" w:eastAsia="宋体" w:hAnsi="Calibri"/>
      <w:kern w:val="2"/>
      <w:sz w:val="21"/>
    </w:rPr>
  </w:style>
  <w:style w:type="paragraph" w:customStyle="1" w:styleId="10">
    <w:name w:val="列出段落1"/>
    <w:basedOn w:val="a"/>
    <w:uiPriority w:val="99"/>
    <w:qFormat/>
    <w:rsid w:val="009E1AB1"/>
    <w:pPr>
      <w:widowControl w:val="0"/>
      <w:adjustRightInd/>
      <w:snapToGrid/>
      <w:spacing w:after="0"/>
      <w:ind w:firstLineChars="200" w:firstLine="420"/>
      <w:jc w:val="both"/>
    </w:pPr>
    <w:rPr>
      <w:rFonts w:ascii="Calibri" w:eastAsia="宋体" w:hAnsi="Calibri"/>
      <w:kern w:val="2"/>
      <w:sz w:val="21"/>
    </w:rPr>
  </w:style>
  <w:style w:type="paragraph" w:customStyle="1" w:styleId="2">
    <w:name w:val="列出段落2"/>
    <w:basedOn w:val="a"/>
    <w:uiPriority w:val="99"/>
    <w:qFormat/>
    <w:rsid w:val="009E1AB1"/>
    <w:pPr>
      <w:widowControl w:val="0"/>
      <w:adjustRightInd/>
      <w:snapToGrid/>
      <w:spacing w:after="0"/>
      <w:ind w:firstLineChars="200" w:firstLine="420"/>
      <w:jc w:val="both"/>
    </w:pPr>
    <w:rPr>
      <w:rFonts w:ascii="Calibri" w:eastAsia="宋体" w:hAnsi="Calibri"/>
      <w:kern w:val="2"/>
      <w:sz w:val="21"/>
    </w:rPr>
  </w:style>
  <w:style w:type="character" w:customStyle="1" w:styleId="font11">
    <w:name w:val="font11"/>
    <w:basedOn w:val="a0"/>
    <w:qFormat/>
    <w:rsid w:val="009E1AB1"/>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ssyq.com/guizhangzhi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33</cp:revision>
  <cp:lastPrinted>2018-05-15T08:40:00Z</cp:lastPrinted>
  <dcterms:created xsi:type="dcterms:W3CDTF">2008-09-11T17:20:00Z</dcterms:created>
  <dcterms:modified xsi:type="dcterms:W3CDTF">2018-06-04T02:14:00Z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