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p>
    <w:p>
      <w:pPr>
        <w:jc w:val="center"/>
        <w:rPr>
          <w:b/>
          <w:sz w:val="52"/>
          <w:szCs w:val="52"/>
        </w:rPr>
      </w:pPr>
      <w:r>
        <w:rPr>
          <w:b/>
          <w:sz w:val="52"/>
          <w:szCs w:val="52"/>
        </w:rPr>
        <w:t>武汉东湖新技术开发区预算</w:t>
      </w:r>
    </w:p>
    <w:p>
      <w:pPr>
        <w:jc w:val="center"/>
        <w:rPr>
          <w:b/>
          <w:sz w:val="52"/>
          <w:szCs w:val="52"/>
        </w:rPr>
      </w:pPr>
      <w:r>
        <w:rPr>
          <w:b/>
          <w:sz w:val="52"/>
          <w:szCs w:val="52"/>
        </w:rPr>
        <w:t>项目绩效自评报告</w:t>
      </w:r>
    </w:p>
    <w:p/>
    <w:p/>
    <w:p/>
    <w:p/>
    <w:p/>
    <w:p/>
    <w:p/>
    <w:p>
      <w:pPr>
        <w:spacing w:line="480" w:lineRule="auto"/>
        <w:ind w:firstLine="643" w:firstLineChars="200"/>
        <w:rPr>
          <w:rFonts w:hint="eastAsia"/>
          <w:b/>
          <w:sz w:val="32"/>
          <w:szCs w:val="32"/>
        </w:rPr>
      </w:pPr>
    </w:p>
    <w:p>
      <w:pPr>
        <w:spacing w:line="480" w:lineRule="auto"/>
        <w:ind w:firstLine="643" w:firstLineChars="200"/>
        <w:rPr>
          <w:rFonts w:hint="eastAsia"/>
          <w:b/>
          <w:sz w:val="32"/>
          <w:szCs w:val="32"/>
          <w:u w:val="thick"/>
        </w:rPr>
      </w:pPr>
      <w:r>
        <w:rPr>
          <w:rFonts w:hint="eastAsia"/>
          <w:b/>
          <w:sz w:val="32"/>
          <w:szCs w:val="32"/>
        </w:rPr>
        <w:t>项目名称：</w:t>
      </w:r>
      <w:r>
        <w:rPr>
          <w:rFonts w:hint="eastAsia"/>
          <w:b/>
          <w:sz w:val="32"/>
          <w:szCs w:val="32"/>
          <w:u w:val="thick"/>
        </w:rPr>
        <w:t>计划生育生殖健康促进及三查四术经费项目</w:t>
      </w:r>
    </w:p>
    <w:p>
      <w:pPr>
        <w:spacing w:line="480" w:lineRule="auto"/>
        <w:ind w:firstLine="643" w:firstLineChars="200"/>
        <w:rPr>
          <w:rFonts w:hint="eastAsia"/>
          <w:b/>
          <w:sz w:val="32"/>
          <w:szCs w:val="32"/>
          <w:u w:val="thick"/>
        </w:rPr>
      </w:pPr>
      <w:r>
        <w:rPr>
          <w:rFonts w:hint="eastAsia"/>
          <w:b/>
          <w:sz w:val="32"/>
          <w:szCs w:val="32"/>
        </w:rPr>
        <w:t>项目单位：</w:t>
      </w:r>
      <w:r>
        <w:rPr>
          <w:rFonts w:hint="eastAsia"/>
          <w:b/>
          <w:sz w:val="32"/>
          <w:szCs w:val="32"/>
          <w:u w:val="thick"/>
        </w:rPr>
        <w:t>武汉东湖新技术开发区佛祖岭街道办事处</w:t>
      </w:r>
    </w:p>
    <w:p>
      <w:pPr>
        <w:spacing w:line="480" w:lineRule="auto"/>
        <w:ind w:firstLine="643" w:firstLineChars="200"/>
        <w:rPr>
          <w:rFonts w:hint="eastAsia"/>
          <w:b/>
          <w:sz w:val="32"/>
          <w:szCs w:val="32"/>
          <w:u w:val="thick"/>
        </w:rPr>
      </w:pPr>
      <w:r>
        <w:rPr>
          <w:rFonts w:hint="eastAsia"/>
          <w:b/>
          <w:sz w:val="32"/>
          <w:szCs w:val="32"/>
        </w:rPr>
        <w:t>主管部门：</w:t>
      </w:r>
      <w:r>
        <w:rPr>
          <w:rFonts w:hint="eastAsia"/>
          <w:b/>
          <w:sz w:val="32"/>
          <w:szCs w:val="32"/>
          <w:u w:val="thick"/>
        </w:rPr>
        <w:t xml:space="preserve">                  </w:t>
      </w:r>
      <w:r>
        <w:rPr>
          <w:rFonts w:hint="eastAsia"/>
          <w:b/>
          <w:sz w:val="32"/>
          <w:szCs w:val="32"/>
          <w:u w:val="thick"/>
          <w:lang w:val="en-US" w:eastAsia="zh-CN"/>
        </w:rPr>
        <w:t xml:space="preserve">         </w:t>
      </w:r>
      <w:r>
        <w:rPr>
          <w:rFonts w:hint="eastAsia"/>
          <w:b/>
          <w:sz w:val="32"/>
          <w:szCs w:val="32"/>
          <w:u w:val="thick"/>
        </w:rPr>
        <w:t xml:space="preserve">   （盖章）</w:t>
      </w:r>
    </w:p>
    <w:p>
      <w:pPr>
        <w:spacing w:line="480" w:lineRule="auto"/>
        <w:ind w:firstLine="643" w:firstLineChars="200"/>
        <w:rPr>
          <w:rFonts w:hint="eastAsia"/>
          <w:b/>
          <w:sz w:val="32"/>
          <w:szCs w:val="32"/>
          <w:u w:val="thick"/>
        </w:rPr>
      </w:pPr>
      <w:r>
        <w:rPr>
          <w:rFonts w:hint="eastAsia"/>
          <w:b/>
          <w:sz w:val="32"/>
          <w:szCs w:val="32"/>
        </w:rPr>
        <w:t>区财政局主管业务科室：</w:t>
      </w:r>
      <w:r>
        <w:rPr>
          <w:rFonts w:hint="eastAsia"/>
          <w:b/>
          <w:sz w:val="32"/>
          <w:szCs w:val="32"/>
          <w:u w:val="thick"/>
        </w:rPr>
        <w:t xml:space="preserve">     </w:t>
      </w:r>
      <w:r>
        <w:rPr>
          <w:rFonts w:hint="eastAsia"/>
          <w:b/>
          <w:sz w:val="32"/>
          <w:szCs w:val="32"/>
          <w:u w:val="thick"/>
          <w:lang w:val="en-US" w:eastAsia="zh-CN"/>
        </w:rPr>
        <w:t xml:space="preserve">           </w:t>
      </w:r>
      <w:r>
        <w:rPr>
          <w:rFonts w:hint="eastAsia"/>
          <w:b/>
          <w:sz w:val="32"/>
          <w:szCs w:val="32"/>
          <w:u w:val="thick"/>
        </w:rPr>
        <w:t xml:space="preserve">   （盖章）</w:t>
      </w:r>
    </w:p>
    <w:p>
      <w:pPr>
        <w:spacing w:line="480" w:lineRule="auto"/>
        <w:ind w:firstLine="643" w:firstLineChars="200"/>
        <w:rPr>
          <w:rFonts w:hint="eastAsia"/>
          <w:b/>
          <w:sz w:val="32"/>
          <w:szCs w:val="32"/>
          <w:u w:val="thick"/>
          <w:lang w:val="en-US" w:eastAsia="zh-CN"/>
        </w:rPr>
      </w:pPr>
      <w:r>
        <w:rPr>
          <w:rFonts w:hint="eastAsia"/>
          <w:b/>
          <w:sz w:val="32"/>
          <w:szCs w:val="32"/>
          <w:lang w:eastAsia="zh-CN"/>
        </w:rPr>
        <w:t>第三方服务机构</w:t>
      </w:r>
      <w:r>
        <w:rPr>
          <w:rFonts w:hint="eastAsia"/>
          <w:b/>
          <w:sz w:val="32"/>
          <w:szCs w:val="32"/>
          <w:lang w:val="en-US" w:eastAsia="zh-CN"/>
        </w:rPr>
        <w:t>：</w:t>
      </w:r>
      <w:r>
        <w:rPr>
          <w:rFonts w:hint="eastAsia"/>
          <w:b/>
          <w:sz w:val="32"/>
          <w:szCs w:val="32"/>
          <w:u w:val="thick"/>
          <w:lang w:val="en-US" w:eastAsia="zh-CN"/>
        </w:rPr>
        <w:t>武汉华莱士会计师事务所(普通合伙)</w:t>
      </w:r>
    </w:p>
    <w:p>
      <w:pPr>
        <w:spacing w:line="480" w:lineRule="auto"/>
        <w:rPr>
          <w:b/>
          <w:sz w:val="36"/>
          <w:szCs w:val="36"/>
        </w:rPr>
      </w:pPr>
    </w:p>
    <w:p>
      <w:pPr>
        <w:rPr>
          <w:b/>
        </w:rPr>
      </w:pPr>
    </w:p>
    <w:p>
      <w:pPr>
        <w:jc w:val="center"/>
        <w:rPr>
          <w:b/>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r>
        <w:rPr>
          <w:rFonts w:hint="eastAsia"/>
          <w:b/>
          <w:sz w:val="36"/>
          <w:szCs w:val="36"/>
        </w:rPr>
        <w:t xml:space="preserve">  2018年 5 月</w:t>
      </w:r>
    </w:p>
    <w:p>
      <w:pPr>
        <w:rPr>
          <w:sz w:val="36"/>
          <w:szCs w:val="36"/>
        </w:rPr>
      </w:pPr>
      <w:r>
        <w:rPr>
          <w:rFonts w:hint="eastAsia"/>
          <w:sz w:val="36"/>
          <w:szCs w:val="36"/>
        </w:rPr>
        <w:t xml:space="preserve">                             </w:t>
      </w: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2" w:firstLineChars="200"/>
        <w:textAlignment w:val="auto"/>
        <w:outlineLvl w:val="9"/>
        <w:rPr>
          <w:rFonts w:hint="default" w:ascii="Times New Roman" w:hAnsi="Times New Roman" w:cs="Times New Roman" w:eastAsiaTheme="minorEastAsia"/>
          <w:b/>
          <w:sz w:val="24"/>
          <w:szCs w:val="24"/>
        </w:rPr>
        <w:sectPr>
          <w:pgSz w:w="11906" w:h="16838"/>
          <w:pgMar w:top="1440" w:right="1800" w:bottom="1440" w:left="1800" w:header="851" w:footer="992" w:gutter="0"/>
          <w:pgNumType w:fmt="numberInDash"/>
          <w:cols w:space="425" w:num="1"/>
          <w:docGrid w:type="lines" w:linePitch="312" w:charSpace="0"/>
        </w:sectPr>
      </w:pP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2" w:firstLineChars="200"/>
        <w:textAlignment w:val="auto"/>
        <w:outlineLvl w:val="9"/>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sz w:val="24"/>
          <w:szCs w:val="24"/>
        </w:rPr>
        <w:t>一、</w:t>
      </w:r>
      <w:r>
        <w:rPr>
          <w:rFonts w:hint="default" w:ascii="Times New Roman" w:hAnsi="Times New Roman" w:cs="Times New Roman" w:eastAsiaTheme="minorEastAsia"/>
          <w:b/>
          <w:bCs/>
          <w:sz w:val="24"/>
          <w:szCs w:val="24"/>
        </w:rPr>
        <w:t>项目基本情况</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（一）项目概况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计划生育生殖健康促进及三查四术经费，用于辖区内已婚育龄妇女享受免费的“三查四术”、优生促进、手术并发症补贴、病残儿鉴定等服务。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依据《湖北省人口与计划生育条例》的文件精神，全面落实科学发展观，认真落实"三查四术"规范，做好人口和计划生育工作的必要手段和基础性工作，是落实“三为主”和“以人为本”的具体体现，是稳定低生育水平、提高广大育龄妇女生殖健康、提高出生人口素质、改善人口结构、维护人口安全为目标的重要方式，全面提高管理水平和服务质量，努力使人口和计划生育工作实现新突破，为构建和谐社会创造良好的人口环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该项目资金预算为35.03万元，其中：生殖健康普查孕环情监测经费15万元、优生促进工程经费2万元、计划生育“四术”结算15.03万元、计划生育手术并发症、病残儿鉴定经费3万元。实际开支</w:t>
      </w:r>
      <w:r>
        <w:rPr>
          <w:rFonts w:hint="default" w:ascii="Times New Roman" w:hAnsi="Times New Roman" w:cs="Times New Roman" w:eastAsiaTheme="minorEastAsia"/>
          <w:bCs/>
          <w:sz w:val="24"/>
          <w:szCs w:val="24"/>
        </w:rPr>
        <w:t>20.215万元</w:t>
      </w:r>
      <w:r>
        <w:rPr>
          <w:rFonts w:hint="default" w:ascii="Times New Roman" w:hAnsi="Times New Roman" w:cs="Times New Roman" w:eastAsia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p>
    <w:p>
      <w:pPr>
        <w:pStyle w:val="8"/>
        <w:keepNext w:val="0"/>
        <w:keepLines w:val="0"/>
        <w:pageBreakBefore w:val="0"/>
        <w:widowControl w:val="0"/>
        <w:kinsoku/>
        <w:wordWrap/>
        <w:overflowPunct/>
        <w:topLinePunct w:val="0"/>
        <w:autoSpaceDE/>
        <w:autoSpaceDN/>
        <w:bidi w:val="0"/>
        <w:adjustRightInd/>
        <w:snapToGrid/>
        <w:spacing w:line="360" w:lineRule="auto"/>
        <w:ind w:right="0" w:rightChars="0" w:firstLineChars="150"/>
        <w:textAlignment w:val="auto"/>
        <w:outlineLvl w:val="9"/>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（二）项目预算绩效目标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保障符合条件的群众享受免费基本项目的计划生育技术服务，按政策全覆盖。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eastAsiaTheme="minorEastAsia"/>
          <w:sz w:val="24"/>
          <w:szCs w:val="24"/>
        </w:rPr>
        <w:t>产出目标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（1）数量指标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设立“生殖健康普查孕环情监测”、“优生促进工程经费”、“计划生育“四术”结算”、“计划生育手术并发症、病残儿鉴定”4个数量指标，来保证辖区内符合条件的居民免费享受基本的计划生育技术服务。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（2）质量指标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资金的有效、准确的使用，确保基本项目服务到位率达到100%。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（3）时效指标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设立“完成时间”指标，用来保证在2017年度内按时的完成工作安排。</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w:t>
      </w:r>
      <w:r>
        <w:rPr>
          <w:rFonts w:hint="eastAsia" w:ascii="Times New Roman" w:hAnsi="Times New Roman" w:cs="Times New Roman"/>
          <w:sz w:val="24"/>
          <w:szCs w:val="24"/>
          <w:lang w:val="en-US" w:eastAsia="zh-CN"/>
        </w:rPr>
        <w:t xml:space="preserve">  2、</w:t>
      </w:r>
      <w:r>
        <w:rPr>
          <w:rFonts w:hint="default" w:ascii="Times New Roman" w:hAnsi="Times New Roman" w:cs="Times New Roman" w:eastAsiaTheme="minorEastAsia"/>
          <w:sz w:val="24"/>
          <w:szCs w:val="24"/>
        </w:rPr>
        <w:t>效果目标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（1）社会效益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通过科学的技术服务，稳定低生育水平、提高广大育龄妇女生殖健康、提高出生人口素质、改善人口结构、维护人口安全。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（2）服务对象满意度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享受基本项目的计划生育技术服务的群众满意度达100%，使群众对政府服务满意度达100%。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p>
    <w:p>
      <w:pPr>
        <w:pStyle w:val="8"/>
        <w:spacing w:line="360" w:lineRule="auto"/>
        <w:ind w:firstLine="482"/>
        <w:rPr>
          <w:rFonts w:hint="default" w:ascii="Times New Roman" w:hAnsi="Times New Roman" w:cs="Times New Roman"/>
          <w:b/>
          <w:sz w:val="24"/>
          <w:szCs w:val="24"/>
        </w:rPr>
      </w:pPr>
      <w:r>
        <w:rPr>
          <w:rFonts w:hint="eastAsia" w:ascii="Times New Roman" w:hAnsi="Times New Roman" w:cs="Times New Roman"/>
          <w:b/>
          <w:sz w:val="24"/>
          <w:szCs w:val="24"/>
        </w:rPr>
        <w:t>二、</w:t>
      </w:r>
      <w:r>
        <w:rPr>
          <w:rFonts w:hint="default" w:ascii="Times New Roman" w:hAnsi="Times New Roman" w:cs="Times New Roman"/>
          <w:b/>
          <w:sz w:val="24"/>
          <w:szCs w:val="24"/>
        </w:rPr>
        <w:t>项目绩效分析</w:t>
      </w:r>
    </w:p>
    <w:p>
      <w:pPr>
        <w:pStyle w:val="8"/>
        <w:spacing w:line="360" w:lineRule="auto"/>
        <w:ind w:firstLine="482"/>
        <w:rPr>
          <w:rFonts w:hint="default" w:ascii="Times New Roman" w:hAnsi="Times New Roman" w:cs="Times New Roman"/>
          <w:b/>
          <w:sz w:val="24"/>
          <w:szCs w:val="24"/>
        </w:rPr>
      </w:pPr>
      <w:r>
        <w:rPr>
          <w:rFonts w:ascii="Times New Roman" w:hAnsi="Times New Roman" w:cs="Times New Roman"/>
          <w:b/>
          <w:sz w:val="24"/>
          <w:szCs w:val="24"/>
        </w:rPr>
        <w:t>（一）</w:t>
      </w:r>
      <w:r>
        <w:rPr>
          <w:rFonts w:hint="default" w:ascii="Times New Roman" w:hAnsi="Times New Roman" w:cs="Times New Roman"/>
          <w:b/>
          <w:sz w:val="24"/>
          <w:szCs w:val="24"/>
        </w:rPr>
        <w:t>项目管理情况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eastAsiaTheme="minorEastAsia"/>
          <w:sz w:val="24"/>
          <w:szCs w:val="24"/>
        </w:rPr>
        <w:t>业务管理情况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（1）运作规范，资料完善。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街道计生科负责项目实施和资金使用的全过程监督，街道办事处领导、分管领导负责项目和资金的审核把关。同时对项目资料及时整理归档。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（2）归口管理，责任到人。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项目资金的工作归口到街道办事处计生科，由计生科科长负责组织实施，并落实具体负责人，了解服务对象的情况，落实各项检测等工作。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（3）强化资金管理。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严格按照国家有关政明确资金的使用范围、标准、申拨程序等相关问题，实行专款专用。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eastAsiaTheme="minorEastAsia"/>
          <w:sz w:val="24"/>
          <w:szCs w:val="24"/>
        </w:rPr>
        <w:t>财务管理情况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2017年度佛祖岭街道办事处计划生育生殖健康促进及三查四术经费预算金额35.03万元，项目资金由财务部门统一核算，资金的拨付有完整的审批程序和手续。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bCs/>
          <w:sz w:val="24"/>
          <w:szCs w:val="24"/>
        </w:rPr>
      </w:pPr>
      <w:r>
        <w:rPr>
          <w:rFonts w:hint="default" w:ascii="Times New Roman" w:hAnsi="Times New Roman" w:cs="Times New Roman" w:eastAsiaTheme="minorEastAsia"/>
          <w:sz w:val="24"/>
          <w:szCs w:val="24"/>
        </w:rPr>
        <w:t>实际决算开支</w:t>
      </w:r>
      <w:r>
        <w:rPr>
          <w:rFonts w:hint="default" w:ascii="Times New Roman" w:hAnsi="Times New Roman" w:cs="Times New Roman" w:eastAsiaTheme="minorEastAsia"/>
          <w:bCs/>
          <w:sz w:val="24"/>
          <w:szCs w:val="24"/>
        </w:rPr>
        <w:t>20.215万元。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bCs/>
          <w:sz w:val="24"/>
          <w:szCs w:val="24"/>
        </w:rPr>
      </w:pPr>
    </w:p>
    <w:p>
      <w:pPr>
        <w:pStyle w:val="8"/>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2" w:firstLineChars="200"/>
        <w:textAlignment w:val="auto"/>
        <w:outlineLvl w:val="9"/>
        <w:rPr>
          <w:rFonts w:hint="default" w:ascii="Times New Roman" w:hAnsi="Times New Roman" w:cs="Times New Roman" w:eastAsiaTheme="minorEastAsia"/>
          <w:b/>
          <w:bCs/>
          <w:sz w:val="24"/>
          <w:szCs w:val="24"/>
        </w:rPr>
      </w:pPr>
      <w:r>
        <w:rPr>
          <w:rFonts w:ascii="Times New Roman" w:hAnsi="Times New Roman" w:cs="Times New Roman"/>
          <w:b/>
          <w:sz w:val="24"/>
          <w:szCs w:val="24"/>
        </w:rPr>
        <w:t>（二）</w:t>
      </w:r>
      <w:r>
        <w:rPr>
          <w:rFonts w:hint="default" w:ascii="Times New Roman" w:hAnsi="Times New Roman" w:cs="Times New Roman" w:eastAsiaTheme="minorEastAsia"/>
          <w:b/>
          <w:bCs/>
          <w:sz w:val="24"/>
          <w:szCs w:val="24"/>
        </w:rPr>
        <w:t>项目预算绩效目标的完成情况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eastAsiaTheme="minorEastAsia"/>
          <w:sz w:val="24"/>
          <w:szCs w:val="24"/>
        </w:rPr>
        <w:t>产出目标</w:t>
      </w:r>
    </w:p>
    <w:tbl>
      <w:tblPr>
        <w:tblStyle w:val="5"/>
        <w:tblW w:w="8431" w:type="dxa"/>
        <w:tblInd w:w="91" w:type="dxa"/>
        <w:tblLayout w:type="fixed"/>
        <w:tblCellMar>
          <w:top w:w="0" w:type="dxa"/>
          <w:left w:w="108" w:type="dxa"/>
          <w:bottom w:w="0" w:type="dxa"/>
          <w:right w:w="108" w:type="dxa"/>
        </w:tblCellMar>
      </w:tblPr>
      <w:tblGrid>
        <w:gridCol w:w="1320"/>
        <w:gridCol w:w="1553"/>
        <w:gridCol w:w="1753"/>
        <w:gridCol w:w="1471"/>
        <w:gridCol w:w="1575"/>
        <w:gridCol w:w="759"/>
      </w:tblGrid>
      <w:tr>
        <w:tblPrEx>
          <w:tblLayout w:type="fixed"/>
          <w:tblCellMar>
            <w:top w:w="0" w:type="dxa"/>
            <w:left w:w="108" w:type="dxa"/>
            <w:bottom w:w="0" w:type="dxa"/>
            <w:right w:w="108" w:type="dxa"/>
          </w:tblCellMar>
        </w:tblPrEx>
        <w:trPr>
          <w:cantSplit/>
          <w:trHeight w:val="315" w:hRule="atLeast"/>
          <w:tblHeader/>
        </w:trPr>
        <w:tc>
          <w:tcPr>
            <w:tcW w:w="1320"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一级指标</w:t>
            </w:r>
          </w:p>
        </w:tc>
        <w:tc>
          <w:tcPr>
            <w:tcW w:w="1553"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二级指标</w:t>
            </w:r>
          </w:p>
        </w:tc>
        <w:tc>
          <w:tcPr>
            <w:tcW w:w="175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指标内容</w:t>
            </w:r>
          </w:p>
        </w:tc>
        <w:tc>
          <w:tcPr>
            <w:tcW w:w="147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指标值</w:t>
            </w:r>
          </w:p>
        </w:tc>
        <w:tc>
          <w:tcPr>
            <w:tcW w:w="157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完成值</w:t>
            </w:r>
          </w:p>
        </w:tc>
        <w:tc>
          <w:tcPr>
            <w:tcW w:w="759" w:type="dxa"/>
            <w:tcBorders>
              <w:top w:val="single" w:color="auto" w:sz="8" w:space="0"/>
              <w:left w:val="nil"/>
              <w:bottom w:val="single" w:color="auto" w:sz="8" w:space="0"/>
              <w:right w:val="single" w:color="auto" w:sz="8" w:space="0"/>
            </w:tcBorders>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备注</w:t>
            </w:r>
          </w:p>
        </w:tc>
      </w:tr>
      <w:tr>
        <w:tblPrEx>
          <w:tblLayout w:type="fixed"/>
          <w:tblCellMar>
            <w:top w:w="0" w:type="dxa"/>
            <w:left w:w="108" w:type="dxa"/>
            <w:bottom w:w="0" w:type="dxa"/>
            <w:right w:w="108" w:type="dxa"/>
          </w:tblCellMar>
        </w:tblPrEx>
        <w:trPr>
          <w:cantSplit/>
          <w:trHeight w:val="405" w:hRule="atLeast"/>
        </w:trPr>
        <w:tc>
          <w:tcPr>
            <w:tcW w:w="13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产出指标</w:t>
            </w:r>
          </w:p>
        </w:tc>
        <w:tc>
          <w:tcPr>
            <w:tcW w:w="1553" w:type="dxa"/>
            <w:vMerge w:val="restart"/>
            <w:tcBorders>
              <w:top w:val="nil"/>
              <w:left w:val="single" w:color="auto"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数量指标</w:t>
            </w:r>
          </w:p>
        </w:tc>
        <w:tc>
          <w:tcPr>
            <w:tcW w:w="1753"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生殖健康普查孕环情监测</w:t>
            </w:r>
          </w:p>
        </w:tc>
        <w:tc>
          <w:tcPr>
            <w:tcW w:w="1471"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6000人</w:t>
            </w:r>
          </w:p>
        </w:tc>
        <w:tc>
          <w:tcPr>
            <w:tcW w:w="157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8000人</w:t>
            </w:r>
          </w:p>
        </w:tc>
        <w:tc>
          <w:tcPr>
            <w:tcW w:w="759" w:type="dxa"/>
            <w:tcBorders>
              <w:top w:val="nil"/>
              <w:left w:val="nil"/>
              <w:bottom w:val="single" w:color="auto" w:sz="8" w:space="0"/>
              <w:right w:val="single" w:color="auto" w:sz="8" w:space="0"/>
            </w:tcBorders>
          </w:tcPr>
          <w:p>
            <w:pPr>
              <w:widowControl/>
              <w:jc w:val="left"/>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cantSplit/>
          <w:trHeight w:val="420" w:hRule="atLeast"/>
        </w:trPr>
        <w:tc>
          <w:tcPr>
            <w:tcW w:w="132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553" w:type="dxa"/>
            <w:vMerge w:val="continue"/>
            <w:tcBorders>
              <w:top w:val="nil"/>
              <w:left w:val="single" w:color="auto" w:sz="8" w:space="0"/>
              <w:bottom w:val="single" w:color="000000" w:sz="8" w:space="0"/>
              <w:right w:val="single" w:color="000000"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753"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优生促进工程经费</w:t>
            </w:r>
          </w:p>
        </w:tc>
        <w:tc>
          <w:tcPr>
            <w:tcW w:w="147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17人</w:t>
            </w:r>
          </w:p>
        </w:tc>
        <w:tc>
          <w:tcPr>
            <w:tcW w:w="157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205人</w:t>
            </w:r>
          </w:p>
        </w:tc>
        <w:tc>
          <w:tcPr>
            <w:tcW w:w="759" w:type="dxa"/>
            <w:tcBorders>
              <w:top w:val="nil"/>
              <w:left w:val="nil"/>
              <w:bottom w:val="single" w:color="auto" w:sz="8" w:space="0"/>
              <w:right w:val="single" w:color="auto" w:sz="8" w:space="0"/>
            </w:tcBorders>
          </w:tcPr>
          <w:p>
            <w:pPr>
              <w:widowControl/>
              <w:jc w:val="left"/>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cantSplit/>
          <w:trHeight w:val="330" w:hRule="atLeast"/>
        </w:trPr>
        <w:tc>
          <w:tcPr>
            <w:tcW w:w="132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553" w:type="dxa"/>
            <w:vMerge w:val="continue"/>
            <w:tcBorders>
              <w:top w:val="nil"/>
              <w:left w:val="single" w:color="auto" w:sz="8" w:space="0"/>
              <w:bottom w:val="single" w:color="000000" w:sz="8" w:space="0"/>
              <w:right w:val="single" w:color="000000"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753"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计划生育“四术”结算</w:t>
            </w:r>
          </w:p>
        </w:tc>
        <w:tc>
          <w:tcPr>
            <w:tcW w:w="1471" w:type="dxa"/>
            <w:tcBorders>
              <w:top w:val="nil"/>
              <w:left w:val="single" w:color="auto" w:sz="8" w:space="0"/>
              <w:bottom w:val="single" w:color="auto" w:sz="8"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790人</w:t>
            </w:r>
          </w:p>
        </w:tc>
        <w:tc>
          <w:tcPr>
            <w:tcW w:w="157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83人</w:t>
            </w:r>
          </w:p>
        </w:tc>
        <w:tc>
          <w:tcPr>
            <w:tcW w:w="759" w:type="dxa"/>
            <w:tcBorders>
              <w:top w:val="nil"/>
              <w:left w:val="single" w:color="auto" w:sz="8" w:space="0"/>
              <w:bottom w:val="single" w:color="auto" w:sz="8" w:space="0"/>
              <w:right w:val="single" w:color="auto" w:sz="8" w:space="0"/>
            </w:tcBorders>
          </w:tcPr>
          <w:p>
            <w:pPr>
              <w:widowControl/>
              <w:jc w:val="left"/>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cantSplit/>
          <w:trHeight w:val="525" w:hRule="atLeast"/>
        </w:trPr>
        <w:tc>
          <w:tcPr>
            <w:tcW w:w="132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553" w:type="dxa"/>
            <w:vMerge w:val="continue"/>
            <w:tcBorders>
              <w:top w:val="nil"/>
              <w:left w:val="single" w:color="auto" w:sz="8" w:space="0"/>
              <w:bottom w:val="single" w:color="auto" w:sz="4" w:space="0"/>
              <w:right w:val="single" w:color="000000"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753"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计划生育手术并发症、病残儿鉴定</w:t>
            </w:r>
          </w:p>
        </w:tc>
        <w:tc>
          <w:tcPr>
            <w:tcW w:w="147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1人</w:t>
            </w:r>
          </w:p>
        </w:tc>
        <w:tc>
          <w:tcPr>
            <w:tcW w:w="1575" w:type="dxa"/>
            <w:tcBorders>
              <w:top w:val="nil"/>
              <w:left w:val="nil"/>
              <w:bottom w:val="nil"/>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无</w:t>
            </w:r>
          </w:p>
        </w:tc>
        <w:tc>
          <w:tcPr>
            <w:tcW w:w="759" w:type="dxa"/>
            <w:tcBorders>
              <w:top w:val="nil"/>
              <w:left w:val="nil"/>
              <w:bottom w:val="nil"/>
              <w:right w:val="single" w:color="auto" w:sz="8" w:space="0"/>
            </w:tcBorders>
          </w:tcPr>
          <w:p>
            <w:pPr>
              <w:widowControl/>
              <w:jc w:val="left"/>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cantSplit/>
          <w:trHeight w:val="825" w:hRule="atLeast"/>
        </w:trPr>
        <w:tc>
          <w:tcPr>
            <w:tcW w:w="132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553" w:type="dxa"/>
            <w:tcBorders>
              <w:top w:val="single" w:color="auto" w:sz="4"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质量指标</w:t>
            </w:r>
          </w:p>
        </w:tc>
        <w:tc>
          <w:tcPr>
            <w:tcW w:w="1753"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基本项目服务到位率</w:t>
            </w:r>
          </w:p>
        </w:tc>
        <w:tc>
          <w:tcPr>
            <w:tcW w:w="147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100%</w:t>
            </w:r>
          </w:p>
        </w:tc>
        <w:tc>
          <w:tcPr>
            <w:tcW w:w="157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100%</w:t>
            </w:r>
          </w:p>
        </w:tc>
        <w:tc>
          <w:tcPr>
            <w:tcW w:w="759" w:type="dxa"/>
            <w:tcBorders>
              <w:top w:val="single" w:color="auto" w:sz="8" w:space="0"/>
              <w:left w:val="nil"/>
              <w:bottom w:val="single" w:color="auto" w:sz="8" w:space="0"/>
              <w:right w:val="single" w:color="auto" w:sz="8" w:space="0"/>
            </w:tcBorders>
          </w:tcPr>
          <w:p>
            <w:pPr>
              <w:widowControl/>
              <w:jc w:val="left"/>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cantSplit/>
          <w:trHeight w:val="735" w:hRule="atLeast"/>
        </w:trPr>
        <w:tc>
          <w:tcPr>
            <w:tcW w:w="132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553"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实效指标</w:t>
            </w:r>
          </w:p>
        </w:tc>
        <w:tc>
          <w:tcPr>
            <w:tcW w:w="1753"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完成时间</w:t>
            </w:r>
          </w:p>
        </w:tc>
        <w:tc>
          <w:tcPr>
            <w:tcW w:w="1471"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1年内</w:t>
            </w:r>
          </w:p>
        </w:tc>
        <w:tc>
          <w:tcPr>
            <w:tcW w:w="157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1年内</w:t>
            </w:r>
          </w:p>
        </w:tc>
        <w:tc>
          <w:tcPr>
            <w:tcW w:w="759" w:type="dxa"/>
            <w:tcBorders>
              <w:top w:val="nil"/>
              <w:left w:val="nil"/>
              <w:bottom w:val="single" w:color="auto" w:sz="8" w:space="0"/>
              <w:right w:val="single" w:color="auto" w:sz="8" w:space="0"/>
            </w:tcBorders>
          </w:tcPr>
          <w:p>
            <w:pPr>
              <w:widowControl/>
              <w:jc w:val="left"/>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cantSplit/>
          <w:trHeight w:val="315" w:hRule="atLeast"/>
        </w:trPr>
        <w:tc>
          <w:tcPr>
            <w:tcW w:w="132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553"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成本指标</w:t>
            </w:r>
          </w:p>
        </w:tc>
        <w:tc>
          <w:tcPr>
            <w:tcW w:w="1753"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生殖健康普查孕环情监测</w:t>
            </w:r>
          </w:p>
        </w:tc>
        <w:tc>
          <w:tcPr>
            <w:tcW w:w="1471"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15万元</w:t>
            </w:r>
          </w:p>
        </w:tc>
        <w:tc>
          <w:tcPr>
            <w:tcW w:w="157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15万元</w:t>
            </w:r>
          </w:p>
        </w:tc>
        <w:tc>
          <w:tcPr>
            <w:tcW w:w="759" w:type="dxa"/>
            <w:tcBorders>
              <w:top w:val="nil"/>
              <w:left w:val="nil"/>
              <w:bottom w:val="single" w:color="auto" w:sz="8" w:space="0"/>
              <w:right w:val="single" w:color="auto" w:sz="8" w:space="0"/>
            </w:tcBorders>
          </w:tcPr>
          <w:p>
            <w:pPr>
              <w:widowControl/>
              <w:jc w:val="left"/>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cantSplit/>
          <w:trHeight w:val="315" w:hRule="atLeast"/>
        </w:trPr>
        <w:tc>
          <w:tcPr>
            <w:tcW w:w="132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553"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753"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优生促进工程经费</w:t>
            </w:r>
          </w:p>
        </w:tc>
        <w:tc>
          <w:tcPr>
            <w:tcW w:w="147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2万元</w:t>
            </w:r>
          </w:p>
        </w:tc>
        <w:tc>
          <w:tcPr>
            <w:tcW w:w="157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1.025万元</w:t>
            </w:r>
          </w:p>
        </w:tc>
        <w:tc>
          <w:tcPr>
            <w:tcW w:w="759" w:type="dxa"/>
            <w:tcBorders>
              <w:top w:val="nil"/>
              <w:left w:val="nil"/>
              <w:bottom w:val="single" w:color="auto" w:sz="8" w:space="0"/>
              <w:right w:val="single" w:color="auto" w:sz="8" w:space="0"/>
            </w:tcBorders>
          </w:tcPr>
          <w:p>
            <w:pPr>
              <w:widowControl/>
              <w:jc w:val="left"/>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cantSplit/>
          <w:trHeight w:val="315" w:hRule="atLeast"/>
        </w:trPr>
        <w:tc>
          <w:tcPr>
            <w:tcW w:w="132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553"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753"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计划生育“四术”结算</w:t>
            </w:r>
          </w:p>
        </w:tc>
        <w:tc>
          <w:tcPr>
            <w:tcW w:w="147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15.03万元</w:t>
            </w:r>
          </w:p>
        </w:tc>
        <w:tc>
          <w:tcPr>
            <w:tcW w:w="157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4.19万元</w:t>
            </w:r>
          </w:p>
        </w:tc>
        <w:tc>
          <w:tcPr>
            <w:tcW w:w="759" w:type="dxa"/>
            <w:tcBorders>
              <w:top w:val="nil"/>
              <w:left w:val="nil"/>
              <w:bottom w:val="single" w:color="auto" w:sz="8" w:space="0"/>
              <w:right w:val="single" w:color="auto" w:sz="8" w:space="0"/>
            </w:tcBorders>
          </w:tcPr>
          <w:p>
            <w:pPr>
              <w:widowControl/>
              <w:jc w:val="left"/>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cantSplit/>
          <w:trHeight w:val="480" w:hRule="atLeast"/>
        </w:trPr>
        <w:tc>
          <w:tcPr>
            <w:tcW w:w="132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553"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753"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计划生育手术并发症、病残儿鉴定</w:t>
            </w:r>
          </w:p>
        </w:tc>
        <w:tc>
          <w:tcPr>
            <w:tcW w:w="147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3万元</w:t>
            </w:r>
          </w:p>
        </w:tc>
        <w:tc>
          <w:tcPr>
            <w:tcW w:w="157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0元</w:t>
            </w:r>
          </w:p>
        </w:tc>
        <w:tc>
          <w:tcPr>
            <w:tcW w:w="759" w:type="dxa"/>
            <w:tcBorders>
              <w:top w:val="nil"/>
              <w:left w:val="nil"/>
              <w:bottom w:val="single" w:color="auto" w:sz="8" w:space="0"/>
              <w:right w:val="single" w:color="auto" w:sz="8" w:space="0"/>
            </w:tcBorders>
          </w:tcPr>
          <w:p>
            <w:pPr>
              <w:widowControl/>
              <w:jc w:val="left"/>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cantSplit/>
          <w:trHeight w:val="315" w:hRule="atLeast"/>
        </w:trPr>
        <w:tc>
          <w:tcPr>
            <w:tcW w:w="1320"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553"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753"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成本合计</w:t>
            </w:r>
          </w:p>
        </w:tc>
        <w:tc>
          <w:tcPr>
            <w:tcW w:w="1471"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35.03万元</w:t>
            </w:r>
          </w:p>
        </w:tc>
        <w:tc>
          <w:tcPr>
            <w:tcW w:w="157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20.215万元</w:t>
            </w:r>
          </w:p>
        </w:tc>
        <w:tc>
          <w:tcPr>
            <w:tcW w:w="759" w:type="dxa"/>
            <w:tcBorders>
              <w:top w:val="nil"/>
              <w:left w:val="nil"/>
              <w:bottom w:val="single" w:color="auto" w:sz="8" w:space="0"/>
              <w:right w:val="single" w:color="auto" w:sz="8" w:space="0"/>
            </w:tcBorders>
          </w:tcPr>
          <w:p>
            <w:pPr>
              <w:widowControl/>
              <w:jc w:val="left"/>
              <w:rPr>
                <w:rFonts w:hint="default" w:ascii="Times New Roman" w:hAnsi="Times New Roman" w:cs="Times New Roman" w:eastAsiaTheme="minorEastAsia"/>
                <w:color w:val="000000"/>
                <w:kern w:val="0"/>
                <w:sz w:val="21"/>
                <w:szCs w:val="21"/>
              </w:rPr>
            </w:pPr>
          </w:p>
        </w:tc>
      </w:tr>
    </w:tbl>
    <w:p>
      <w:pPr>
        <w:pStyle w:val="8"/>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2017年辖区内未发生需要手术并发症、病残儿鉴定的服务对象。</w:t>
      </w:r>
    </w:p>
    <w:p>
      <w:pPr>
        <w:pStyle w:val="9"/>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效果目标</w:t>
      </w:r>
    </w:p>
    <w:p>
      <w:pPr>
        <w:pStyle w:val="9"/>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通过对计划生育生殖健康促进及三查四术的组织和实施，达到了预期的社会效益。服务对象的满意度、社区居民对社区服务满意度均达到了预期效果。</w:t>
      </w:r>
    </w:p>
    <w:p>
      <w:pPr>
        <w:pStyle w:val="8"/>
        <w:keepNext w:val="0"/>
        <w:keepLines w:val="0"/>
        <w:pageBreakBefore w:val="0"/>
        <w:kinsoku/>
        <w:wordWrap/>
        <w:overflowPunct/>
        <w:topLinePunct w:val="0"/>
        <w:autoSpaceDE/>
        <w:autoSpaceDN/>
        <w:bidi w:val="0"/>
        <w:adjustRightInd/>
        <w:snapToGrid/>
        <w:spacing w:line="360" w:lineRule="auto"/>
        <w:ind w:right="0" w:rightChars="0" w:firstLine="560"/>
        <w:jc w:val="both"/>
        <w:textAlignment w:val="auto"/>
        <w:outlineLvl w:val="9"/>
        <w:rPr>
          <w:rFonts w:hint="default" w:ascii="Times New Roman" w:hAnsi="Times New Roman" w:cs="Times New Roman" w:eastAsiaTheme="minorEastAsia"/>
          <w:sz w:val="24"/>
          <w:szCs w:val="24"/>
        </w:rPr>
      </w:pPr>
    </w:p>
    <w:p>
      <w:pPr>
        <w:pStyle w:val="8"/>
        <w:spacing w:line="360" w:lineRule="auto"/>
        <w:ind w:firstLine="482"/>
        <w:rPr>
          <w:rFonts w:hint="default" w:ascii="Times New Roman" w:hAnsi="Times New Roman" w:cs="Times New Roman"/>
          <w:b/>
          <w:sz w:val="24"/>
          <w:szCs w:val="24"/>
        </w:rPr>
      </w:pPr>
      <w:r>
        <w:rPr>
          <w:rFonts w:hint="default" w:ascii="Times New Roman" w:hAnsi="Times New Roman" w:cs="Times New Roman"/>
          <w:b/>
          <w:sz w:val="24"/>
          <w:szCs w:val="24"/>
          <w:lang w:eastAsia="zh-CN"/>
        </w:rPr>
        <w:t>三、</w:t>
      </w:r>
      <w:r>
        <w:rPr>
          <w:rFonts w:hint="default" w:ascii="Times New Roman" w:hAnsi="Times New Roman" w:cs="Times New Roman"/>
          <w:b/>
          <w:sz w:val="24"/>
          <w:szCs w:val="24"/>
        </w:rPr>
        <w:t>自评结论</w:t>
      </w:r>
    </w:p>
    <w:p>
      <w:pPr>
        <w:pStyle w:val="8"/>
        <w:spacing w:line="360" w:lineRule="auto"/>
        <w:ind w:firstLine="482"/>
        <w:rPr>
          <w:rFonts w:hint="default" w:ascii="Times New Roman" w:hAnsi="Times New Roman" w:cs="Times New Roman"/>
          <w:b/>
          <w:sz w:val="24"/>
          <w:szCs w:val="24"/>
        </w:rPr>
      </w:pPr>
      <w:r>
        <w:rPr>
          <w:rFonts w:hint="default" w:ascii="Times New Roman" w:hAnsi="Times New Roman" w:cs="Times New Roman"/>
          <w:b/>
          <w:sz w:val="24"/>
          <w:szCs w:val="24"/>
          <w:lang w:eastAsia="zh-CN"/>
        </w:rPr>
        <w:t>（一）</w:t>
      </w:r>
      <w:r>
        <w:rPr>
          <w:rFonts w:hint="default" w:ascii="Times New Roman" w:hAnsi="Times New Roman" w:cs="Times New Roman"/>
          <w:b/>
          <w:sz w:val="24"/>
          <w:szCs w:val="24"/>
        </w:rPr>
        <w:t>自评结论</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武汉东湖新技术开发区佛祖岭街道办事处2017年计划生育生殖健康促进及三查四术项目已顺利完成，项目立项依据充分，项目绩效目标设置基本合理；项目财政资金按时到位；项目的实施组织有序，能够明确人员对项目的各项具体工作，程序到位，但没有建立专门的项目业务管理制度；项目资金由财务部门统一核算，资金的拨付有完整的审批程序和手续。</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为了加强计划生育优质服务工作、摸清孕情，做好生殖健康服务，“孕环情检测”工作严格按照上级要求，认真执行，在2017年年初与佛祖岭社区卫生院签订了“孕环情监测”合同，并对辖区内13个村10个居委会开展了优质月“孕环情监测”活动，此次活动宣传费用7.5万元</w:t>
      </w:r>
      <w:r>
        <w:rPr>
          <w:rFonts w:hint="default" w:ascii="Times New Roman" w:hAnsi="Times New Roman" w:cs="Times New Roman" w:eastAsiaTheme="minorEastAsia"/>
          <w:sz w:val="24"/>
          <w:szCs w:val="24"/>
          <w:lang w:val="en-US" w:eastAsia="zh-CN"/>
        </w:rPr>
        <w:t>;支付</w:t>
      </w:r>
      <w:r>
        <w:rPr>
          <w:rFonts w:hint="default" w:ascii="Times New Roman" w:hAnsi="Times New Roman" w:cs="Times New Roman" w:eastAsiaTheme="minorEastAsia"/>
          <w:sz w:val="24"/>
          <w:szCs w:val="24"/>
        </w:rPr>
        <w:t>检查费</w:t>
      </w:r>
      <w:r>
        <w:rPr>
          <w:rFonts w:hint="default" w:ascii="Times New Roman" w:hAnsi="Times New Roman" w:cs="Times New Roman" w:eastAsiaTheme="minorEastAsia"/>
          <w:sz w:val="24"/>
          <w:szCs w:val="24"/>
          <w:lang w:val="en-US" w:eastAsia="zh-CN"/>
        </w:rPr>
        <w:t>11.67</w:t>
      </w:r>
      <w:r>
        <w:rPr>
          <w:rFonts w:hint="default" w:ascii="Times New Roman" w:hAnsi="Times New Roman" w:cs="Times New Roman" w:eastAsiaTheme="minorEastAsia"/>
          <w:sz w:val="24"/>
          <w:szCs w:val="24"/>
        </w:rPr>
        <w:t>万元</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rPr>
        <w:t>生殖健康</w:t>
      </w:r>
      <w:r>
        <w:rPr>
          <w:rFonts w:hint="default" w:ascii="Times New Roman" w:hAnsi="Times New Roman" w:cs="Times New Roman" w:eastAsiaTheme="minorEastAsia"/>
          <w:sz w:val="24"/>
          <w:szCs w:val="24"/>
          <w:lang w:eastAsia="zh-CN"/>
        </w:rPr>
        <w:t>普查孕环情监测</w:t>
      </w:r>
      <w:r>
        <w:rPr>
          <w:rFonts w:hint="default" w:ascii="Times New Roman" w:hAnsi="Times New Roman" w:cs="Times New Roman" w:eastAsiaTheme="minorEastAsia"/>
          <w:sz w:val="24"/>
          <w:szCs w:val="24"/>
          <w:lang w:val="en-US" w:eastAsia="zh-CN"/>
        </w:rPr>
        <w:t>7.5万元</w:t>
      </w:r>
      <w:r>
        <w:rPr>
          <w:rFonts w:hint="default" w:ascii="Times New Roman" w:hAnsi="Times New Roman" w:cs="Times New Roman" w:eastAsiaTheme="minorEastAsia"/>
          <w:sz w:val="24"/>
          <w:szCs w:val="24"/>
        </w:rPr>
        <w:t>及“四术”结算经费4.17万元</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rPr>
        <w:t>刻章费用200元。</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免费孕前优生健康检查是民办实事之一，计生科做了精心的组织安排，检查工作量大，需要认真负责，根据上级指示精神可根据工作需要给予相关组织人员按每</w:t>
      </w:r>
      <w:r>
        <w:rPr>
          <w:rFonts w:hint="default" w:ascii="Times New Roman" w:hAnsi="Times New Roman" w:cs="Times New Roman" w:eastAsiaTheme="minorEastAsia"/>
          <w:sz w:val="24"/>
          <w:szCs w:val="24"/>
          <w:lang w:eastAsia="zh-CN"/>
        </w:rPr>
        <w:t>对</w:t>
      </w:r>
      <w:r>
        <w:rPr>
          <w:rFonts w:hint="default" w:ascii="Times New Roman" w:hAnsi="Times New Roman" w:cs="Times New Roman" w:eastAsiaTheme="minorEastAsia"/>
          <w:sz w:val="24"/>
          <w:szCs w:val="24"/>
        </w:rPr>
        <w:t>50元的标准的补贴，辖区内完成免费孕前优生健康检查205对，使用计划生育生殖健康促进及三查四术经费-优生促进工程经费</w:t>
      </w:r>
      <w:r>
        <w:rPr>
          <w:rFonts w:hint="default" w:ascii="Times New Roman" w:hAnsi="Times New Roman" w:cs="Times New Roman" w:eastAsiaTheme="minorEastAsia"/>
          <w:sz w:val="24"/>
          <w:szCs w:val="24"/>
          <w:lang w:val="en-US" w:eastAsia="zh-CN"/>
        </w:rPr>
        <w:t>1.025万</w:t>
      </w:r>
      <w:r>
        <w:rPr>
          <w:rFonts w:hint="default" w:ascii="Times New Roman" w:hAnsi="Times New Roman" w:cs="Times New Roman" w:eastAsiaTheme="minorEastAsia"/>
          <w:sz w:val="24"/>
          <w:szCs w:val="24"/>
        </w:rPr>
        <w:t>元</w:t>
      </w:r>
      <w:r>
        <w:rPr>
          <w:rFonts w:hint="default" w:ascii="Times New Roman" w:hAnsi="Times New Roman" w:cs="Times New Roman" w:eastAsiaTheme="minorEastAsia"/>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经综合分析本项目评分得分为8</w:t>
      </w:r>
      <w:r>
        <w:rPr>
          <w:rFonts w:hint="default" w:ascii="Times New Roman" w:hAnsi="Times New Roman" w:cs="Times New Roman" w:eastAsiaTheme="minorEastAsia"/>
          <w:sz w:val="24"/>
          <w:szCs w:val="24"/>
          <w:lang w:val="en-US" w:eastAsia="zh-CN"/>
        </w:rPr>
        <w:t>8</w:t>
      </w:r>
      <w:r>
        <w:rPr>
          <w:rFonts w:hint="default" w:ascii="Times New Roman" w:hAnsi="Times New Roman" w:cs="Times New Roman" w:eastAsiaTheme="minorEastAsia"/>
          <w:sz w:val="24"/>
          <w:szCs w:val="24"/>
        </w:rPr>
        <w:t>分，评分结果级为：良好。各项指标得分情况如下：</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7"/>
        <w:gridCol w:w="1766"/>
        <w:gridCol w:w="1766"/>
        <w:gridCol w:w="1766"/>
        <w:gridCol w:w="2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ascii="宋体" w:hAnsi="宋体" w:eastAsia="宋体" w:cs="宋体"/>
                <w:szCs w:val="21"/>
              </w:rPr>
            </w:pPr>
            <w:r>
              <w:rPr>
                <w:rFonts w:hint="eastAsia" w:ascii="宋体" w:hAnsi="宋体" w:eastAsia="宋体" w:cs="宋体"/>
                <w:szCs w:val="21"/>
              </w:rPr>
              <w:t>序号</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指标</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分值</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评价得分</w:t>
            </w:r>
          </w:p>
        </w:tc>
        <w:tc>
          <w:tcPr>
            <w:tcW w:w="2207" w:type="dxa"/>
            <w:vAlign w:val="bottom"/>
          </w:tcPr>
          <w:p>
            <w:pPr>
              <w:jc w:val="center"/>
              <w:rPr>
                <w:rFonts w:ascii="宋体" w:hAnsi="宋体" w:eastAsia="宋体" w:cs="宋体"/>
                <w:szCs w:val="21"/>
              </w:rPr>
            </w:pPr>
            <w:r>
              <w:rPr>
                <w:rFonts w:hint="eastAsia" w:ascii="宋体" w:hAnsi="宋体" w:eastAsia="宋体" w:cs="宋体"/>
                <w:szCs w:val="21"/>
              </w:rPr>
              <w:t>评分结果级别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ascii="宋体" w:hAnsi="宋体" w:eastAsia="宋体" w:cs="宋体"/>
                <w:szCs w:val="21"/>
              </w:rPr>
            </w:pPr>
            <w:r>
              <w:rPr>
                <w:rFonts w:hint="eastAsia" w:ascii="宋体" w:hAnsi="宋体" w:eastAsia="宋体" w:cs="宋体"/>
                <w:szCs w:val="21"/>
              </w:rPr>
              <w:t>1</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投入管理</w:t>
            </w:r>
          </w:p>
        </w:tc>
        <w:tc>
          <w:tcPr>
            <w:tcW w:w="1766"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16</w:t>
            </w:r>
          </w:p>
        </w:tc>
        <w:tc>
          <w:tcPr>
            <w:tcW w:w="1766" w:type="dxa"/>
            <w:vAlign w:val="bottom"/>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14</w:t>
            </w:r>
          </w:p>
        </w:tc>
        <w:tc>
          <w:tcPr>
            <w:tcW w:w="2207" w:type="dxa"/>
            <w:vMerge w:val="restart"/>
            <w:vAlign w:val="center"/>
          </w:tcPr>
          <w:p>
            <w:pPr>
              <w:jc w:val="center"/>
              <w:rPr>
                <w:rFonts w:ascii="宋体" w:hAnsi="宋体" w:eastAsia="宋体" w:cs="宋体"/>
                <w:szCs w:val="21"/>
              </w:rPr>
            </w:pPr>
            <w:r>
              <w:rPr>
                <w:rFonts w:hint="eastAsia" w:ascii="宋体" w:hAnsi="宋体" w:eastAsia="宋体" w:cs="宋体"/>
                <w:szCs w:val="21"/>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ascii="宋体" w:hAnsi="宋体" w:eastAsia="宋体" w:cs="宋体"/>
                <w:szCs w:val="21"/>
              </w:rPr>
            </w:pPr>
            <w:r>
              <w:rPr>
                <w:rFonts w:hint="eastAsia" w:ascii="宋体" w:hAnsi="宋体" w:eastAsia="宋体" w:cs="宋体"/>
                <w:szCs w:val="21"/>
              </w:rPr>
              <w:t>2</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过程管理</w:t>
            </w:r>
          </w:p>
        </w:tc>
        <w:tc>
          <w:tcPr>
            <w:tcW w:w="1766"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24</w:t>
            </w:r>
          </w:p>
        </w:tc>
        <w:tc>
          <w:tcPr>
            <w:tcW w:w="1766" w:type="dxa"/>
            <w:vAlign w:val="bottom"/>
          </w:tcPr>
          <w:p>
            <w:pPr>
              <w:jc w:val="center"/>
              <w:rPr>
                <w:rFonts w:hint="eastAsia" w:ascii="Times New Roman" w:hAnsi="Times New Roman" w:eastAsia="宋体" w:cs="Times New Roman"/>
                <w:color w:val="000000"/>
                <w:szCs w:val="21"/>
                <w:lang w:eastAsia="zh-CN"/>
              </w:rPr>
            </w:pPr>
            <w:r>
              <w:rPr>
                <w:rFonts w:ascii="Times New Roman" w:hAnsi="Times New Roman" w:eastAsia="宋体" w:cs="Times New Roman"/>
                <w:color w:val="000000"/>
                <w:szCs w:val="21"/>
              </w:rPr>
              <w:t>1</w:t>
            </w:r>
            <w:r>
              <w:rPr>
                <w:rFonts w:hint="eastAsia" w:ascii="Times New Roman" w:hAnsi="Times New Roman" w:eastAsia="宋体" w:cs="Times New Roman"/>
                <w:color w:val="000000"/>
                <w:szCs w:val="21"/>
                <w:lang w:val="en-US" w:eastAsia="zh-CN"/>
              </w:rPr>
              <w:t>5</w:t>
            </w:r>
          </w:p>
        </w:tc>
        <w:tc>
          <w:tcPr>
            <w:tcW w:w="2207" w:type="dxa"/>
            <w:vMerge w:val="continue"/>
            <w:vAlign w:val="center"/>
          </w:tcPr>
          <w:p>
            <w:pPr>
              <w:widowControl/>
              <w:jc w:val="left"/>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ascii="宋体" w:hAnsi="宋体" w:eastAsia="宋体" w:cs="宋体"/>
                <w:szCs w:val="21"/>
              </w:rPr>
            </w:pPr>
            <w:r>
              <w:rPr>
                <w:rFonts w:hint="eastAsia" w:ascii="宋体" w:hAnsi="宋体" w:eastAsia="宋体" w:cs="宋体"/>
                <w:szCs w:val="21"/>
              </w:rPr>
              <w:t>3</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项目绩效</w:t>
            </w:r>
          </w:p>
        </w:tc>
        <w:tc>
          <w:tcPr>
            <w:tcW w:w="1766"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60</w:t>
            </w:r>
          </w:p>
        </w:tc>
        <w:tc>
          <w:tcPr>
            <w:tcW w:w="1766" w:type="dxa"/>
            <w:vAlign w:val="bottom"/>
          </w:tcPr>
          <w:p>
            <w:pPr>
              <w:jc w:val="center"/>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rPr>
              <w:t>5</w:t>
            </w:r>
            <w:r>
              <w:rPr>
                <w:rFonts w:hint="eastAsia" w:ascii="Times New Roman" w:hAnsi="Times New Roman" w:eastAsia="宋体" w:cs="Times New Roman"/>
                <w:color w:val="000000"/>
                <w:szCs w:val="21"/>
                <w:lang w:val="en-US" w:eastAsia="zh-CN"/>
              </w:rPr>
              <w:t>9</w:t>
            </w:r>
          </w:p>
        </w:tc>
        <w:tc>
          <w:tcPr>
            <w:tcW w:w="2207" w:type="dxa"/>
            <w:vMerge w:val="continue"/>
            <w:vAlign w:val="center"/>
          </w:tcPr>
          <w:p>
            <w:pPr>
              <w:widowControl/>
              <w:jc w:val="left"/>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ascii="宋体" w:hAnsi="宋体" w:eastAsia="宋体" w:cs="宋体"/>
                <w:szCs w:val="21"/>
              </w:rPr>
            </w:pPr>
            <w:r>
              <w:rPr>
                <w:rFonts w:hint="eastAsia" w:ascii="宋体" w:hAnsi="宋体" w:eastAsia="宋体" w:cs="宋体"/>
                <w:szCs w:val="21"/>
              </w:rPr>
              <w:t>合计</w:t>
            </w:r>
          </w:p>
        </w:tc>
        <w:tc>
          <w:tcPr>
            <w:tcW w:w="1766" w:type="dxa"/>
            <w:vAlign w:val="bottom"/>
          </w:tcPr>
          <w:p>
            <w:pPr>
              <w:jc w:val="center"/>
              <w:rPr>
                <w:rFonts w:ascii="宋体" w:hAnsi="宋体" w:eastAsia="宋体" w:cs="宋体"/>
                <w:szCs w:val="21"/>
              </w:rPr>
            </w:pPr>
          </w:p>
        </w:tc>
        <w:tc>
          <w:tcPr>
            <w:tcW w:w="1766" w:type="dxa"/>
            <w:vAlign w:val="bottom"/>
          </w:tcPr>
          <w:p>
            <w:pPr>
              <w:jc w:val="center"/>
              <w:rPr>
                <w:rFonts w:ascii="Times New Roman" w:hAnsi="Times New Roman" w:eastAsia="宋体" w:cs="Times New Roman"/>
                <w:szCs w:val="21"/>
              </w:rPr>
            </w:pPr>
            <w:r>
              <w:rPr>
                <w:rFonts w:ascii="Times New Roman" w:hAnsi="Times New Roman" w:eastAsia="宋体" w:cs="Times New Roman"/>
                <w:szCs w:val="21"/>
              </w:rPr>
              <w:t>100</w:t>
            </w:r>
          </w:p>
        </w:tc>
        <w:tc>
          <w:tcPr>
            <w:tcW w:w="1766" w:type="dxa"/>
            <w:vAlign w:val="bottom"/>
          </w:tcPr>
          <w:p>
            <w:pPr>
              <w:jc w:val="center"/>
              <w:rPr>
                <w:rFonts w:hint="eastAsia" w:ascii="Times New Roman" w:hAnsi="Times New Roman" w:eastAsia="宋体" w:cs="Times New Roman"/>
                <w:color w:val="000000"/>
                <w:szCs w:val="21"/>
                <w:lang w:eastAsia="zh-CN"/>
              </w:rPr>
            </w:pPr>
            <w:r>
              <w:rPr>
                <w:rFonts w:ascii="Times New Roman" w:hAnsi="Times New Roman" w:eastAsia="宋体" w:cs="Times New Roman"/>
                <w:color w:val="000000"/>
                <w:szCs w:val="21"/>
              </w:rPr>
              <w:t>8</w:t>
            </w:r>
            <w:r>
              <w:rPr>
                <w:rFonts w:hint="eastAsia" w:ascii="Times New Roman" w:hAnsi="Times New Roman" w:eastAsia="宋体" w:cs="Times New Roman"/>
                <w:color w:val="000000"/>
                <w:szCs w:val="21"/>
                <w:lang w:val="en-US" w:eastAsia="zh-CN"/>
              </w:rPr>
              <w:t>8</w:t>
            </w:r>
          </w:p>
        </w:tc>
        <w:tc>
          <w:tcPr>
            <w:tcW w:w="2207" w:type="dxa"/>
            <w:vMerge w:val="continue"/>
            <w:vAlign w:val="center"/>
          </w:tcPr>
          <w:p>
            <w:pPr>
              <w:widowControl/>
              <w:jc w:val="left"/>
              <w:rPr>
                <w:rFonts w:ascii="宋体" w:hAnsi="宋体" w:eastAsia="宋体" w:cs="宋体"/>
                <w:szCs w:val="21"/>
              </w:rPr>
            </w:pPr>
          </w:p>
        </w:tc>
      </w:tr>
    </w:tbl>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具体指标设定及评分情况详见后附的绩效评价评分表。</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p>
    <w:p>
      <w:pPr>
        <w:pStyle w:val="8"/>
        <w:numPr>
          <w:ilvl w:val="0"/>
          <w:numId w:val="1"/>
        </w:numPr>
        <w:spacing w:line="360" w:lineRule="auto"/>
        <w:ind w:left="420" w:leftChars="200" w:firstLine="0" w:firstLineChars="0"/>
        <w:rPr>
          <w:rFonts w:hint="default" w:ascii="Times New Roman" w:hAnsi="Times New Roman" w:cs="Times New Roman"/>
          <w:b/>
          <w:sz w:val="24"/>
          <w:szCs w:val="24"/>
        </w:rPr>
      </w:pPr>
      <w:r>
        <w:rPr>
          <w:rFonts w:hint="default" w:ascii="Times New Roman" w:hAnsi="Times New Roman" w:cs="Times New Roman"/>
          <w:b/>
          <w:sz w:val="24"/>
          <w:szCs w:val="24"/>
        </w:rPr>
        <w:t>主要经验，存在的问题和改进措施</w:t>
      </w:r>
    </w:p>
    <w:p>
      <w:pPr>
        <w:pStyle w:val="8"/>
        <w:numPr>
          <w:ilvl w:val="0"/>
          <w:numId w:val="2"/>
        </w:num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主要经验及做</w:t>
      </w:r>
      <w:bookmarkStart w:id="0" w:name="_GoBack"/>
      <w:bookmarkEnd w:id="0"/>
      <w:r>
        <w:rPr>
          <w:rFonts w:hint="default" w:ascii="Times New Roman" w:hAnsi="Times New Roman" w:cs="Times New Roman" w:eastAsiaTheme="minorEastAsia"/>
          <w:sz w:val="24"/>
          <w:szCs w:val="24"/>
        </w:rPr>
        <w:t>法</w:t>
      </w:r>
    </w:p>
    <w:p>
      <w:pPr>
        <w:pStyle w:val="8"/>
        <w:numPr>
          <w:ilvl w:val="0"/>
          <w:numId w:val="3"/>
        </w:num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项目按计划实施，且按时完成项目。</w:t>
      </w:r>
    </w:p>
    <w:p>
      <w:pPr>
        <w:pStyle w:val="8"/>
        <w:numPr>
          <w:ilvl w:val="0"/>
          <w:numId w:val="3"/>
        </w:numPr>
        <w:spacing w:line="360" w:lineRule="auto"/>
        <w:ind w:left="0" w:leftChars="0"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项目的实施，组织有序，能够明确人员对项目的各项具体工作，程序到位。</w:t>
      </w:r>
    </w:p>
    <w:p>
      <w:pPr>
        <w:pStyle w:val="8"/>
        <w:numPr>
          <w:ilvl w:val="0"/>
          <w:numId w:val="3"/>
        </w:numPr>
        <w:spacing w:line="360" w:lineRule="auto"/>
        <w:ind w:left="0" w:leftChars="0"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项目资金使用符合程序，会计核算规范。</w:t>
      </w:r>
    </w:p>
    <w:p>
      <w:pPr>
        <w:pStyle w:val="8"/>
        <w:numPr>
          <w:numId w:val="0"/>
        </w:numPr>
        <w:spacing w:line="360" w:lineRule="auto"/>
        <w:ind w:firstLine="480" w:firstLineChars="200"/>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eastAsiaTheme="minorEastAsia"/>
          <w:sz w:val="24"/>
          <w:szCs w:val="24"/>
        </w:rPr>
        <w:t>存在的主要问题</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2B2B2B"/>
          <w:kern w:val="0"/>
          <w:sz w:val="24"/>
          <w:szCs w:val="24"/>
        </w:rPr>
        <w:t>（</w:t>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lang w:eastAsia="zh-CN"/>
        </w:rPr>
        <w:t>项目的量化指标不够完善。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（2）未建立专门的计划生育生殖健康促进及三查四术项目业务管理制度</w:t>
      </w:r>
      <w:r>
        <w:rPr>
          <w:rFonts w:hint="default" w:ascii="Times New Roman" w:hAnsi="Times New Roman" w:cs="Times New Roman" w:eastAsiaTheme="minorEastAsia"/>
          <w:sz w:val="24"/>
          <w:szCs w:val="24"/>
          <w:lang w:eastAsia="zh-CN"/>
        </w:rPr>
        <w:t>、质量要求或标准、资金管理制度。</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3、建议和对策</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lang w:eastAsia="zh-CN"/>
        </w:rPr>
        <w:t>完善项目的量化指标，便于考核业绩水平。</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（2）建立完善业务管理制度</w:t>
      </w:r>
      <w:r>
        <w:rPr>
          <w:rFonts w:hint="default" w:ascii="Times New Roman" w:hAnsi="Times New Roman" w:cs="Times New Roman" w:eastAsiaTheme="minorEastAsia"/>
          <w:sz w:val="24"/>
          <w:szCs w:val="24"/>
          <w:lang w:eastAsia="zh-CN"/>
        </w:rPr>
        <w:t>、质量要求或标准、资金管理制度。</w:t>
      </w:r>
    </w:p>
    <w:p>
      <w:pPr>
        <w:spacing w:line="360" w:lineRule="auto"/>
        <w:ind w:firstLine="570"/>
        <w:rPr>
          <w:rFonts w:asciiTheme="minorEastAsia" w:hAnsiTheme="minorEastAsia"/>
          <w:sz w:val="28"/>
          <w:szCs w:val="28"/>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auto"/>
    <w:pitch w:val="default"/>
    <w:sig w:usb0="E00006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662DB8"/>
    <w:multiLevelType w:val="singleLevel"/>
    <w:tmpl w:val="B0662DB8"/>
    <w:lvl w:ilvl="0" w:tentative="0">
      <w:start w:val="1"/>
      <w:numFmt w:val="decimal"/>
      <w:suff w:val="nothing"/>
      <w:lvlText w:val="（%1）"/>
      <w:lvlJc w:val="left"/>
    </w:lvl>
  </w:abstractNum>
  <w:abstractNum w:abstractNumId="1">
    <w:nsid w:val="C7F0C414"/>
    <w:multiLevelType w:val="singleLevel"/>
    <w:tmpl w:val="C7F0C414"/>
    <w:lvl w:ilvl="0" w:tentative="0">
      <w:start w:val="2"/>
      <w:numFmt w:val="chineseCounting"/>
      <w:suff w:val="nothing"/>
      <w:lvlText w:val="（%1）"/>
      <w:lvlJc w:val="left"/>
      <w:rPr>
        <w:rFonts w:hint="eastAsia"/>
      </w:rPr>
    </w:lvl>
  </w:abstractNum>
  <w:abstractNum w:abstractNumId="2">
    <w:nsid w:val="D97950BA"/>
    <w:multiLevelType w:val="singleLevel"/>
    <w:tmpl w:val="D97950B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5632F0"/>
    <w:rsid w:val="000357EC"/>
    <w:rsid w:val="00076E35"/>
    <w:rsid w:val="0009175C"/>
    <w:rsid w:val="00107347"/>
    <w:rsid w:val="001135FA"/>
    <w:rsid w:val="001147ED"/>
    <w:rsid w:val="00117C9B"/>
    <w:rsid w:val="00152F56"/>
    <w:rsid w:val="00157DEE"/>
    <w:rsid w:val="00176480"/>
    <w:rsid w:val="001A43BA"/>
    <w:rsid w:val="001A6976"/>
    <w:rsid w:val="001B3457"/>
    <w:rsid w:val="001C4D4E"/>
    <w:rsid w:val="001D623C"/>
    <w:rsid w:val="001E031C"/>
    <w:rsid w:val="001E3263"/>
    <w:rsid w:val="001F67F5"/>
    <w:rsid w:val="00211F13"/>
    <w:rsid w:val="002854AF"/>
    <w:rsid w:val="002A74C5"/>
    <w:rsid w:val="002F7266"/>
    <w:rsid w:val="00302971"/>
    <w:rsid w:val="00341922"/>
    <w:rsid w:val="003A18EA"/>
    <w:rsid w:val="003C0258"/>
    <w:rsid w:val="003E046C"/>
    <w:rsid w:val="00410BD5"/>
    <w:rsid w:val="00411483"/>
    <w:rsid w:val="0041604C"/>
    <w:rsid w:val="00423B68"/>
    <w:rsid w:val="00431751"/>
    <w:rsid w:val="004A6F77"/>
    <w:rsid w:val="004B2F9C"/>
    <w:rsid w:val="004B6764"/>
    <w:rsid w:val="004C16D9"/>
    <w:rsid w:val="004D0F15"/>
    <w:rsid w:val="004D39BA"/>
    <w:rsid w:val="0052520B"/>
    <w:rsid w:val="005318C6"/>
    <w:rsid w:val="005632F0"/>
    <w:rsid w:val="00583AC4"/>
    <w:rsid w:val="00592865"/>
    <w:rsid w:val="005A3D0C"/>
    <w:rsid w:val="005C0DC0"/>
    <w:rsid w:val="005C14AF"/>
    <w:rsid w:val="005C18EA"/>
    <w:rsid w:val="005D022E"/>
    <w:rsid w:val="005D2102"/>
    <w:rsid w:val="00614C42"/>
    <w:rsid w:val="00617190"/>
    <w:rsid w:val="00647065"/>
    <w:rsid w:val="00656D1B"/>
    <w:rsid w:val="00676AFC"/>
    <w:rsid w:val="006A2E1A"/>
    <w:rsid w:val="0071363C"/>
    <w:rsid w:val="007A5046"/>
    <w:rsid w:val="007C1F7B"/>
    <w:rsid w:val="007E66FC"/>
    <w:rsid w:val="00807349"/>
    <w:rsid w:val="00825A36"/>
    <w:rsid w:val="00840396"/>
    <w:rsid w:val="008434E9"/>
    <w:rsid w:val="00852EAC"/>
    <w:rsid w:val="008558BB"/>
    <w:rsid w:val="008736A8"/>
    <w:rsid w:val="008857C9"/>
    <w:rsid w:val="008E6552"/>
    <w:rsid w:val="008E7A79"/>
    <w:rsid w:val="009001F0"/>
    <w:rsid w:val="00920DFC"/>
    <w:rsid w:val="00942E40"/>
    <w:rsid w:val="00954E8E"/>
    <w:rsid w:val="00981A5F"/>
    <w:rsid w:val="0099337A"/>
    <w:rsid w:val="009A3C33"/>
    <w:rsid w:val="009C1A37"/>
    <w:rsid w:val="00A42AAB"/>
    <w:rsid w:val="00A5009C"/>
    <w:rsid w:val="00AC2326"/>
    <w:rsid w:val="00B14268"/>
    <w:rsid w:val="00B2077E"/>
    <w:rsid w:val="00B67EDB"/>
    <w:rsid w:val="00B70731"/>
    <w:rsid w:val="00BA1E58"/>
    <w:rsid w:val="00C1765F"/>
    <w:rsid w:val="00C304D5"/>
    <w:rsid w:val="00C3378D"/>
    <w:rsid w:val="00C40098"/>
    <w:rsid w:val="00C408F8"/>
    <w:rsid w:val="00C5400D"/>
    <w:rsid w:val="00C704D8"/>
    <w:rsid w:val="00C93B09"/>
    <w:rsid w:val="00CB2A0B"/>
    <w:rsid w:val="00CC4776"/>
    <w:rsid w:val="00CD3035"/>
    <w:rsid w:val="00CF58E9"/>
    <w:rsid w:val="00CF7DB3"/>
    <w:rsid w:val="00D33DA6"/>
    <w:rsid w:val="00D57CF5"/>
    <w:rsid w:val="00D646D1"/>
    <w:rsid w:val="00DB1602"/>
    <w:rsid w:val="00E3628E"/>
    <w:rsid w:val="00E643BB"/>
    <w:rsid w:val="00E65F2B"/>
    <w:rsid w:val="00E673CB"/>
    <w:rsid w:val="00EC7AF5"/>
    <w:rsid w:val="00F10CE3"/>
    <w:rsid w:val="00F42AA5"/>
    <w:rsid w:val="00F5130B"/>
    <w:rsid w:val="00F5224F"/>
    <w:rsid w:val="00F84725"/>
    <w:rsid w:val="00FB198A"/>
    <w:rsid w:val="00FB74EF"/>
    <w:rsid w:val="00FD5D98"/>
    <w:rsid w:val="00FE144B"/>
    <w:rsid w:val="00FF3F13"/>
    <w:rsid w:val="13A51B6F"/>
    <w:rsid w:val="1BF72D16"/>
    <w:rsid w:val="2B3B1DA1"/>
    <w:rsid w:val="2BB92155"/>
    <w:rsid w:val="39DE4C9E"/>
    <w:rsid w:val="64FF53B9"/>
    <w:rsid w:val="70EA78AA"/>
    <w:rsid w:val="7B554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列出段落1"/>
    <w:basedOn w:val="1"/>
    <w:qFormat/>
    <w:uiPriority w:val="34"/>
    <w:pPr>
      <w:ind w:firstLine="420" w:firstLineChars="200"/>
    </w:pPr>
  </w:style>
  <w:style w:type="paragraph" w:styleId="9">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415</Words>
  <Characters>2370</Characters>
  <Lines>19</Lines>
  <Paragraphs>5</Paragraphs>
  <TotalTime>0</TotalTime>
  <ScaleCrop>false</ScaleCrop>
  <LinksUpToDate>false</LinksUpToDate>
  <CharactersWithSpaces>2780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2017-05-27T05:25:00Z</dcterms:created>
  <dc:creator>cuidezhi</dc:creator>
  <cp:lastModifiedBy>张文彬</cp:lastModifiedBy>
  <dcterms:modified xsi:type="dcterms:W3CDTF">2018-06-15T04:47:45Z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