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武汉东湖新技术开发区预算</w:t>
      </w:r>
    </w:p>
    <w:p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项目绩效自评报告</w:t>
      </w:r>
    </w:p>
    <w:p/>
    <w:p/>
    <w:p/>
    <w:p/>
    <w:p/>
    <w:p/>
    <w:p/>
    <w:p/>
    <w:p>
      <w:pPr>
        <w:spacing w:line="480" w:lineRule="auto"/>
        <w:ind w:firstLine="643" w:firstLineChars="2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项目名称：</w:t>
      </w:r>
      <w:r>
        <w:rPr>
          <w:rFonts w:hint="eastAsia"/>
          <w:b/>
          <w:sz w:val="32"/>
          <w:szCs w:val="32"/>
          <w:u w:val="thick"/>
        </w:rPr>
        <w:t xml:space="preserve">征兵及民兵训练经费   </w:t>
      </w:r>
      <w:r>
        <w:rPr>
          <w:rFonts w:hint="eastAsia"/>
          <w:b/>
          <w:sz w:val="32"/>
          <w:szCs w:val="32"/>
        </w:rPr>
        <w:t xml:space="preserve">       </w:t>
      </w:r>
    </w:p>
    <w:p>
      <w:pPr>
        <w:spacing w:line="480" w:lineRule="auto"/>
        <w:ind w:firstLine="643" w:firstLineChars="2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项目单位：</w:t>
      </w:r>
      <w:r>
        <w:rPr>
          <w:rFonts w:hint="eastAsia"/>
          <w:b/>
          <w:sz w:val="32"/>
          <w:szCs w:val="32"/>
          <w:u w:val="thick"/>
        </w:rPr>
        <w:t xml:space="preserve"> 武汉东湖新技术开发区佛祖岭街道办事处 </w:t>
      </w:r>
      <w:r>
        <w:rPr>
          <w:rFonts w:hint="eastAsia"/>
          <w:b/>
          <w:sz w:val="32"/>
          <w:szCs w:val="32"/>
        </w:rPr>
        <w:t xml:space="preserve">                                    </w:t>
      </w:r>
    </w:p>
    <w:p>
      <w:pPr>
        <w:spacing w:line="480" w:lineRule="auto"/>
        <w:ind w:firstLine="643" w:firstLineChars="200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主管部门：</w:t>
      </w:r>
      <w:r>
        <w:rPr>
          <w:rFonts w:hint="eastAsia"/>
          <w:b/>
          <w:sz w:val="32"/>
          <w:szCs w:val="32"/>
          <w:u w:val="thick"/>
        </w:rPr>
        <w:t xml:space="preserve">     </w:t>
      </w:r>
      <w:r>
        <w:rPr>
          <w:rFonts w:hint="eastAsia"/>
          <w:b/>
          <w:sz w:val="32"/>
          <w:szCs w:val="32"/>
          <w:u w:val="thick"/>
          <w:lang w:val="en-US" w:eastAsia="zh-CN"/>
        </w:rPr>
        <w:t xml:space="preserve">                        </w:t>
      </w:r>
      <w:r>
        <w:rPr>
          <w:rFonts w:hint="eastAsia"/>
          <w:b/>
          <w:sz w:val="32"/>
          <w:szCs w:val="32"/>
          <w:u w:val="thick"/>
        </w:rPr>
        <w:t>（盖章）</w:t>
      </w:r>
    </w:p>
    <w:p>
      <w:pPr>
        <w:spacing w:line="480" w:lineRule="auto"/>
        <w:ind w:firstLine="643" w:firstLineChars="2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区财政局主管业务科室</w:t>
      </w:r>
      <w:r>
        <w:rPr>
          <w:rFonts w:hint="eastAsia"/>
          <w:b/>
          <w:sz w:val="32"/>
          <w:szCs w:val="32"/>
          <w:u w:val="thick"/>
        </w:rPr>
        <w:t xml:space="preserve">： </w:t>
      </w:r>
      <w:r>
        <w:rPr>
          <w:rFonts w:hint="eastAsia"/>
          <w:b/>
          <w:sz w:val="32"/>
          <w:szCs w:val="32"/>
          <w:u w:val="thick"/>
          <w:lang w:val="en-US" w:eastAsia="zh-CN"/>
        </w:rPr>
        <w:t xml:space="preserve">               </w:t>
      </w:r>
      <w:r>
        <w:rPr>
          <w:rFonts w:hint="eastAsia"/>
          <w:b/>
          <w:sz w:val="32"/>
          <w:szCs w:val="32"/>
          <w:u w:val="thick"/>
        </w:rPr>
        <w:t xml:space="preserve"> （盖章） </w:t>
      </w:r>
      <w:r>
        <w:rPr>
          <w:rFonts w:hint="eastAsia"/>
          <w:b/>
          <w:sz w:val="32"/>
          <w:szCs w:val="32"/>
        </w:rPr>
        <w:t xml:space="preserve">     </w:t>
      </w:r>
    </w:p>
    <w:p>
      <w:pPr>
        <w:spacing w:line="480" w:lineRule="auto"/>
        <w:ind w:firstLine="643" w:firstLineChars="200"/>
        <w:rPr>
          <w:rFonts w:hint="eastAsia"/>
          <w:b/>
          <w:sz w:val="32"/>
          <w:szCs w:val="32"/>
          <w:u w:val="thick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第三方服务机构</w:t>
      </w:r>
      <w:r>
        <w:rPr>
          <w:rFonts w:hint="eastAsia"/>
          <w:b/>
          <w:sz w:val="32"/>
          <w:szCs w:val="32"/>
          <w:lang w:val="en-US" w:eastAsia="zh-CN"/>
        </w:rPr>
        <w:t>：</w:t>
      </w:r>
      <w:r>
        <w:rPr>
          <w:rFonts w:hint="eastAsia"/>
          <w:b/>
          <w:sz w:val="32"/>
          <w:szCs w:val="32"/>
          <w:u w:val="thick"/>
          <w:lang w:val="en-US" w:eastAsia="zh-CN"/>
        </w:rPr>
        <w:t>武汉华莱士会计师事务所(普通合伙)</w:t>
      </w:r>
    </w:p>
    <w:p>
      <w:pPr>
        <w:spacing w:line="480" w:lineRule="auto"/>
        <w:ind w:firstLine="1205" w:firstLineChars="400"/>
        <w:rPr>
          <w:rFonts w:hint="eastAsia"/>
          <w:b/>
          <w:sz w:val="30"/>
          <w:szCs w:val="30"/>
        </w:rPr>
      </w:pPr>
    </w:p>
    <w:p>
      <w:pPr>
        <w:spacing w:line="480" w:lineRule="auto"/>
        <w:ind w:firstLine="1205" w:firstLineChars="400"/>
        <w:rPr>
          <w:rFonts w:hint="eastAsia"/>
          <w:b/>
          <w:sz w:val="30"/>
          <w:szCs w:val="30"/>
        </w:rPr>
      </w:pPr>
      <w:bookmarkStart w:id="0" w:name="_GoBack"/>
      <w:bookmarkEnd w:id="0"/>
    </w:p>
    <w:p>
      <w:pPr>
        <w:jc w:val="center"/>
        <w:rPr>
          <w:b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2018年 5月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</w:t>
      </w:r>
    </w:p>
    <w:p>
      <w:pPr>
        <w:rPr>
          <w:sz w:val="36"/>
          <w:szCs w:val="36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pStyle w:val="10"/>
        <w:spacing w:line="360" w:lineRule="auto"/>
        <w:ind w:firstLine="482"/>
        <w:rPr>
          <w:rFonts w:ascii="Times New Roman" w:hAnsi="Times New Roman" w:cs="Times New Roman"/>
          <w:b/>
          <w:sz w:val="24"/>
          <w:szCs w:val="24"/>
        </w:rPr>
        <w:sectPr>
          <w:pgSz w:w="11906" w:h="16838"/>
          <w:pgMar w:top="1440" w:right="1416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10"/>
        <w:spacing w:line="360" w:lineRule="auto"/>
        <w:ind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一、</w:t>
      </w:r>
      <w:r>
        <w:rPr>
          <w:rFonts w:hint="eastAsia" w:ascii="Times New Roman" w:hAnsi="Times New Roman" w:cs="Times New Roman"/>
          <w:b/>
          <w:sz w:val="24"/>
          <w:szCs w:val="24"/>
        </w:rPr>
        <w:t>项目基本情况</w:t>
      </w:r>
    </w:p>
    <w:p>
      <w:pPr>
        <w:pStyle w:val="10"/>
        <w:spacing w:line="360" w:lineRule="auto"/>
        <w:ind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（一）</w:t>
      </w:r>
      <w:r>
        <w:rPr>
          <w:rFonts w:hint="eastAsia" w:ascii="Times New Roman" w:hAnsi="Times New Roman" w:cs="Times New Roman"/>
          <w:b/>
          <w:sz w:val="24"/>
          <w:szCs w:val="24"/>
        </w:rPr>
        <w:t>项目概况</w:t>
      </w:r>
    </w:p>
    <w:p>
      <w:pPr>
        <w:keepNext w:val="0"/>
        <w:keepLines w:val="0"/>
        <w:pageBreakBefore w:val="0"/>
        <w:widowControl/>
        <w:tabs>
          <w:tab w:val="left" w:pos="3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加强征兵及民兵训练经费的管理，是适应农村税费和城市民兵工作改革发展新形势的需要，是保障民兵部队军事训练质量的需要，是提高民兵战斗力、落实军事斗争准备的需要。要从加强国防后备力量建设和做好军事斗争准备工作的战略高度，充分认识加强民兵训练经费使用和管理的重要性，切实加强领导，把民兵训练经费纳入各级财政预算，确保训练经费足额到位，要严格财经纪律，强化经费管理、加强审计监督，做到专款专用，保证民兵部队军事训练的顺利开展。</w:t>
      </w:r>
    </w:p>
    <w:p>
      <w:pPr>
        <w:keepNext w:val="0"/>
        <w:keepLines w:val="0"/>
        <w:pageBreakBefore w:val="0"/>
        <w:widowControl/>
        <w:tabs>
          <w:tab w:val="left" w:pos="3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依据上级下达的年度征兵和民兵训练工作任务及201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年实际工作开展确定预算金额。用于辖区内征兵和民兵整组训练工作开展，2017年核定拨付项目预算总金额8.00万元，实际决算开支5.40万元，完成了相关目标任务。</w:t>
      </w:r>
    </w:p>
    <w:p>
      <w:pPr>
        <w:keepNext w:val="0"/>
        <w:keepLines w:val="0"/>
        <w:pageBreakBefore w:val="0"/>
        <w:widowControl/>
        <w:tabs>
          <w:tab w:val="left" w:pos="3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</w:p>
    <w:p>
      <w:pPr>
        <w:pStyle w:val="10"/>
        <w:spacing w:line="360" w:lineRule="auto"/>
        <w:ind w:firstLine="482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（二）</w:t>
      </w:r>
      <w:r>
        <w:rPr>
          <w:rFonts w:hint="default" w:ascii="Times New Roman" w:hAnsi="Times New Roman" w:cs="Times New Roman"/>
          <w:b/>
          <w:sz w:val="24"/>
          <w:szCs w:val="24"/>
        </w:rPr>
        <w:t>项目预算绩效目标</w:t>
      </w:r>
    </w:p>
    <w:p>
      <w:pPr>
        <w:keepNext w:val="0"/>
        <w:keepLines w:val="0"/>
        <w:pageBreakBefore w:val="0"/>
        <w:widowControl/>
        <w:tabs>
          <w:tab w:val="left" w:pos="3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项目总目标：辖区征兵和民兵训练工作顺利完成，为国防建设提供强有力的人力资源和后备力量保障。</w:t>
      </w:r>
    </w:p>
    <w:p>
      <w:pPr>
        <w:keepNext w:val="0"/>
        <w:keepLines w:val="0"/>
        <w:pageBreakBefore w:val="0"/>
        <w:widowControl/>
        <w:tabs>
          <w:tab w:val="left" w:pos="3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年度绩效目标：全额完成上级下达的征兵和民兵训练工作任务。</w:t>
      </w:r>
    </w:p>
    <w:p>
      <w:pPr>
        <w:keepNext w:val="0"/>
        <w:keepLines w:val="0"/>
        <w:pageBreakBefore w:val="0"/>
        <w:widowControl/>
        <w:tabs>
          <w:tab w:val="left" w:pos="3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具体绩效目标分解如下：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1、</w:t>
      </w:r>
      <w:r>
        <w:rPr>
          <w:rFonts w:hint="default" w:ascii="Times New Roman" w:hAnsi="Times New Roman" w:cs="Times New Roman"/>
          <w:sz w:val="24"/>
          <w:szCs w:val="24"/>
        </w:rPr>
        <w:t>产出目标</w:t>
      </w:r>
    </w:p>
    <w:tbl>
      <w:tblPr>
        <w:tblStyle w:val="6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59"/>
        <w:gridCol w:w="2977"/>
        <w:gridCol w:w="1701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指标内容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组织征兵应征人数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不少于30人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9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组织民兵训练人数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不少于30人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9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征兵和民兵训练任务完成率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9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实效指标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完成时间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1年内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p>
      <w:pPr>
        <w:spacing w:line="360" w:lineRule="auto"/>
        <w:ind w:firstLine="480" w:firstLineChars="200"/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2、效果目标</w:t>
      </w:r>
    </w:p>
    <w:tbl>
      <w:tblPr>
        <w:tblStyle w:val="6"/>
        <w:tblW w:w="8657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559"/>
        <w:gridCol w:w="2977"/>
        <w:gridCol w:w="1701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指标内容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完备民兵各项工作，使其应急作用发挥充分，各项工作形成特色、产生时效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达到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加强社会管理、促进经济发展、维护社会大局稳定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达到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pStyle w:val="10"/>
        <w:spacing w:line="360" w:lineRule="auto"/>
        <w:ind w:firstLine="482"/>
        <w:rPr>
          <w:rFonts w:hint="eastAsia"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二、项目绩效分析</w:t>
      </w:r>
    </w:p>
    <w:p>
      <w:pPr>
        <w:pStyle w:val="10"/>
        <w:spacing w:line="360" w:lineRule="auto"/>
        <w:ind w:firstLine="482"/>
        <w:rPr>
          <w:rFonts w:hint="eastAsia"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（一）项目管理情况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1、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业务管理情况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（1）明确分工，规范办事。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佛祖岭街道办事处按照相关规定，部分完成了2017年度的绩效目标。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由舒治茂科长作为总负责人，明确责任分工。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（2）狠抓数据，查证核实。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50"/>
        <w:textAlignment w:val="auto"/>
        <w:outlineLvl w:val="9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佛祖岭街通过采集、整合、对每一个报名人员认真审核，严格把关，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通过认真严格入户核查，筛选出合格人员。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2、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财务管理情况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2017年度佛祖岭街征兵及民兵事业经费项目资金预算金额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8万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元，实际使用5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.4万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元。项目资金单独核算，资金的拨付有完整的审批程序和手续。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具体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（1）兵役征集3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.51万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（2）民兵1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.89万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项目预算绩效目标的完成情况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产出目标</w:t>
      </w:r>
    </w:p>
    <w:tbl>
      <w:tblPr>
        <w:tblStyle w:val="6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59"/>
        <w:gridCol w:w="2977"/>
        <w:gridCol w:w="1701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指标内容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完成值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组织征兵应征人数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不少于30人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15人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9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组织民兵训练人数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不少于30人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未组织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9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征兵和民兵训练任务完成率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9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实效指标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完成时间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1年内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1年内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480" w:firstLineChars="200"/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2、效果目标</w:t>
      </w:r>
    </w:p>
    <w:tbl>
      <w:tblPr>
        <w:tblStyle w:val="6"/>
        <w:tblW w:w="8657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559"/>
        <w:gridCol w:w="2977"/>
        <w:gridCol w:w="1701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指标内容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完成值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完备民兵各项工作，使其应急作用发挥充分，各项工作形成特色、产生时效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达到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达到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加强社会管理、促进经济发展、维护社会大局稳定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达到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达到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8"/>
          <w:szCs w:val="28"/>
        </w:rPr>
      </w:pPr>
    </w:p>
    <w:p>
      <w:pPr>
        <w:pStyle w:val="10"/>
        <w:spacing w:line="360" w:lineRule="auto"/>
        <w:ind w:firstLine="482"/>
        <w:rPr>
          <w:rFonts w:hint="eastAsia"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三、自评结论</w:t>
      </w:r>
    </w:p>
    <w:p>
      <w:pPr>
        <w:pStyle w:val="10"/>
        <w:spacing w:line="360" w:lineRule="auto"/>
        <w:ind w:firstLine="482"/>
        <w:rPr>
          <w:rFonts w:hint="eastAsia"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（一）自评结论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2017年，在高新区党工委、管委会的正确领导下，佛祖岭街道党工委、办事处围绕中心，服务大局、攻坚克难、迎难而上，完成了高新区党工委、管委会下达的征兵及民兵训练经费绩效的部分工作任务。项目立项依据充分，项目的绩效目标部分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经综合分析本项目评分得分为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  <w:lang w:val="en-US" w:eastAsia="zh-CN"/>
        </w:rPr>
        <w:t>79.5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分，评分结果级别为：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中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。各项指标得分情况如下：</w:t>
      </w:r>
    </w:p>
    <w:tbl>
      <w:tblPr>
        <w:tblStyle w:val="6"/>
        <w:tblW w:w="91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895"/>
        <w:gridCol w:w="1895"/>
        <w:gridCol w:w="1895"/>
        <w:gridCol w:w="2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1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序号</w:t>
            </w:r>
          </w:p>
        </w:tc>
        <w:tc>
          <w:tcPr>
            <w:tcW w:w="1895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指标</w:t>
            </w:r>
          </w:p>
        </w:tc>
        <w:tc>
          <w:tcPr>
            <w:tcW w:w="1895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分值</w:t>
            </w:r>
          </w:p>
        </w:tc>
        <w:tc>
          <w:tcPr>
            <w:tcW w:w="1895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评价得分</w:t>
            </w:r>
          </w:p>
        </w:tc>
        <w:tc>
          <w:tcPr>
            <w:tcW w:w="2369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评分结果级别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1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1895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投入管理</w:t>
            </w:r>
          </w:p>
        </w:tc>
        <w:tc>
          <w:tcPr>
            <w:tcW w:w="1895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16</w:t>
            </w:r>
          </w:p>
        </w:tc>
        <w:tc>
          <w:tcPr>
            <w:tcW w:w="1895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36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1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1895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过程管理</w:t>
            </w:r>
          </w:p>
        </w:tc>
        <w:tc>
          <w:tcPr>
            <w:tcW w:w="1895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24</w:t>
            </w:r>
          </w:p>
        </w:tc>
        <w:tc>
          <w:tcPr>
            <w:tcW w:w="1895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3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1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</w:t>
            </w:r>
          </w:p>
        </w:tc>
        <w:tc>
          <w:tcPr>
            <w:tcW w:w="1895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项目绩效</w:t>
            </w:r>
          </w:p>
        </w:tc>
        <w:tc>
          <w:tcPr>
            <w:tcW w:w="1895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60</w:t>
            </w:r>
          </w:p>
        </w:tc>
        <w:tc>
          <w:tcPr>
            <w:tcW w:w="1895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50.05</w:t>
            </w:r>
          </w:p>
        </w:tc>
        <w:tc>
          <w:tcPr>
            <w:tcW w:w="23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91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合计</w:t>
            </w:r>
          </w:p>
        </w:tc>
        <w:tc>
          <w:tcPr>
            <w:tcW w:w="1895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895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100</w:t>
            </w:r>
          </w:p>
        </w:tc>
        <w:tc>
          <w:tcPr>
            <w:tcW w:w="1895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79.5</w:t>
            </w:r>
          </w:p>
        </w:tc>
        <w:tc>
          <w:tcPr>
            <w:tcW w:w="23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具体指标设定及评分情况详见后附的绩效评价评分表。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</w:p>
    <w:p>
      <w:pPr>
        <w:pStyle w:val="10"/>
        <w:spacing w:line="360" w:lineRule="auto"/>
        <w:ind w:left="420" w:leftChars="200" w:firstLine="0" w:firstLineChars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（二）主要经验，存在的问题和改进措施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1、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主要经验及做法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（1）项目按计划实施，且按时完成项目。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（2）项目的实施，组织有序，能够明确人员对项目的各项具体工作，程序到位。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（3）项目资金使用符合程序，会计核算规范。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2、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2B2B2B"/>
          <w:kern w:val="0"/>
          <w:sz w:val="24"/>
          <w:szCs w:val="24"/>
        </w:rPr>
        <w:t>（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1）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项目的量化指标不够完善。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（2）未建立专门的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征兵及民兵训练经费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项目业务管理制度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、质量要求或标准、资金管理制度。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  <w:highlight w:val="yellow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（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）项目绩效目标设置不太合理，绩效目标设置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组织征兵应征人数不少于30人，实际报名应征人员15人，入伍4人，未达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绩效目标设置。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（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）由于入伍人员太少，也没有组织民兵训练。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3、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改进建议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（1）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完善项目的量化指标，便于考核业绩水平。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（2）建立完善业务管理制度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、质量要求或标准、资金管理制度。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（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）根据实际情况设置绩效目标，规范目标的合理性、科学性。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（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）大力加强征兵及民兵宣传的重要性，激发广大适龄青年的参军热情，进一步确保兵员质量，本着全面展开、实事求是、摸清底数、打牢基础的指导原则，全面深入的开展好兵役登记工作。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（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</w:rPr>
        <w:t>）完善绩效评价体系，加强监督检查和考核工作。进一步探索完善项目绩效评价指标体系，加强对绩效管理工作的跟踪督查，做到绩效管理依据、按程序、有奖惩，实现绩效管理的规范化、常态化。</w:t>
      </w:r>
    </w:p>
    <w:sectPr>
      <w:footerReference r:id="rId3" w:type="default"/>
      <w:pgSz w:w="11906" w:h="16838"/>
      <w:pgMar w:top="1440" w:right="1416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32F0"/>
    <w:rsid w:val="00032CCA"/>
    <w:rsid w:val="000840EB"/>
    <w:rsid w:val="00091A75"/>
    <w:rsid w:val="00094CA1"/>
    <w:rsid w:val="000A6F9B"/>
    <w:rsid w:val="000F7488"/>
    <w:rsid w:val="00107347"/>
    <w:rsid w:val="0013429E"/>
    <w:rsid w:val="001508A5"/>
    <w:rsid w:val="00167394"/>
    <w:rsid w:val="00177CCA"/>
    <w:rsid w:val="00183A5E"/>
    <w:rsid w:val="00184CFE"/>
    <w:rsid w:val="0018600A"/>
    <w:rsid w:val="00190320"/>
    <w:rsid w:val="001A718F"/>
    <w:rsid w:val="001E16B5"/>
    <w:rsid w:val="002272C4"/>
    <w:rsid w:val="002346FD"/>
    <w:rsid w:val="00365648"/>
    <w:rsid w:val="00394A39"/>
    <w:rsid w:val="00394FA0"/>
    <w:rsid w:val="003F38EC"/>
    <w:rsid w:val="004065BE"/>
    <w:rsid w:val="00431215"/>
    <w:rsid w:val="00444CC4"/>
    <w:rsid w:val="00473A46"/>
    <w:rsid w:val="004B0205"/>
    <w:rsid w:val="004B4F4A"/>
    <w:rsid w:val="004C16D9"/>
    <w:rsid w:val="00514B83"/>
    <w:rsid w:val="00531EA6"/>
    <w:rsid w:val="005455D6"/>
    <w:rsid w:val="005632F0"/>
    <w:rsid w:val="00593254"/>
    <w:rsid w:val="005B0ACB"/>
    <w:rsid w:val="00636D61"/>
    <w:rsid w:val="00762428"/>
    <w:rsid w:val="007853D8"/>
    <w:rsid w:val="007F544A"/>
    <w:rsid w:val="0086182E"/>
    <w:rsid w:val="008B2F60"/>
    <w:rsid w:val="008F1856"/>
    <w:rsid w:val="0092065A"/>
    <w:rsid w:val="00933091"/>
    <w:rsid w:val="00947BE8"/>
    <w:rsid w:val="009556CA"/>
    <w:rsid w:val="00966C7D"/>
    <w:rsid w:val="009901D7"/>
    <w:rsid w:val="00995CD2"/>
    <w:rsid w:val="009B67B8"/>
    <w:rsid w:val="009D3F74"/>
    <w:rsid w:val="00A505CA"/>
    <w:rsid w:val="00A51340"/>
    <w:rsid w:val="00B13D50"/>
    <w:rsid w:val="00C24F6B"/>
    <w:rsid w:val="00CD73AD"/>
    <w:rsid w:val="00D10905"/>
    <w:rsid w:val="00E3628E"/>
    <w:rsid w:val="00E51E68"/>
    <w:rsid w:val="00EC4565"/>
    <w:rsid w:val="00ED5322"/>
    <w:rsid w:val="00EE72AE"/>
    <w:rsid w:val="00F06D6B"/>
    <w:rsid w:val="00F877B1"/>
    <w:rsid w:val="00FF3F13"/>
    <w:rsid w:val="29E56FD1"/>
    <w:rsid w:val="2C2132ED"/>
    <w:rsid w:val="2FD06381"/>
    <w:rsid w:val="4069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1896</Words>
  <Characters>1961</Characters>
  <Lines>15</Lines>
  <Paragraphs>4</Paragraphs>
  <TotalTime>0</TotalTime>
  <ScaleCrop>false</ScaleCrop>
  <LinksUpToDate>false</LinksUpToDate>
  <CharactersWithSpaces>2095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2017-05-23T01:07:00Z</dcterms:created>
  <dc:creator>cuidezhi</dc:creator>
  <cp:lastModifiedBy>张文彬</cp:lastModifiedBy>
  <dcterms:modified xsi:type="dcterms:W3CDTF">2018-06-15T05:53:12Z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