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A7675">
      <w:pPr>
        <w:jc w:val="center"/>
        <w:rPr>
          <w:sz w:val="52"/>
          <w:szCs w:val="52"/>
        </w:rPr>
      </w:pPr>
    </w:p>
    <w:p w14:paraId="505603FF">
      <w:pPr>
        <w:jc w:val="center"/>
        <w:rPr>
          <w:sz w:val="52"/>
          <w:szCs w:val="52"/>
        </w:rPr>
      </w:pPr>
    </w:p>
    <w:p w14:paraId="189E2CBD">
      <w:pPr>
        <w:jc w:val="center"/>
        <w:rPr>
          <w:b/>
          <w:sz w:val="48"/>
          <w:szCs w:val="48"/>
        </w:rPr>
      </w:pPr>
      <w:r>
        <w:rPr>
          <w:rFonts w:eastAsiaTheme="minorEastAsia"/>
          <w:b/>
          <w:w w:val="95"/>
          <w:sz w:val="48"/>
          <w:szCs w:val="48"/>
        </w:rPr>
        <w:t>武汉东湖新技术开发区</w:t>
      </w:r>
      <w:r>
        <w:rPr>
          <w:rFonts w:hint="eastAsia" w:eastAsiaTheme="minorEastAsia"/>
          <w:b/>
          <w:w w:val="95"/>
          <w:sz w:val="48"/>
          <w:szCs w:val="48"/>
        </w:rPr>
        <w:t>佛祖岭街道办事处</w:t>
      </w:r>
      <w:r>
        <w:rPr>
          <w:rFonts w:hint="eastAsia" w:asciiTheme="minorEastAsia" w:hAnsiTheme="minorEastAsia" w:eastAsiaTheme="minorEastAsia"/>
          <w:b/>
          <w:w w:val="95"/>
          <w:sz w:val="48"/>
          <w:szCs w:val="48"/>
        </w:rPr>
        <w:t>2017年</w:t>
      </w:r>
      <w:r>
        <w:rPr>
          <w:rFonts w:hint="eastAsia" w:eastAsiaTheme="minorEastAsia"/>
          <w:b/>
          <w:w w:val="95"/>
          <w:sz w:val="48"/>
          <w:szCs w:val="48"/>
        </w:rPr>
        <w:t>整体支出</w:t>
      </w:r>
      <w:r>
        <w:rPr>
          <w:rFonts w:eastAsiaTheme="minorEastAsia"/>
          <w:b/>
          <w:w w:val="95"/>
          <w:sz w:val="48"/>
          <w:szCs w:val="48"/>
        </w:rPr>
        <w:t>绩效自评报告</w:t>
      </w:r>
    </w:p>
    <w:p w14:paraId="6349B272"/>
    <w:p w14:paraId="2561A547"/>
    <w:p w14:paraId="6774A220"/>
    <w:p w14:paraId="1F44211B"/>
    <w:p w14:paraId="239FF6EE"/>
    <w:p w14:paraId="72846630"/>
    <w:p w14:paraId="642DCA65"/>
    <w:p w14:paraId="18B8AEC0"/>
    <w:p w14:paraId="09703B0F">
      <w:pPr>
        <w:spacing w:line="480" w:lineRule="auto"/>
        <w:ind w:firstLine="643" w:firstLineChars="200"/>
        <w:rPr>
          <w:rFonts w:hint="eastAsia" w:eastAsiaTheme="minorEastAsia"/>
          <w:b/>
          <w:sz w:val="32"/>
          <w:szCs w:val="32"/>
          <w:u w:val="single"/>
          <w:lang w:eastAsia="zh-CN"/>
        </w:rPr>
      </w:pPr>
      <w:r>
        <w:rPr>
          <w:rFonts w:hint="eastAsia"/>
          <w:b/>
          <w:sz w:val="32"/>
          <w:szCs w:val="32"/>
        </w:rPr>
        <w:t>项目名称：</w:t>
      </w:r>
      <w:r>
        <w:rPr>
          <w:rFonts w:hint="eastAsia"/>
          <w:b/>
          <w:sz w:val="32"/>
          <w:szCs w:val="32"/>
          <w:u w:val="thick"/>
          <w:lang w:eastAsia="zh-CN"/>
        </w:rPr>
        <w:t>整体预算支出绩效评价</w:t>
      </w:r>
    </w:p>
    <w:p w14:paraId="76C6EBFE">
      <w:pPr>
        <w:spacing w:line="480" w:lineRule="auto"/>
        <w:ind w:firstLine="643" w:firstLineChars="200"/>
        <w:rPr>
          <w:b/>
          <w:sz w:val="32"/>
          <w:szCs w:val="32"/>
          <w:u w:val="thick"/>
        </w:rPr>
      </w:pPr>
      <w:r>
        <w:rPr>
          <w:rFonts w:hint="eastAsia"/>
          <w:b/>
          <w:sz w:val="32"/>
          <w:szCs w:val="32"/>
        </w:rPr>
        <w:t>项目单位：</w:t>
      </w:r>
      <w:r>
        <w:rPr>
          <w:rFonts w:hint="eastAsia"/>
          <w:b/>
          <w:sz w:val="32"/>
          <w:szCs w:val="32"/>
          <w:u w:val="thick"/>
        </w:rPr>
        <w:t>武汉东湖新技术开发区佛祖岭街道办事处</w:t>
      </w:r>
    </w:p>
    <w:p w14:paraId="2337D25D">
      <w:pPr>
        <w:spacing w:line="480" w:lineRule="auto"/>
        <w:ind w:firstLine="643" w:firstLineChars="200"/>
        <w:rPr>
          <w:b/>
          <w:sz w:val="32"/>
          <w:szCs w:val="32"/>
          <w:u w:val="single"/>
        </w:rPr>
      </w:pPr>
      <w:r>
        <w:rPr>
          <w:rFonts w:hint="eastAsia"/>
          <w:b/>
          <w:sz w:val="32"/>
          <w:szCs w:val="32"/>
        </w:rPr>
        <w:t xml:space="preserve">主管部门： </w:t>
      </w:r>
      <w:r>
        <w:rPr>
          <w:rFonts w:hint="eastAsia"/>
          <w:b/>
          <w:sz w:val="32"/>
          <w:szCs w:val="32"/>
          <w:u w:val="single"/>
        </w:rPr>
        <w:t xml:space="preserve">               </w:t>
      </w:r>
      <w:r>
        <w:rPr>
          <w:rFonts w:hint="eastAsia"/>
          <w:b/>
          <w:sz w:val="32"/>
          <w:szCs w:val="32"/>
          <w:u w:val="single"/>
          <w:lang w:val="en-US" w:eastAsia="zh-CN"/>
        </w:rPr>
        <w:t xml:space="preserve">        </w:t>
      </w:r>
      <w:r>
        <w:rPr>
          <w:rFonts w:hint="eastAsia"/>
          <w:b/>
          <w:sz w:val="32"/>
          <w:szCs w:val="32"/>
          <w:u w:val="single"/>
        </w:rPr>
        <w:t xml:space="preserve">     （盖章）</w:t>
      </w:r>
    </w:p>
    <w:p w14:paraId="799F0C10">
      <w:pPr>
        <w:spacing w:line="480" w:lineRule="auto"/>
        <w:ind w:firstLine="643" w:firstLineChars="200"/>
        <w:rPr>
          <w:b/>
          <w:sz w:val="32"/>
          <w:szCs w:val="32"/>
        </w:rPr>
      </w:pPr>
      <w:r>
        <w:rPr>
          <w:rFonts w:hint="eastAsia"/>
          <w:b/>
          <w:sz w:val="32"/>
          <w:szCs w:val="32"/>
        </w:rPr>
        <w:t xml:space="preserve">区财政局主管业务科室： </w:t>
      </w:r>
      <w:r>
        <w:rPr>
          <w:rFonts w:hint="eastAsia"/>
          <w:b/>
          <w:sz w:val="32"/>
          <w:szCs w:val="32"/>
          <w:u w:val="single"/>
        </w:rPr>
        <w:t xml:space="preserve">     </w:t>
      </w:r>
      <w:r>
        <w:rPr>
          <w:rFonts w:hint="eastAsia"/>
          <w:b/>
          <w:sz w:val="32"/>
          <w:szCs w:val="32"/>
          <w:u w:val="single"/>
          <w:lang w:val="en-US" w:eastAsia="zh-CN"/>
        </w:rPr>
        <w:t xml:space="preserve">         </w:t>
      </w:r>
      <w:r>
        <w:rPr>
          <w:rFonts w:hint="eastAsia"/>
          <w:b/>
          <w:sz w:val="32"/>
          <w:szCs w:val="32"/>
          <w:u w:val="single"/>
        </w:rPr>
        <w:t xml:space="preserve">  （盖章）</w:t>
      </w:r>
    </w:p>
    <w:p w14:paraId="7C782580">
      <w:pPr>
        <w:spacing w:line="480" w:lineRule="auto"/>
        <w:ind w:firstLine="643" w:firstLineChars="200"/>
        <w:rPr>
          <w:rFonts w:hint="eastAsia" w:eastAsiaTheme="minorEastAsia"/>
          <w:b/>
          <w:sz w:val="32"/>
          <w:szCs w:val="32"/>
          <w:u w:val="single"/>
          <w:lang w:val="en-US" w:eastAsia="zh-CN"/>
        </w:rPr>
      </w:pPr>
      <w:r>
        <w:rPr>
          <w:rFonts w:hint="eastAsia"/>
          <w:b/>
          <w:sz w:val="32"/>
          <w:szCs w:val="32"/>
          <w:u w:val="none"/>
          <w:lang w:eastAsia="zh-CN"/>
        </w:rPr>
        <w:t>第三方服务机构</w:t>
      </w:r>
      <w:r>
        <w:rPr>
          <w:rFonts w:hint="eastAsia"/>
          <w:b/>
          <w:sz w:val="32"/>
          <w:szCs w:val="32"/>
          <w:u w:val="none"/>
          <w:lang w:val="en-US" w:eastAsia="zh-CN"/>
        </w:rPr>
        <w:t>：</w:t>
      </w:r>
      <w:r>
        <w:rPr>
          <w:rFonts w:hint="eastAsia"/>
          <w:b/>
          <w:sz w:val="32"/>
          <w:szCs w:val="32"/>
          <w:u w:val="single"/>
          <w:lang w:val="en-US" w:eastAsia="zh-CN"/>
        </w:rPr>
        <w:t>武汉华莱士会计师事务所(普通合伙)</w:t>
      </w:r>
    </w:p>
    <w:p w14:paraId="0E7E43E9">
      <w:pPr>
        <w:spacing w:line="480" w:lineRule="auto"/>
        <w:ind w:firstLine="1446" w:firstLineChars="400"/>
        <w:rPr>
          <w:b/>
          <w:sz w:val="36"/>
          <w:szCs w:val="36"/>
        </w:rPr>
      </w:pPr>
    </w:p>
    <w:p w14:paraId="6CBBD321">
      <w:pPr>
        <w:spacing w:line="480" w:lineRule="auto"/>
        <w:rPr>
          <w:b/>
          <w:sz w:val="36"/>
          <w:szCs w:val="36"/>
        </w:rPr>
      </w:pPr>
    </w:p>
    <w:p w14:paraId="53073123">
      <w:pPr>
        <w:rPr>
          <w:b/>
        </w:rPr>
      </w:pPr>
    </w:p>
    <w:p w14:paraId="6FC57972">
      <w:pPr>
        <w:jc w:val="center"/>
        <w:rPr>
          <w:b/>
        </w:rPr>
      </w:pPr>
    </w:p>
    <w:p w14:paraId="364F1D5B">
      <w:pPr>
        <w:jc w:val="center"/>
        <w:rPr>
          <w:b/>
          <w:sz w:val="36"/>
          <w:szCs w:val="36"/>
        </w:rPr>
      </w:pPr>
    </w:p>
    <w:p w14:paraId="223CE25F">
      <w:pPr>
        <w:jc w:val="center"/>
        <w:rPr>
          <w:b/>
          <w:sz w:val="36"/>
          <w:szCs w:val="36"/>
        </w:rPr>
      </w:pPr>
    </w:p>
    <w:p w14:paraId="32734261">
      <w:pPr>
        <w:jc w:val="center"/>
        <w:rPr>
          <w:b/>
          <w:sz w:val="36"/>
          <w:szCs w:val="36"/>
        </w:rPr>
      </w:pPr>
    </w:p>
    <w:p w14:paraId="205755A2">
      <w:pPr>
        <w:jc w:val="center"/>
        <w:rPr>
          <w:b/>
          <w:sz w:val="36"/>
          <w:szCs w:val="36"/>
        </w:rPr>
      </w:pPr>
      <w:r>
        <w:rPr>
          <w:rFonts w:hint="eastAsia"/>
          <w:b/>
          <w:sz w:val="36"/>
          <w:szCs w:val="36"/>
        </w:rPr>
        <w:t xml:space="preserve">  2018 年 5 月</w:t>
      </w:r>
    </w:p>
    <w:p w14:paraId="39905872">
      <w:pPr>
        <w:jc w:val="center"/>
        <w:rPr>
          <w:b/>
          <w:sz w:val="36"/>
          <w:szCs w:val="36"/>
        </w:rPr>
      </w:pPr>
    </w:p>
    <w:p w14:paraId="672DBC95">
      <w:pPr>
        <w:pStyle w:val="14"/>
        <w:spacing w:line="360" w:lineRule="auto"/>
        <w:ind w:left="420" w:leftChars="200" w:firstLine="241" w:firstLineChars="100"/>
        <w:rPr>
          <w:rFonts w:hint="default" w:ascii="Times New Roman" w:hAnsi="Times New Roman" w:cs="Times New Roman" w:eastAsiaTheme="minorEastAsia"/>
          <w:b/>
          <w:sz w:val="24"/>
          <w:szCs w:val="24"/>
        </w:rPr>
        <w:sectPr>
          <w:pgSz w:w="11906" w:h="16838"/>
          <w:pgMar w:top="1440" w:right="1800" w:bottom="1440" w:left="1800" w:header="851" w:footer="992" w:gutter="0"/>
          <w:pgNumType w:fmt="numberInDash"/>
          <w:cols w:space="425" w:num="1"/>
          <w:docGrid w:type="lines" w:linePitch="312" w:charSpace="0"/>
        </w:sectPr>
      </w:pPr>
    </w:p>
    <w:p w14:paraId="632EA737">
      <w:pPr>
        <w:pStyle w:val="14"/>
        <w:keepNext w:val="0"/>
        <w:keepLines w:val="0"/>
        <w:pageBreakBefore w:val="0"/>
        <w:widowControl w:val="0"/>
        <w:kinsoku/>
        <w:wordWrap/>
        <w:overflowPunct/>
        <w:topLinePunct w:val="0"/>
        <w:autoSpaceDE/>
        <w:autoSpaceDN/>
        <w:bidi w:val="0"/>
        <w:spacing w:line="360" w:lineRule="auto"/>
        <w:ind w:left="420" w:leftChars="200" w:firstLine="241" w:firstLineChars="1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一、部门基本情况</w:t>
      </w:r>
    </w:p>
    <w:p w14:paraId="21FD1E7D">
      <w:pPr>
        <w:pStyle w:val="14"/>
        <w:keepNext w:val="0"/>
        <w:keepLines w:val="0"/>
        <w:pageBreakBefore w:val="0"/>
        <w:widowControl w:val="0"/>
        <w:kinsoku/>
        <w:wordWrap/>
        <w:overflowPunct/>
        <w:topLinePunct w:val="0"/>
        <w:autoSpaceDE/>
        <w:autoSpaceDN/>
        <w:bidi w:val="0"/>
        <w:spacing w:line="360" w:lineRule="auto"/>
        <w:ind w:firstLine="602"/>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（一）部门概况</w:t>
      </w:r>
    </w:p>
    <w:p w14:paraId="55D6F76B">
      <w:pPr>
        <w:pStyle w:val="14"/>
        <w:keepNext w:val="0"/>
        <w:keepLines w:val="0"/>
        <w:pageBreakBefore w:val="0"/>
        <w:widowControl w:val="0"/>
        <w:kinsoku/>
        <w:wordWrap/>
        <w:overflowPunct/>
        <w:topLinePunct w:val="0"/>
        <w:autoSpaceDE/>
        <w:autoSpaceDN/>
        <w:bidi w:val="0"/>
        <w:spacing w:line="360" w:lineRule="auto"/>
        <w:ind w:firstLine="602"/>
        <w:textAlignment w:val="auto"/>
        <w:outlineLvl w:val="9"/>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 xml:space="preserve"> 1、部门职能</w:t>
      </w:r>
    </w:p>
    <w:p w14:paraId="5F754A13">
      <w:pPr>
        <w:pStyle w:val="4"/>
        <w:keepNext w:val="0"/>
        <w:keepLines w:val="0"/>
        <w:pageBreakBefore w:val="0"/>
        <w:widowControl w:val="0"/>
        <w:kinsoku/>
        <w:wordWrap/>
        <w:overflowPunct/>
        <w:topLinePunct w:val="0"/>
        <w:autoSpaceDE/>
        <w:autoSpaceDN/>
        <w:bidi w:val="0"/>
        <w:adjustRightInd w:val="0"/>
        <w:snapToGrid w:val="0"/>
        <w:spacing w:line="360" w:lineRule="auto"/>
        <w:ind w:left="141" w:leftChars="67" w:firstLine="6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佛祖岭街道办事处是武汉东湖高新技术开发区管委会的分支机构，按照管委会的要求，我办事处代行一级政府职能。佛祖岭街总面积8</w:t>
      </w:r>
      <w:r>
        <w:rPr>
          <w:rFonts w:hint="eastAsia" w:asciiTheme="minorEastAsia" w:hAnsiTheme="minorEastAsia" w:eastAsiaTheme="minorEastAsia" w:cstheme="minorEastAsia"/>
          <w:sz w:val="24"/>
          <w:szCs w:val="24"/>
          <w:lang w:val="en-US" w:eastAsia="zh-CN"/>
        </w:rPr>
        <w:t>3,7</w:t>
      </w:r>
      <w:r>
        <w:rPr>
          <w:rFonts w:hint="eastAsia" w:asciiTheme="minorEastAsia" w:hAnsiTheme="minorEastAsia" w:eastAsiaTheme="minorEastAsia" w:cstheme="minorEastAsia"/>
          <w:sz w:val="24"/>
          <w:szCs w:val="24"/>
        </w:rPr>
        <w:t>57.42亩，</w:t>
      </w:r>
      <w:r>
        <w:rPr>
          <w:rFonts w:hint="eastAsia" w:asciiTheme="minorEastAsia" w:hAnsiTheme="minorEastAsia" w:eastAsiaTheme="minorEastAsia" w:cstheme="minorEastAsia"/>
          <w:color w:val="auto"/>
          <w:sz w:val="24"/>
          <w:szCs w:val="24"/>
        </w:rPr>
        <w:t>全街</w:t>
      </w:r>
      <w:r>
        <w:rPr>
          <w:rFonts w:hint="eastAsia" w:asciiTheme="minorEastAsia" w:hAnsiTheme="minorEastAsia" w:eastAsiaTheme="minorEastAsia" w:cstheme="minorEastAsia"/>
          <w:color w:val="auto"/>
          <w:sz w:val="24"/>
          <w:szCs w:val="24"/>
          <w:lang w:eastAsia="zh-CN"/>
        </w:rPr>
        <w:t>共有</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sz w:val="24"/>
          <w:szCs w:val="24"/>
        </w:rPr>
        <w:t>3个村和11个居委会（大邱村、大舒村、湖口村、九夫村、泉岗村、邬家山村、牌楼舒村、大谭村、佛祖岭村、汪田村、同兴村、杨店村、宗黄村、流芳社区居委会、佛祖岭社区A区居委会、佛祖岭社区B区居委会、佛祖岭社区C区居委会、佛祖岭社区D区居委会、大邱社区居委会、湖口社区居委会、谷尚居社区居委会、万科魅力之城社区居委会、凤凰社区居委会和顺民社区居委会）。主要职能有</w:t>
      </w:r>
      <w:r>
        <w:rPr>
          <w:rFonts w:hint="eastAsia" w:asciiTheme="minorEastAsia" w:hAnsiTheme="minorEastAsia" w:eastAsiaTheme="minorEastAsia" w:cstheme="minorEastAsia"/>
          <w:sz w:val="24"/>
          <w:szCs w:val="24"/>
          <w:lang w:eastAsia="zh-CN"/>
        </w:rPr>
        <w:t>：</w:t>
      </w:r>
    </w:p>
    <w:p w14:paraId="531E140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（1）负责基层组织和群团组织建设；党风廉</w:t>
      </w:r>
      <w:r>
        <w:rPr>
          <w:rFonts w:hint="eastAsia" w:asciiTheme="minorEastAsia" w:hAnsiTheme="minorEastAsia" w:eastAsiaTheme="minorEastAsia" w:cstheme="minorEastAsia"/>
          <w:sz w:val="24"/>
          <w:szCs w:val="24"/>
          <w:lang w:eastAsia="zh-CN"/>
        </w:rPr>
        <w:t>政</w:t>
      </w:r>
      <w:r>
        <w:rPr>
          <w:rFonts w:hint="eastAsia" w:asciiTheme="minorEastAsia" w:hAnsiTheme="minorEastAsia" w:eastAsiaTheme="minorEastAsia" w:cstheme="minorEastAsia"/>
          <w:sz w:val="24"/>
          <w:szCs w:val="24"/>
        </w:rPr>
        <w:t>建设、纪检监察工作。</w:t>
      </w:r>
    </w:p>
    <w:p w14:paraId="0539E462">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（2）负责配合做好征地拆迁、违法建筑控管工作，协调做好社区建设工作，负责村民宅基地、危房及违法建筑管理、负责环境整治、创新工作，负责村民就业培训。</w:t>
      </w:r>
    </w:p>
    <w:p w14:paraId="0AA0D3C0">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（3）负责村级经济发展，社区建设，村级财务监督，管理，审计，村级集体资产监督、管理，村级经济调查统计，安全生产工作。</w:t>
      </w:r>
    </w:p>
    <w:p w14:paraId="47AD02AF">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（4）负责辖区内农、林、水事务，动物防疫、屠宰工作，渔政、蔬菜管理，毒鼠强管理。</w:t>
      </w:r>
    </w:p>
    <w:p w14:paraId="1577160C">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（5）负责计生目标管理，宣传培训，计生统计工作，办理有关证件及审批，计生药具发放与管理，流动人口计生管理，负责工会、妇联工作。</w:t>
      </w:r>
    </w:p>
    <w:p w14:paraId="631D5C4C">
      <w:pPr>
        <w:pStyle w:val="4"/>
        <w:keepNext w:val="0"/>
        <w:keepLines w:val="0"/>
        <w:pageBreakBefore w:val="0"/>
        <w:widowControl w:val="0"/>
        <w:kinsoku/>
        <w:wordWrap/>
        <w:overflowPunct/>
        <w:topLinePunct w:val="0"/>
        <w:autoSpaceDE/>
        <w:autoSpaceDN/>
        <w:bidi w:val="0"/>
        <w:adjustRightInd w:val="0"/>
        <w:snapToGrid w:val="0"/>
        <w:spacing w:line="360" w:lineRule="auto"/>
        <w:ind w:firstLine="6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（6）负责组织救灾、救济、扶贫，拥军优属、优待抚恤，村级退伍军人安置，社区、居委会管理，收容遣送，村级退休老干部管理及老年人工作，城市居民低保管理，残疾人管理，殡葬、墓地管理工作。</w:t>
      </w:r>
    </w:p>
    <w:p w14:paraId="2F561AF8">
      <w:pPr>
        <w:pStyle w:val="4"/>
        <w:keepNext w:val="0"/>
        <w:keepLines w:val="0"/>
        <w:pageBreakBefore w:val="0"/>
        <w:widowControl w:val="0"/>
        <w:kinsoku/>
        <w:wordWrap/>
        <w:overflowPunct/>
        <w:topLinePunct w:val="0"/>
        <w:autoSpaceDE/>
        <w:autoSpaceDN/>
        <w:bidi w:val="0"/>
        <w:adjustRightInd w:val="0"/>
        <w:snapToGrid w:val="0"/>
        <w:spacing w:line="360" w:lineRule="auto"/>
        <w:ind w:firstLine="6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（7）负责社会稳定，信访接处，治保民调，司法治安，户籍管理，消防安全，交通安全，110工作及黄、赌、毒治理。</w:t>
      </w:r>
    </w:p>
    <w:p w14:paraId="4E959503">
      <w:pPr>
        <w:pStyle w:val="14"/>
        <w:keepNext w:val="0"/>
        <w:keepLines w:val="0"/>
        <w:pageBreakBefore w:val="0"/>
        <w:widowControl w:val="0"/>
        <w:kinsoku/>
        <w:wordWrap/>
        <w:overflowPunct/>
        <w:topLinePunct w:val="0"/>
        <w:autoSpaceDE/>
        <w:autoSpaceDN/>
        <w:bidi w:val="0"/>
        <w:spacing w:line="360" w:lineRule="auto"/>
        <w:ind w:firstLine="602"/>
        <w:textAlignment w:val="auto"/>
        <w:outlineLvl w:val="9"/>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2、人员情况</w:t>
      </w:r>
    </w:p>
    <w:p w14:paraId="5572A85D">
      <w:pPr>
        <w:pStyle w:val="4"/>
        <w:keepNext w:val="0"/>
        <w:keepLines w:val="0"/>
        <w:pageBreakBefore w:val="0"/>
        <w:widowControl w:val="0"/>
        <w:kinsoku/>
        <w:wordWrap/>
        <w:overflowPunct/>
        <w:topLinePunct w:val="0"/>
        <w:autoSpaceDE/>
        <w:autoSpaceDN/>
        <w:bidi w:val="0"/>
        <w:spacing w:line="360" w:lineRule="auto"/>
        <w:ind w:firstLine="6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佛祖岭街道办事处，按照市编办核定的机构文件规定，设党政综合科、组纪宣、民政科、建设科、综合信访办、计划生育管理科、社会事务服务中心、财政财务中心、社区管理办公室、就业管理办公室等部门。</w:t>
      </w:r>
    </w:p>
    <w:p w14:paraId="62FE4E2E">
      <w:pPr>
        <w:pStyle w:val="4"/>
        <w:keepNext w:val="0"/>
        <w:keepLines w:val="0"/>
        <w:pageBreakBefore w:val="0"/>
        <w:widowControl w:val="0"/>
        <w:kinsoku/>
        <w:wordWrap/>
        <w:overflowPunct/>
        <w:topLinePunct w:val="0"/>
        <w:autoSpaceDE/>
        <w:autoSpaceDN/>
        <w:bidi w:val="0"/>
        <w:spacing w:line="360" w:lineRule="auto"/>
        <w:ind w:firstLine="6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年末机关实有人数51人，其中：在职行政事业编制人员28人，离退休人员3人，农村事务服务中心9人，管委会聘用人员7人，派遣人员4人。</w:t>
      </w:r>
    </w:p>
    <w:p w14:paraId="0D557819">
      <w:pPr>
        <w:pStyle w:val="4"/>
        <w:keepNext w:val="0"/>
        <w:keepLines w:val="0"/>
        <w:pageBreakBefore w:val="0"/>
        <w:widowControl w:val="0"/>
        <w:kinsoku/>
        <w:wordWrap/>
        <w:overflowPunct/>
        <w:topLinePunct w:val="0"/>
        <w:autoSpaceDE/>
        <w:autoSpaceDN/>
        <w:bidi w:val="0"/>
        <w:spacing w:line="360" w:lineRule="auto"/>
        <w:ind w:firstLine="600"/>
        <w:textAlignment w:val="auto"/>
        <w:outlineLvl w:val="9"/>
        <w:rPr>
          <w:rFonts w:hint="eastAsia" w:asciiTheme="minorEastAsia" w:hAnsiTheme="minorEastAsia" w:eastAsiaTheme="minorEastAsia" w:cstheme="minorEastAsia"/>
          <w:sz w:val="24"/>
          <w:szCs w:val="24"/>
        </w:rPr>
      </w:pPr>
    </w:p>
    <w:p w14:paraId="1801A656">
      <w:pPr>
        <w:pStyle w:val="14"/>
        <w:keepNext w:val="0"/>
        <w:keepLines w:val="0"/>
        <w:pageBreakBefore w:val="0"/>
        <w:widowControl w:val="0"/>
        <w:kinsoku/>
        <w:wordWrap/>
        <w:overflowPunct/>
        <w:topLinePunct w:val="0"/>
        <w:autoSpaceDE/>
        <w:autoSpaceDN/>
        <w:bidi w:val="0"/>
        <w:spacing w:line="360" w:lineRule="auto"/>
        <w:ind w:firstLine="602"/>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（二）部门整体支出预算绩效目标</w:t>
      </w:r>
    </w:p>
    <w:p w14:paraId="1E6C756C">
      <w:pPr>
        <w:pStyle w:val="4"/>
        <w:keepNext w:val="0"/>
        <w:keepLines w:val="0"/>
        <w:pageBreakBefore w:val="0"/>
        <w:widowControl w:val="0"/>
        <w:kinsoku/>
        <w:wordWrap/>
        <w:overflowPunct/>
        <w:topLinePunct w:val="0"/>
        <w:autoSpaceDE/>
        <w:autoSpaceDN/>
        <w:bidi w:val="0"/>
        <w:spacing w:line="360" w:lineRule="auto"/>
        <w:ind w:firstLine="6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年度绩效目标包括产出指标和效果指标，产出指标主要为产出数量指标、产出质量指标；效果指标包括经济效益、社会效益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生态效益、行政效能和社会公众或服务对象满意度指标。</w:t>
      </w:r>
    </w:p>
    <w:p w14:paraId="6413DDDA">
      <w:pPr>
        <w:pStyle w:val="14"/>
        <w:keepNext w:val="0"/>
        <w:keepLines w:val="0"/>
        <w:pageBreakBefore w:val="0"/>
        <w:widowControl w:val="0"/>
        <w:kinsoku/>
        <w:wordWrap/>
        <w:overflowPunct/>
        <w:topLinePunct w:val="0"/>
        <w:autoSpaceDE/>
        <w:autoSpaceDN/>
        <w:bidi w:val="0"/>
        <w:spacing w:line="360" w:lineRule="auto"/>
        <w:ind w:firstLine="602"/>
        <w:textAlignment w:val="auto"/>
        <w:outlineLvl w:val="9"/>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val="en-US" w:eastAsia="zh-CN"/>
        </w:rPr>
        <w:t>1、</w:t>
      </w:r>
      <w:r>
        <w:rPr>
          <w:rFonts w:hint="eastAsia" w:asciiTheme="minorEastAsia" w:hAnsiTheme="minorEastAsia" w:eastAsiaTheme="minorEastAsia" w:cstheme="minorEastAsia"/>
          <w:b/>
          <w:bCs w:val="0"/>
          <w:sz w:val="24"/>
          <w:szCs w:val="24"/>
        </w:rPr>
        <w:t>产出目标</w:t>
      </w:r>
    </w:p>
    <w:tbl>
      <w:tblPr>
        <w:tblStyle w:val="9"/>
        <w:tblpPr w:leftFromText="180" w:rightFromText="180" w:vertAnchor="text" w:tblpX="10214" w:tblpY="-3715"/>
        <w:tblOverlap w:val="never"/>
        <w:tblW w:w="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5"/>
      </w:tblGrid>
      <w:tr w14:paraId="6BE0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 w:hRule="atLeast"/>
        </w:trPr>
        <w:tc>
          <w:tcPr>
            <w:tcW w:w="506" w:type="dxa"/>
          </w:tcPr>
          <w:p w14:paraId="04FCE3FF">
            <w:pPr>
              <w:pStyle w:val="4"/>
              <w:keepNext w:val="0"/>
              <w:keepLines w:val="0"/>
              <w:pageBreakBefore w:val="0"/>
              <w:widowControl w:val="0"/>
              <w:kinsoku/>
              <w:wordWrap/>
              <w:overflowPunct/>
              <w:topLinePunct w:val="0"/>
              <w:autoSpaceDE/>
              <w:autoSpaceDN/>
              <w:bidi w:val="0"/>
              <w:spacing w:line="360" w:lineRule="auto"/>
              <w:ind w:firstLine="600"/>
              <w:textAlignment w:val="auto"/>
              <w:outlineLvl w:val="9"/>
              <w:rPr>
                <w:rFonts w:hint="eastAsia" w:asciiTheme="minorEastAsia" w:hAnsiTheme="minorEastAsia" w:eastAsiaTheme="minorEastAsia" w:cstheme="minorEastAsia"/>
                <w:sz w:val="24"/>
                <w:szCs w:val="24"/>
              </w:rPr>
            </w:pPr>
          </w:p>
        </w:tc>
      </w:tr>
      <w:tr w14:paraId="66B5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 w:hRule="atLeast"/>
        </w:trPr>
        <w:tc>
          <w:tcPr>
            <w:tcW w:w="506" w:type="dxa"/>
          </w:tcPr>
          <w:p w14:paraId="6ED2256F">
            <w:pPr>
              <w:pStyle w:val="4"/>
              <w:keepNext w:val="0"/>
              <w:keepLines w:val="0"/>
              <w:pageBreakBefore w:val="0"/>
              <w:widowControl w:val="0"/>
              <w:kinsoku/>
              <w:wordWrap/>
              <w:overflowPunct/>
              <w:topLinePunct w:val="0"/>
              <w:autoSpaceDE/>
              <w:autoSpaceDN/>
              <w:bidi w:val="0"/>
              <w:spacing w:line="360" w:lineRule="auto"/>
              <w:ind w:firstLine="600"/>
              <w:textAlignment w:val="auto"/>
              <w:outlineLvl w:val="9"/>
              <w:rPr>
                <w:rFonts w:hint="eastAsia" w:asciiTheme="minorEastAsia" w:hAnsiTheme="minorEastAsia" w:eastAsiaTheme="minorEastAsia" w:cstheme="minorEastAsia"/>
                <w:sz w:val="24"/>
                <w:szCs w:val="24"/>
              </w:rPr>
            </w:pPr>
          </w:p>
        </w:tc>
      </w:tr>
      <w:tr w14:paraId="2BD9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 w:hRule="atLeast"/>
        </w:trPr>
        <w:tc>
          <w:tcPr>
            <w:tcW w:w="506" w:type="dxa"/>
          </w:tcPr>
          <w:p w14:paraId="69071A87">
            <w:pPr>
              <w:pStyle w:val="4"/>
              <w:keepNext w:val="0"/>
              <w:keepLines w:val="0"/>
              <w:pageBreakBefore w:val="0"/>
              <w:widowControl w:val="0"/>
              <w:kinsoku/>
              <w:wordWrap/>
              <w:overflowPunct/>
              <w:topLinePunct w:val="0"/>
              <w:autoSpaceDE/>
              <w:autoSpaceDN/>
              <w:bidi w:val="0"/>
              <w:spacing w:line="360" w:lineRule="auto"/>
              <w:ind w:firstLine="600"/>
              <w:textAlignment w:val="auto"/>
              <w:outlineLvl w:val="9"/>
              <w:rPr>
                <w:rFonts w:hint="eastAsia" w:asciiTheme="minorEastAsia" w:hAnsiTheme="minorEastAsia" w:eastAsiaTheme="minorEastAsia" w:cstheme="minorEastAsia"/>
                <w:sz w:val="24"/>
                <w:szCs w:val="24"/>
              </w:rPr>
            </w:pPr>
          </w:p>
        </w:tc>
      </w:tr>
      <w:tr w14:paraId="5C7A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21" w:type="dxa"/>
            <w:gridSpan w:val="2"/>
          </w:tcPr>
          <w:p w14:paraId="04053D54">
            <w:pPr>
              <w:pStyle w:val="4"/>
              <w:keepNext w:val="0"/>
              <w:keepLines w:val="0"/>
              <w:pageBreakBefore w:val="0"/>
              <w:widowControl w:val="0"/>
              <w:kinsoku/>
              <w:wordWrap/>
              <w:overflowPunct/>
              <w:topLinePunct w:val="0"/>
              <w:autoSpaceDE/>
              <w:autoSpaceDN/>
              <w:bidi w:val="0"/>
              <w:spacing w:line="360" w:lineRule="auto"/>
              <w:ind w:firstLine="600"/>
              <w:textAlignment w:val="auto"/>
              <w:outlineLvl w:val="9"/>
              <w:rPr>
                <w:rFonts w:hint="eastAsia" w:asciiTheme="minorEastAsia" w:hAnsiTheme="minorEastAsia" w:eastAsiaTheme="minorEastAsia" w:cstheme="minorEastAsia"/>
                <w:sz w:val="24"/>
                <w:szCs w:val="24"/>
              </w:rPr>
            </w:pPr>
          </w:p>
        </w:tc>
      </w:tr>
    </w:tbl>
    <w:p w14:paraId="3E3FA1AF">
      <w:pPr>
        <w:pStyle w:val="4"/>
        <w:keepNext w:val="0"/>
        <w:keepLines w:val="0"/>
        <w:pageBreakBefore w:val="0"/>
        <w:widowControl w:val="0"/>
        <w:kinsoku/>
        <w:wordWrap/>
        <w:overflowPunct/>
        <w:topLinePunct w:val="0"/>
        <w:autoSpaceDE/>
        <w:autoSpaceDN/>
        <w:bidi w:val="0"/>
        <w:spacing w:line="360" w:lineRule="auto"/>
        <w:ind w:firstLine="600"/>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eastAsia="zh-CN"/>
        </w:rPr>
        <w:t>根据年度申报表及预算，2017年度达到以下工作目标：</w:t>
      </w:r>
      <w:r>
        <w:rPr>
          <w:rFonts w:hint="eastAsia" w:asciiTheme="minorEastAsia" w:hAnsiTheme="minorEastAsia" w:eastAsiaTheme="minorEastAsia" w:cstheme="minorEastAsia"/>
          <w:sz w:val="24"/>
          <w:szCs w:val="24"/>
        </w:rPr>
        <w:t>以聚力服务、聚焦发展、建设和谐幸福街道为目标，</w:t>
      </w:r>
      <w:r>
        <w:rPr>
          <w:rFonts w:hint="eastAsia" w:asciiTheme="minorEastAsia" w:hAnsiTheme="minorEastAsia" w:eastAsiaTheme="minorEastAsia" w:cstheme="minorEastAsia"/>
          <w:sz w:val="24"/>
          <w:szCs w:val="24"/>
          <w:lang w:eastAsia="zh-CN"/>
        </w:rPr>
        <w:t>做到</w:t>
      </w:r>
      <w:r>
        <w:rPr>
          <w:rFonts w:hint="eastAsia" w:asciiTheme="minorEastAsia" w:hAnsiTheme="minorEastAsia" w:eastAsiaTheme="minorEastAsia" w:cstheme="minorEastAsia"/>
          <w:sz w:val="24"/>
          <w:szCs w:val="24"/>
        </w:rPr>
        <w:t>以空间保障“零延误”、为民服务“零差错”、和谐稳定“零干扰”</w:t>
      </w:r>
      <w:r>
        <w:rPr>
          <w:rFonts w:hint="eastAsia" w:asciiTheme="minorEastAsia" w:hAnsiTheme="minorEastAsia" w:eastAsiaTheme="minorEastAsia" w:cstheme="minorEastAsia"/>
          <w:sz w:val="24"/>
          <w:szCs w:val="24"/>
          <w:lang w:val="en-US" w:eastAsia="zh-CN"/>
        </w:rPr>
        <w:t>;重点工作实际完成率100%,2017年下达了14个重点项目;建强组织、建强班子、建强队伍严抓作风,</w:t>
      </w:r>
      <w:r>
        <w:rPr>
          <w:rFonts w:hint="eastAsia" w:asciiTheme="minorEastAsia" w:hAnsiTheme="minorEastAsia" w:eastAsiaTheme="minorEastAsia" w:cstheme="minorEastAsia"/>
          <w:sz w:val="24"/>
          <w:szCs w:val="24"/>
          <w:lang w:eastAsia="zh-CN"/>
        </w:rPr>
        <w:t>重点完成</w:t>
      </w:r>
      <w:r>
        <w:rPr>
          <w:rFonts w:hint="eastAsia" w:asciiTheme="minorEastAsia" w:hAnsiTheme="minorEastAsia" w:eastAsiaTheme="minorEastAsia" w:cstheme="minorEastAsia"/>
          <w:sz w:val="24"/>
          <w:szCs w:val="24"/>
        </w:rPr>
        <w:t>社区“两委”班子换届选举</w:t>
      </w:r>
      <w:r>
        <w:rPr>
          <w:rFonts w:hint="eastAsia" w:asciiTheme="minorEastAsia" w:hAnsiTheme="minorEastAsia" w:eastAsiaTheme="minorEastAsia" w:cstheme="minorEastAsia"/>
          <w:sz w:val="24"/>
          <w:szCs w:val="24"/>
          <w:lang w:eastAsia="zh-CN"/>
        </w:rPr>
        <w:t>工作</w:t>
      </w:r>
      <w:r>
        <w:rPr>
          <w:rFonts w:hint="eastAsia" w:asciiTheme="minorEastAsia" w:hAnsiTheme="minorEastAsia" w:eastAsiaTheme="minorEastAsia" w:cstheme="minorEastAsia"/>
          <w:sz w:val="24"/>
          <w:szCs w:val="24"/>
          <w:lang w:val="en-US" w:eastAsia="zh-CN"/>
        </w:rPr>
        <w:t>;学习教育常态化制度化,启动社区工作者轮训计划300人次;严抓作风。继续巩固和拓展落实中央八项规定精神成果;突出社会管理，在社会稳定和安全生产上取得新突破。全国“两会”、“一带一路”、“6·4”、“6·10”、国庆中秋“双节”、WTA武汉网球公开赛、党的十九大等敏感时期零越级上访。</w:t>
      </w:r>
    </w:p>
    <w:p w14:paraId="2EA81C54">
      <w:pPr>
        <w:pStyle w:val="14"/>
        <w:keepNext w:val="0"/>
        <w:keepLines w:val="0"/>
        <w:pageBreakBefore w:val="0"/>
        <w:widowControl w:val="0"/>
        <w:kinsoku/>
        <w:wordWrap/>
        <w:overflowPunct/>
        <w:topLinePunct w:val="0"/>
        <w:autoSpaceDE/>
        <w:autoSpaceDN/>
        <w:bidi w:val="0"/>
        <w:spacing w:line="360" w:lineRule="auto"/>
        <w:ind w:firstLine="602"/>
        <w:textAlignment w:val="auto"/>
        <w:outlineLvl w:val="9"/>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2、效果目标</w:t>
      </w:r>
    </w:p>
    <w:p w14:paraId="6C1B70DC">
      <w:pPr>
        <w:pStyle w:val="4"/>
        <w:keepNext w:val="0"/>
        <w:keepLines w:val="0"/>
        <w:pageBreakBefore w:val="0"/>
        <w:widowControl w:val="0"/>
        <w:kinsoku/>
        <w:wordWrap/>
        <w:overflowPunct/>
        <w:topLinePunct w:val="0"/>
        <w:autoSpaceDE/>
        <w:autoSpaceDN/>
        <w:bidi w:val="0"/>
        <w:spacing w:line="360" w:lineRule="auto"/>
        <w:ind w:firstLine="6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聚力服务、聚焦发展、建设和谐幸福街道</w:t>
      </w:r>
      <w:r>
        <w:rPr>
          <w:rFonts w:hint="eastAsia" w:asciiTheme="minorEastAsia" w:hAnsiTheme="minorEastAsia" w:eastAsiaTheme="minorEastAsia" w:cstheme="minorEastAsia"/>
          <w:sz w:val="24"/>
          <w:szCs w:val="24"/>
          <w:lang w:val="en-US" w:eastAsia="zh-CN"/>
        </w:rPr>
        <w:t>,做到</w:t>
      </w:r>
      <w:r>
        <w:rPr>
          <w:rFonts w:hint="eastAsia" w:asciiTheme="minorEastAsia" w:hAnsiTheme="minorEastAsia" w:eastAsiaTheme="minorEastAsia" w:cstheme="minorEastAsia"/>
          <w:sz w:val="24"/>
          <w:szCs w:val="24"/>
        </w:rPr>
        <w:t>以空间保障“零延误”、为民服务“零差错”、和谐稳定“零干扰”</w:t>
      </w:r>
      <w:r>
        <w:rPr>
          <w:rFonts w:hint="eastAsia" w:asciiTheme="minorEastAsia" w:hAnsiTheme="minorEastAsia" w:eastAsiaTheme="minorEastAsia" w:cstheme="minorEastAsia"/>
          <w:sz w:val="24"/>
          <w:szCs w:val="24"/>
          <w:lang w:val="en-US" w:eastAsia="zh-CN"/>
        </w:rPr>
        <w:t>;重点项目14项,</w:t>
      </w:r>
      <w:r>
        <w:rPr>
          <w:rFonts w:hint="eastAsia" w:asciiTheme="minorEastAsia" w:hAnsiTheme="minorEastAsia" w:eastAsiaTheme="minorEastAsia" w:cstheme="minorEastAsia"/>
          <w:sz w:val="24"/>
          <w:szCs w:val="24"/>
          <w:lang w:eastAsia="zh-CN"/>
        </w:rPr>
        <w:t>完成</w:t>
      </w:r>
      <w:r>
        <w:rPr>
          <w:rFonts w:hint="eastAsia" w:asciiTheme="minorEastAsia" w:hAnsiTheme="minorEastAsia" w:eastAsiaTheme="minorEastAsia" w:cstheme="minorEastAsia"/>
          <w:sz w:val="24"/>
          <w:szCs w:val="24"/>
        </w:rPr>
        <w:t>社区“两委”班子换届选举</w:t>
      </w:r>
      <w:r>
        <w:rPr>
          <w:rFonts w:hint="eastAsia" w:asciiTheme="minorEastAsia" w:hAnsiTheme="minorEastAsia" w:eastAsiaTheme="minorEastAsia" w:cstheme="minorEastAsia"/>
          <w:sz w:val="24"/>
          <w:szCs w:val="24"/>
          <w:lang w:eastAsia="zh-CN"/>
        </w:rPr>
        <w:t>工作</w:t>
      </w:r>
      <w:r>
        <w:rPr>
          <w:rFonts w:hint="eastAsia" w:asciiTheme="minorEastAsia" w:hAnsiTheme="minorEastAsia" w:eastAsiaTheme="minorEastAsia" w:cstheme="minorEastAsia"/>
          <w:sz w:val="24"/>
          <w:szCs w:val="24"/>
          <w:lang w:val="en-US" w:eastAsia="zh-CN"/>
        </w:rPr>
        <w:t>;启动社区工作者轮训计划300人次;无违反中央八项规定的事项发生;敏感时期零越级上访。</w:t>
      </w:r>
    </w:p>
    <w:p w14:paraId="6510A2B6">
      <w:pPr>
        <w:pStyle w:val="4"/>
        <w:keepNext w:val="0"/>
        <w:keepLines w:val="0"/>
        <w:pageBreakBefore w:val="0"/>
        <w:widowControl w:val="0"/>
        <w:kinsoku/>
        <w:wordWrap/>
        <w:overflowPunct/>
        <w:topLinePunct w:val="0"/>
        <w:autoSpaceDE/>
        <w:autoSpaceDN/>
        <w:bidi w:val="0"/>
        <w:spacing w:line="360" w:lineRule="auto"/>
        <w:ind w:firstLine="600"/>
        <w:textAlignment w:val="auto"/>
        <w:outlineLvl w:val="9"/>
        <w:rPr>
          <w:rFonts w:hint="eastAsia" w:asciiTheme="minorEastAsia" w:hAnsiTheme="minorEastAsia" w:eastAsiaTheme="minorEastAsia" w:cstheme="minorEastAsia"/>
          <w:sz w:val="24"/>
          <w:szCs w:val="24"/>
          <w:lang w:eastAsia="zh-CN"/>
        </w:rPr>
      </w:pPr>
    </w:p>
    <w:p w14:paraId="7B2B9969">
      <w:pPr>
        <w:pStyle w:val="14"/>
        <w:keepNext w:val="0"/>
        <w:keepLines w:val="0"/>
        <w:pageBreakBefore w:val="0"/>
        <w:widowControl w:val="0"/>
        <w:kinsoku/>
        <w:wordWrap/>
        <w:overflowPunct/>
        <w:topLinePunct w:val="0"/>
        <w:autoSpaceDE/>
        <w:autoSpaceDN/>
        <w:bidi w:val="0"/>
        <w:spacing w:line="360" w:lineRule="auto"/>
        <w:ind w:left="420" w:leftChars="200" w:firstLine="241" w:firstLineChars="1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部门整体支出绩效分析</w:t>
      </w:r>
    </w:p>
    <w:p w14:paraId="25C9BFA5">
      <w:pPr>
        <w:pStyle w:val="14"/>
        <w:keepNext w:val="0"/>
        <w:keepLines w:val="0"/>
        <w:pageBreakBefore w:val="0"/>
        <w:widowControl w:val="0"/>
        <w:kinsoku/>
        <w:wordWrap/>
        <w:overflowPunct/>
        <w:topLinePunct w:val="0"/>
        <w:autoSpaceDE/>
        <w:autoSpaceDN/>
        <w:bidi w:val="0"/>
        <w:spacing w:line="360" w:lineRule="auto"/>
        <w:ind w:left="420" w:leftChars="200" w:firstLine="241" w:firstLineChars="1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（一）部门整体支出情况</w:t>
      </w:r>
    </w:p>
    <w:p w14:paraId="7A9E4E16">
      <w:pPr>
        <w:pStyle w:val="14"/>
        <w:keepNext w:val="0"/>
        <w:keepLines w:val="0"/>
        <w:pageBreakBefore w:val="0"/>
        <w:widowControl w:val="0"/>
        <w:kinsoku/>
        <w:wordWrap/>
        <w:overflowPunct/>
        <w:topLinePunct w:val="0"/>
        <w:autoSpaceDE/>
        <w:autoSpaceDN/>
        <w:bidi w:val="0"/>
        <w:spacing w:line="360" w:lineRule="auto"/>
        <w:ind w:left="420" w:leftChars="200" w:firstLine="241" w:firstLineChars="1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1、支出规模和结构</w:t>
      </w:r>
    </w:p>
    <w:p w14:paraId="30486848">
      <w:pPr>
        <w:pStyle w:val="4"/>
        <w:keepNext w:val="0"/>
        <w:keepLines w:val="0"/>
        <w:pageBreakBefore w:val="0"/>
        <w:widowControl w:val="0"/>
        <w:kinsoku/>
        <w:wordWrap/>
        <w:overflowPunct/>
        <w:topLinePunct w:val="0"/>
        <w:autoSpaceDE/>
        <w:autoSpaceDN/>
        <w:bidi w:val="0"/>
        <w:spacing w:line="360" w:lineRule="auto"/>
        <w:ind w:firstLine="6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市人民政府关于编制2017年市级财政预算和2017-2019年重点领域中期财政规划的通知》（武政[2016]40号）和市财政局《关于东湖新技术开发区管委会2017年预算的批复》（武财预函[2017]58号）的预算批复，按照支出经济分类：</w:t>
      </w:r>
    </w:p>
    <w:p w14:paraId="2C6E467E">
      <w:pPr>
        <w:keepNext w:val="0"/>
        <w:keepLines w:val="0"/>
        <w:pageBreakBefore w:val="0"/>
        <w:widowControl w:val="0"/>
        <w:kinsoku/>
        <w:wordWrap/>
        <w:overflowPunct/>
        <w:topLinePunct w:val="0"/>
        <w:autoSpaceDE/>
        <w:autoSpaceDN/>
        <w:bidi w:val="0"/>
        <w:spacing w:line="360" w:lineRule="auto"/>
        <w:ind w:firstLine="360" w:firstLineChars="15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（万元）</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0"/>
        <w:gridCol w:w="2410"/>
        <w:gridCol w:w="2602"/>
      </w:tblGrid>
      <w:tr w14:paraId="7AFA71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trPr>
        <w:tc>
          <w:tcPr>
            <w:tcW w:w="3510" w:type="dxa"/>
            <w:vAlign w:val="top"/>
          </w:tcPr>
          <w:p w14:paraId="659D5733">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支出项目</w:t>
            </w:r>
          </w:p>
        </w:tc>
        <w:tc>
          <w:tcPr>
            <w:tcW w:w="2410" w:type="dxa"/>
            <w:vAlign w:val="top"/>
          </w:tcPr>
          <w:p w14:paraId="69403437">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预算数</w:t>
            </w:r>
          </w:p>
        </w:tc>
        <w:tc>
          <w:tcPr>
            <w:tcW w:w="2602" w:type="dxa"/>
            <w:vAlign w:val="top"/>
          </w:tcPr>
          <w:p w14:paraId="58BBF5A2">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决算数</w:t>
            </w:r>
          </w:p>
        </w:tc>
      </w:tr>
      <w:tr w14:paraId="2E247D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510" w:type="dxa"/>
            <w:vAlign w:val="top"/>
          </w:tcPr>
          <w:p w14:paraId="58BC7A67">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基本支出:</w:t>
            </w:r>
          </w:p>
        </w:tc>
        <w:tc>
          <w:tcPr>
            <w:tcW w:w="2410" w:type="dxa"/>
            <w:vAlign w:val="top"/>
          </w:tcPr>
          <w:p w14:paraId="5889E900">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1,584.51</w:t>
            </w:r>
          </w:p>
        </w:tc>
        <w:tc>
          <w:tcPr>
            <w:tcW w:w="2602" w:type="dxa"/>
            <w:vAlign w:val="top"/>
          </w:tcPr>
          <w:p w14:paraId="42345167">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1,866.67</w:t>
            </w:r>
          </w:p>
        </w:tc>
      </w:tr>
      <w:tr w14:paraId="0F214C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 w:hRule="atLeast"/>
        </w:trPr>
        <w:tc>
          <w:tcPr>
            <w:tcW w:w="3510" w:type="dxa"/>
            <w:vAlign w:val="top"/>
          </w:tcPr>
          <w:p w14:paraId="28999BEC">
            <w:pPr>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工资福利支出</w:t>
            </w:r>
          </w:p>
        </w:tc>
        <w:tc>
          <w:tcPr>
            <w:tcW w:w="2410" w:type="dxa"/>
            <w:vAlign w:val="top"/>
          </w:tcPr>
          <w:p w14:paraId="50E93369">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745.17</w:t>
            </w:r>
          </w:p>
        </w:tc>
        <w:tc>
          <w:tcPr>
            <w:tcW w:w="2602" w:type="dxa"/>
            <w:vAlign w:val="top"/>
          </w:tcPr>
          <w:p w14:paraId="76E842F2">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1,317.37</w:t>
            </w:r>
          </w:p>
        </w:tc>
      </w:tr>
      <w:tr w14:paraId="4AB3D1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 w:hRule="atLeast"/>
        </w:trPr>
        <w:tc>
          <w:tcPr>
            <w:tcW w:w="3510" w:type="dxa"/>
            <w:vAlign w:val="top"/>
          </w:tcPr>
          <w:p w14:paraId="36967810">
            <w:pPr>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对个人和家庭的补助</w:t>
            </w:r>
          </w:p>
        </w:tc>
        <w:tc>
          <w:tcPr>
            <w:tcW w:w="2410" w:type="dxa"/>
            <w:vAlign w:val="top"/>
          </w:tcPr>
          <w:p w14:paraId="54B6C1EC">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198.34</w:t>
            </w:r>
          </w:p>
        </w:tc>
        <w:tc>
          <w:tcPr>
            <w:tcW w:w="2602" w:type="dxa"/>
            <w:vAlign w:val="top"/>
          </w:tcPr>
          <w:p w14:paraId="321A743A">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208.42</w:t>
            </w:r>
          </w:p>
        </w:tc>
      </w:tr>
      <w:tr w14:paraId="0D55E3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 w:hRule="atLeast"/>
        </w:trPr>
        <w:tc>
          <w:tcPr>
            <w:tcW w:w="3510" w:type="dxa"/>
            <w:vAlign w:val="top"/>
          </w:tcPr>
          <w:p w14:paraId="675709CE">
            <w:pPr>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商品和服务支出</w:t>
            </w:r>
          </w:p>
        </w:tc>
        <w:tc>
          <w:tcPr>
            <w:tcW w:w="2410" w:type="dxa"/>
            <w:vAlign w:val="top"/>
          </w:tcPr>
          <w:p w14:paraId="4EE304A5">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206.00</w:t>
            </w:r>
          </w:p>
        </w:tc>
        <w:tc>
          <w:tcPr>
            <w:tcW w:w="2602" w:type="dxa"/>
            <w:vAlign w:val="top"/>
          </w:tcPr>
          <w:p w14:paraId="5128BF74">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321.30</w:t>
            </w:r>
          </w:p>
        </w:tc>
      </w:tr>
      <w:tr w14:paraId="2BE4FE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 w:hRule="atLeast"/>
        </w:trPr>
        <w:tc>
          <w:tcPr>
            <w:tcW w:w="3510" w:type="dxa"/>
            <w:vAlign w:val="top"/>
          </w:tcPr>
          <w:p w14:paraId="63BB129C">
            <w:pPr>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其他资本性支出</w:t>
            </w:r>
          </w:p>
        </w:tc>
        <w:tc>
          <w:tcPr>
            <w:tcW w:w="2410" w:type="dxa"/>
            <w:vAlign w:val="top"/>
          </w:tcPr>
          <w:p w14:paraId="1D5FA1F9">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2602" w:type="dxa"/>
            <w:vAlign w:val="top"/>
          </w:tcPr>
          <w:p w14:paraId="5CAB97A0">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19.58</w:t>
            </w:r>
          </w:p>
        </w:tc>
      </w:tr>
      <w:tr w14:paraId="594FA4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 w:hRule="atLeast"/>
        </w:trPr>
        <w:tc>
          <w:tcPr>
            <w:tcW w:w="3510" w:type="dxa"/>
            <w:vAlign w:val="top"/>
          </w:tcPr>
          <w:p w14:paraId="78623DCE">
            <w:pPr>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往来户可用资金</w:t>
            </w:r>
          </w:p>
        </w:tc>
        <w:tc>
          <w:tcPr>
            <w:tcW w:w="2410" w:type="dxa"/>
            <w:vAlign w:val="top"/>
          </w:tcPr>
          <w:p w14:paraId="2152833C">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435.00</w:t>
            </w:r>
          </w:p>
        </w:tc>
        <w:tc>
          <w:tcPr>
            <w:tcW w:w="2602" w:type="dxa"/>
            <w:vAlign w:val="top"/>
          </w:tcPr>
          <w:p w14:paraId="1E05F706">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r>
      <w:tr w14:paraId="598E2A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 w:hRule="atLeast"/>
        </w:trPr>
        <w:tc>
          <w:tcPr>
            <w:tcW w:w="3510" w:type="dxa"/>
            <w:vAlign w:val="top"/>
          </w:tcPr>
          <w:p w14:paraId="19602419">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项目支出</w:t>
            </w:r>
          </w:p>
        </w:tc>
        <w:tc>
          <w:tcPr>
            <w:tcW w:w="2410" w:type="dxa"/>
            <w:vAlign w:val="top"/>
          </w:tcPr>
          <w:p w14:paraId="1BCC2B71">
            <w:pPr>
              <w:spacing w:line="360" w:lineRule="auto"/>
              <w:jc w:val="righ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2,058.62</w:t>
            </w:r>
          </w:p>
        </w:tc>
        <w:tc>
          <w:tcPr>
            <w:tcW w:w="2602" w:type="dxa"/>
            <w:vAlign w:val="top"/>
          </w:tcPr>
          <w:p w14:paraId="37478076">
            <w:pPr>
              <w:spacing w:line="360" w:lineRule="auto"/>
              <w:jc w:val="righ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1,893.99</w:t>
            </w:r>
          </w:p>
        </w:tc>
      </w:tr>
      <w:tr w14:paraId="618BB7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 w:hRule="atLeast"/>
        </w:trPr>
        <w:tc>
          <w:tcPr>
            <w:tcW w:w="3510" w:type="dxa"/>
            <w:vAlign w:val="top"/>
          </w:tcPr>
          <w:p w14:paraId="09E125A7">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rPr>
              <w:t>计</w:t>
            </w:r>
          </w:p>
        </w:tc>
        <w:tc>
          <w:tcPr>
            <w:tcW w:w="2410" w:type="dxa"/>
            <w:vAlign w:val="top"/>
          </w:tcPr>
          <w:p w14:paraId="325BCDB0">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3,627.80</w:t>
            </w:r>
          </w:p>
        </w:tc>
        <w:tc>
          <w:tcPr>
            <w:tcW w:w="2602" w:type="dxa"/>
            <w:vAlign w:val="top"/>
          </w:tcPr>
          <w:p w14:paraId="5AF7DB94">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4,153.73</w:t>
            </w:r>
          </w:p>
        </w:tc>
      </w:tr>
    </w:tbl>
    <w:p w14:paraId="42BEE545">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2、基本支出情况</w:t>
      </w:r>
    </w:p>
    <w:p w14:paraId="7C5B27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2"/>
          <w:sz w:val="24"/>
          <w:szCs w:val="24"/>
          <w:lang w:val="en-US" w:eastAsia="zh-CN" w:bidi="ar-SA"/>
        </w:rPr>
        <w:t xml:space="preserve">我办基本支出的范围和主要用途包括人员经费和日常公用经费。具体包括：工资福利支出、对个人和家庭的补助、商品和服务支出、其他资本性支出和往来户可用资金。基本支出的管理和使用情况如下：   </w:t>
      </w:r>
      <w:r>
        <w:rPr>
          <w:rFonts w:hint="eastAsia" w:asciiTheme="minorEastAsia" w:hAnsiTheme="minorEastAsia" w:eastAsiaTheme="minorEastAsia" w:cstheme="minorEastAsia"/>
          <w:bCs/>
          <w:sz w:val="24"/>
          <w:szCs w:val="24"/>
        </w:rPr>
        <w:t xml:space="preserve">  </w:t>
      </w:r>
    </w:p>
    <w:p w14:paraId="3DDCE4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222222"/>
          <w:kern w:val="0"/>
          <w:sz w:val="24"/>
          <w:szCs w:val="24"/>
          <w:lang w:val="en-US" w:eastAsia="zh-CN"/>
        </w:rPr>
      </w:pPr>
      <w:r>
        <w:rPr>
          <w:rFonts w:hint="eastAsia" w:asciiTheme="minorEastAsia" w:hAnsiTheme="minorEastAsia" w:eastAsiaTheme="minorEastAsia" w:cstheme="minorEastAsia"/>
          <w:bCs/>
          <w:sz w:val="24"/>
          <w:szCs w:val="24"/>
          <w:lang w:val="en-US" w:eastAsia="zh-CN"/>
        </w:rPr>
        <w:t xml:space="preserve">                                                         （万元）</w:t>
      </w:r>
      <w:r>
        <w:rPr>
          <w:rFonts w:hint="eastAsia" w:asciiTheme="minorEastAsia" w:hAnsiTheme="minorEastAsia" w:eastAsiaTheme="minorEastAsia" w:cstheme="minorEastAsia"/>
          <w:color w:val="222222"/>
          <w:kern w:val="0"/>
          <w:sz w:val="24"/>
          <w:szCs w:val="24"/>
        </w:rPr>
        <w:t xml:space="preserve">   </w:t>
      </w:r>
      <w:r>
        <w:rPr>
          <w:rFonts w:hint="default" w:ascii="Times New Roman" w:hAnsi="Times New Roman" w:cs="Times New Roman" w:eastAsiaTheme="minorEastAsia"/>
          <w:color w:val="222222"/>
          <w:kern w:val="0"/>
          <w:sz w:val="24"/>
          <w:szCs w:val="24"/>
        </w:rPr>
        <w:t xml:space="preserve">                       </w:t>
      </w:r>
      <w:r>
        <w:rPr>
          <w:rFonts w:hint="default" w:ascii="Times New Roman" w:hAnsi="Times New Roman" w:cs="Times New Roman"/>
          <w:color w:val="222222"/>
          <w:kern w:val="0"/>
          <w:sz w:val="24"/>
          <w:szCs w:val="24"/>
          <w:lang w:val="en-US" w:eastAsia="zh-CN"/>
        </w:rPr>
        <w:t xml:space="preserve">                                                                        </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52"/>
        <w:gridCol w:w="1559"/>
        <w:gridCol w:w="1418"/>
        <w:gridCol w:w="1893"/>
      </w:tblGrid>
      <w:tr w14:paraId="070628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3AEAC045">
            <w:pPr>
              <w:spacing w:line="360" w:lineRule="auto"/>
              <w:jc w:val="center"/>
              <w:rPr>
                <w:rFonts w:hint="eastAsia"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基本支出项目</w:t>
            </w:r>
          </w:p>
        </w:tc>
        <w:tc>
          <w:tcPr>
            <w:tcW w:w="1559" w:type="dxa"/>
          </w:tcPr>
          <w:p w14:paraId="3F024849">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预算数</w:t>
            </w:r>
          </w:p>
        </w:tc>
        <w:tc>
          <w:tcPr>
            <w:tcW w:w="1418" w:type="dxa"/>
          </w:tcPr>
          <w:p w14:paraId="5E2C270F">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决算数</w:t>
            </w:r>
          </w:p>
        </w:tc>
        <w:tc>
          <w:tcPr>
            <w:tcW w:w="1893" w:type="dxa"/>
          </w:tcPr>
          <w:p w14:paraId="57DC2CDF">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增减百分比（%）</w:t>
            </w:r>
          </w:p>
        </w:tc>
      </w:tr>
      <w:tr w14:paraId="797C1C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4DF94DF9">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1、工资福利支出</w:t>
            </w:r>
          </w:p>
        </w:tc>
        <w:tc>
          <w:tcPr>
            <w:tcW w:w="1559" w:type="dxa"/>
          </w:tcPr>
          <w:p w14:paraId="3F4C34E6">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745.17</w:t>
            </w:r>
          </w:p>
        </w:tc>
        <w:tc>
          <w:tcPr>
            <w:tcW w:w="1418" w:type="dxa"/>
          </w:tcPr>
          <w:p w14:paraId="291E0201">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1,317.37</w:t>
            </w:r>
          </w:p>
        </w:tc>
        <w:tc>
          <w:tcPr>
            <w:tcW w:w="1893" w:type="dxa"/>
          </w:tcPr>
          <w:p w14:paraId="129E12D6">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76.79%</w:t>
            </w:r>
          </w:p>
        </w:tc>
      </w:tr>
      <w:tr w14:paraId="7B11FB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29C09DE8">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基本工资</w:t>
            </w:r>
          </w:p>
        </w:tc>
        <w:tc>
          <w:tcPr>
            <w:tcW w:w="1559" w:type="dxa"/>
          </w:tcPr>
          <w:p w14:paraId="1295B964">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153.21</w:t>
            </w:r>
          </w:p>
        </w:tc>
        <w:tc>
          <w:tcPr>
            <w:tcW w:w="1418" w:type="dxa"/>
          </w:tcPr>
          <w:p w14:paraId="04A7CDF7">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114.09</w:t>
            </w:r>
          </w:p>
        </w:tc>
        <w:tc>
          <w:tcPr>
            <w:tcW w:w="1893" w:type="dxa"/>
          </w:tcPr>
          <w:p w14:paraId="04DD1056">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-25.53%</w:t>
            </w:r>
          </w:p>
        </w:tc>
      </w:tr>
      <w:tr w14:paraId="1B2D28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7F530499">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津贴补贴</w:t>
            </w:r>
          </w:p>
        </w:tc>
        <w:tc>
          <w:tcPr>
            <w:tcW w:w="1559" w:type="dxa"/>
          </w:tcPr>
          <w:p w14:paraId="67692834">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129.27</w:t>
            </w:r>
          </w:p>
        </w:tc>
        <w:tc>
          <w:tcPr>
            <w:tcW w:w="1418" w:type="dxa"/>
          </w:tcPr>
          <w:p w14:paraId="604DC14F">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306.27</w:t>
            </w:r>
          </w:p>
        </w:tc>
        <w:tc>
          <w:tcPr>
            <w:tcW w:w="1893" w:type="dxa"/>
          </w:tcPr>
          <w:p w14:paraId="3ABBDC29">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136.92%</w:t>
            </w:r>
          </w:p>
        </w:tc>
      </w:tr>
      <w:tr w14:paraId="00ABE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0374071E">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奖金（年终一次性）</w:t>
            </w:r>
          </w:p>
        </w:tc>
        <w:tc>
          <w:tcPr>
            <w:tcW w:w="1559" w:type="dxa"/>
            <w:vAlign w:val="center"/>
          </w:tcPr>
          <w:p w14:paraId="23EC86DF">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9.88</w:t>
            </w:r>
          </w:p>
        </w:tc>
        <w:tc>
          <w:tcPr>
            <w:tcW w:w="1418" w:type="dxa"/>
            <w:vAlign w:val="center"/>
          </w:tcPr>
          <w:p w14:paraId="0E5C085C">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449.60</w:t>
            </w:r>
          </w:p>
        </w:tc>
        <w:tc>
          <w:tcPr>
            <w:tcW w:w="1893" w:type="dxa"/>
            <w:vAlign w:val="center"/>
          </w:tcPr>
          <w:p w14:paraId="74D80DB9">
            <w:pPr>
              <w:spacing w:line="360" w:lineRule="auto"/>
              <w:jc w:val="right"/>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4,4</w:t>
            </w:r>
            <w:r>
              <w:rPr>
                <w:rFonts w:hint="default" w:ascii="Times New Roman" w:hAnsi="Times New Roman" w:cs="Times New Roman" w:eastAsiaTheme="minorEastAsia"/>
                <w:sz w:val="21"/>
                <w:szCs w:val="21"/>
              </w:rPr>
              <w:t>50.61%</w:t>
            </w:r>
          </w:p>
        </w:tc>
      </w:tr>
      <w:tr w14:paraId="729D8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2C490EBB">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其他社会保障缴费</w:t>
            </w:r>
          </w:p>
        </w:tc>
        <w:tc>
          <w:tcPr>
            <w:tcW w:w="1559" w:type="dxa"/>
            <w:vAlign w:val="center"/>
          </w:tcPr>
          <w:p w14:paraId="2C4AD216">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50.84</w:t>
            </w:r>
          </w:p>
        </w:tc>
        <w:tc>
          <w:tcPr>
            <w:tcW w:w="1418" w:type="dxa"/>
            <w:vAlign w:val="center"/>
          </w:tcPr>
          <w:p w14:paraId="153BACE6">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48.27</w:t>
            </w:r>
          </w:p>
        </w:tc>
        <w:tc>
          <w:tcPr>
            <w:tcW w:w="1893" w:type="dxa"/>
            <w:vAlign w:val="center"/>
          </w:tcPr>
          <w:p w14:paraId="0CF812BB">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-5.06%</w:t>
            </w:r>
          </w:p>
        </w:tc>
      </w:tr>
      <w:tr w14:paraId="6BF5D2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4FFDC5C1">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绩效工资</w:t>
            </w:r>
          </w:p>
        </w:tc>
        <w:tc>
          <w:tcPr>
            <w:tcW w:w="1559" w:type="dxa"/>
          </w:tcPr>
          <w:p w14:paraId="45EA5F94">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211.97</w:t>
            </w:r>
          </w:p>
        </w:tc>
        <w:tc>
          <w:tcPr>
            <w:tcW w:w="1418" w:type="dxa"/>
          </w:tcPr>
          <w:p w14:paraId="6BBB0DC1">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315.21</w:t>
            </w:r>
          </w:p>
        </w:tc>
        <w:tc>
          <w:tcPr>
            <w:tcW w:w="1893" w:type="dxa"/>
          </w:tcPr>
          <w:p w14:paraId="5413816D">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48.71%</w:t>
            </w:r>
          </w:p>
        </w:tc>
      </w:tr>
      <w:tr w14:paraId="0539EA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28EC51B3">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其他工资福利支出</w:t>
            </w:r>
          </w:p>
        </w:tc>
        <w:tc>
          <w:tcPr>
            <w:tcW w:w="1559" w:type="dxa"/>
            <w:vAlign w:val="center"/>
          </w:tcPr>
          <w:p w14:paraId="62079D7D">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190.00</w:t>
            </w:r>
          </w:p>
        </w:tc>
        <w:tc>
          <w:tcPr>
            <w:tcW w:w="1418" w:type="dxa"/>
            <w:vAlign w:val="center"/>
          </w:tcPr>
          <w:p w14:paraId="789D850E">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893" w:type="dxa"/>
            <w:vAlign w:val="center"/>
          </w:tcPr>
          <w:p w14:paraId="25838038">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-100%</w:t>
            </w:r>
          </w:p>
        </w:tc>
      </w:tr>
      <w:tr w14:paraId="3D6F34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73B75883">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机关事业单位基本养老保险缴费</w:t>
            </w:r>
          </w:p>
        </w:tc>
        <w:tc>
          <w:tcPr>
            <w:tcW w:w="1559" w:type="dxa"/>
            <w:vAlign w:val="center"/>
          </w:tcPr>
          <w:p w14:paraId="61B15C08">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418" w:type="dxa"/>
            <w:vAlign w:val="center"/>
          </w:tcPr>
          <w:p w14:paraId="1E3DC191">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45.98</w:t>
            </w:r>
          </w:p>
        </w:tc>
        <w:tc>
          <w:tcPr>
            <w:tcW w:w="1893" w:type="dxa"/>
            <w:vAlign w:val="center"/>
          </w:tcPr>
          <w:p w14:paraId="6D7D07E3">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r>
      <w:tr w14:paraId="1E8941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3FC3D9CF">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职业年金缴费</w:t>
            </w:r>
          </w:p>
        </w:tc>
        <w:tc>
          <w:tcPr>
            <w:tcW w:w="1559" w:type="dxa"/>
          </w:tcPr>
          <w:p w14:paraId="76A6630B">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418" w:type="dxa"/>
          </w:tcPr>
          <w:p w14:paraId="5DCE0A80">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37.95</w:t>
            </w:r>
          </w:p>
        </w:tc>
        <w:tc>
          <w:tcPr>
            <w:tcW w:w="1893" w:type="dxa"/>
          </w:tcPr>
          <w:p w14:paraId="2BD4AF5A">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r>
      <w:tr w14:paraId="2C4D0A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4EFA073D">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2、对个人和家庭的补助</w:t>
            </w:r>
          </w:p>
        </w:tc>
        <w:tc>
          <w:tcPr>
            <w:tcW w:w="1559" w:type="dxa"/>
            <w:vAlign w:val="center"/>
          </w:tcPr>
          <w:p w14:paraId="08D70ADD">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198.34</w:t>
            </w:r>
          </w:p>
        </w:tc>
        <w:tc>
          <w:tcPr>
            <w:tcW w:w="1418" w:type="dxa"/>
            <w:vAlign w:val="center"/>
          </w:tcPr>
          <w:p w14:paraId="469F9D56">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321.30</w:t>
            </w:r>
          </w:p>
        </w:tc>
        <w:tc>
          <w:tcPr>
            <w:tcW w:w="1893" w:type="dxa"/>
            <w:vAlign w:val="center"/>
          </w:tcPr>
          <w:p w14:paraId="3CB35F92">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61.99%</w:t>
            </w:r>
          </w:p>
        </w:tc>
      </w:tr>
      <w:tr w14:paraId="3A0395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4CE59698">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退休费</w:t>
            </w:r>
          </w:p>
        </w:tc>
        <w:tc>
          <w:tcPr>
            <w:tcW w:w="1559" w:type="dxa"/>
          </w:tcPr>
          <w:p w14:paraId="735F6B08">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12.55</w:t>
            </w:r>
          </w:p>
        </w:tc>
        <w:tc>
          <w:tcPr>
            <w:tcW w:w="1418" w:type="dxa"/>
          </w:tcPr>
          <w:p w14:paraId="0CB95719">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17.61</w:t>
            </w:r>
          </w:p>
        </w:tc>
        <w:tc>
          <w:tcPr>
            <w:tcW w:w="1893" w:type="dxa"/>
          </w:tcPr>
          <w:p w14:paraId="6C542C7D">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40.32%</w:t>
            </w:r>
          </w:p>
        </w:tc>
      </w:tr>
      <w:tr w14:paraId="570614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55FE297C">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抚恤金</w:t>
            </w:r>
          </w:p>
        </w:tc>
        <w:tc>
          <w:tcPr>
            <w:tcW w:w="1559" w:type="dxa"/>
          </w:tcPr>
          <w:p w14:paraId="123A9DF4">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418" w:type="dxa"/>
          </w:tcPr>
          <w:p w14:paraId="39BA741C">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1.09</w:t>
            </w:r>
          </w:p>
        </w:tc>
        <w:tc>
          <w:tcPr>
            <w:tcW w:w="1893" w:type="dxa"/>
          </w:tcPr>
          <w:p w14:paraId="0910A032">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r>
      <w:tr w14:paraId="1DED82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4A4B36E2">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生活补助</w:t>
            </w:r>
          </w:p>
        </w:tc>
        <w:tc>
          <w:tcPr>
            <w:tcW w:w="1559" w:type="dxa"/>
          </w:tcPr>
          <w:p w14:paraId="5AA185CC">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418" w:type="dxa"/>
          </w:tcPr>
          <w:p w14:paraId="3F9228CA">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32.41</w:t>
            </w:r>
          </w:p>
        </w:tc>
        <w:tc>
          <w:tcPr>
            <w:tcW w:w="1893" w:type="dxa"/>
          </w:tcPr>
          <w:p w14:paraId="3C70C78B">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r>
      <w:tr w14:paraId="2125EB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51BC5D05">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医疗费</w:t>
            </w:r>
          </w:p>
        </w:tc>
        <w:tc>
          <w:tcPr>
            <w:tcW w:w="1559" w:type="dxa"/>
          </w:tcPr>
          <w:p w14:paraId="0AF883AC">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38.60</w:t>
            </w:r>
          </w:p>
        </w:tc>
        <w:tc>
          <w:tcPr>
            <w:tcW w:w="1418" w:type="dxa"/>
          </w:tcPr>
          <w:p w14:paraId="4F172074">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38.6</w:t>
            </w:r>
          </w:p>
        </w:tc>
        <w:tc>
          <w:tcPr>
            <w:tcW w:w="1893" w:type="dxa"/>
          </w:tcPr>
          <w:p w14:paraId="312DF265">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r>
      <w:tr w14:paraId="30C3A3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2F0C0A62">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住房公积金</w:t>
            </w:r>
          </w:p>
        </w:tc>
        <w:tc>
          <w:tcPr>
            <w:tcW w:w="1559" w:type="dxa"/>
          </w:tcPr>
          <w:p w14:paraId="044C2DE0">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90.43</w:t>
            </w:r>
          </w:p>
        </w:tc>
        <w:tc>
          <w:tcPr>
            <w:tcW w:w="1418" w:type="dxa"/>
          </w:tcPr>
          <w:p w14:paraId="3EF0D6F8">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207.73</w:t>
            </w:r>
          </w:p>
        </w:tc>
        <w:tc>
          <w:tcPr>
            <w:tcW w:w="1893" w:type="dxa"/>
          </w:tcPr>
          <w:p w14:paraId="260DFB36">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129.71%</w:t>
            </w:r>
          </w:p>
        </w:tc>
      </w:tr>
      <w:tr w14:paraId="410C89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3E1C45B7">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提租补贴</w:t>
            </w:r>
          </w:p>
        </w:tc>
        <w:tc>
          <w:tcPr>
            <w:tcW w:w="1559" w:type="dxa"/>
          </w:tcPr>
          <w:p w14:paraId="7FF08C14">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13.54</w:t>
            </w:r>
          </w:p>
        </w:tc>
        <w:tc>
          <w:tcPr>
            <w:tcW w:w="1418" w:type="dxa"/>
          </w:tcPr>
          <w:p w14:paraId="4AF6EF10">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13.54</w:t>
            </w:r>
          </w:p>
        </w:tc>
        <w:tc>
          <w:tcPr>
            <w:tcW w:w="1893" w:type="dxa"/>
          </w:tcPr>
          <w:p w14:paraId="7A2E0A87">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r>
      <w:tr w14:paraId="3C403E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04B5EE80">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物业服务补贴</w:t>
            </w:r>
          </w:p>
        </w:tc>
        <w:tc>
          <w:tcPr>
            <w:tcW w:w="1559" w:type="dxa"/>
          </w:tcPr>
          <w:p w14:paraId="0B60D055">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10.32</w:t>
            </w:r>
          </w:p>
        </w:tc>
        <w:tc>
          <w:tcPr>
            <w:tcW w:w="1418" w:type="dxa"/>
          </w:tcPr>
          <w:p w14:paraId="3E02F18D">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10.32</w:t>
            </w:r>
          </w:p>
        </w:tc>
        <w:tc>
          <w:tcPr>
            <w:tcW w:w="1893" w:type="dxa"/>
          </w:tcPr>
          <w:p w14:paraId="30190450">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r>
      <w:tr w14:paraId="3851B1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1B5F1299">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其他对个人和家庭的补助支出</w:t>
            </w:r>
          </w:p>
        </w:tc>
        <w:tc>
          <w:tcPr>
            <w:tcW w:w="1559" w:type="dxa"/>
            <w:vAlign w:val="center"/>
          </w:tcPr>
          <w:p w14:paraId="238A8581">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32.90</w:t>
            </w:r>
          </w:p>
        </w:tc>
        <w:tc>
          <w:tcPr>
            <w:tcW w:w="1418" w:type="dxa"/>
            <w:vAlign w:val="center"/>
          </w:tcPr>
          <w:p w14:paraId="03EC17B0">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893" w:type="dxa"/>
            <w:vAlign w:val="center"/>
          </w:tcPr>
          <w:p w14:paraId="1FCE7408">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-100%</w:t>
            </w:r>
          </w:p>
        </w:tc>
      </w:tr>
      <w:tr w14:paraId="547059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0C20548D">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3、商品和服务支出</w:t>
            </w:r>
          </w:p>
        </w:tc>
        <w:tc>
          <w:tcPr>
            <w:tcW w:w="1559" w:type="dxa"/>
            <w:vAlign w:val="center"/>
          </w:tcPr>
          <w:p w14:paraId="3591B85C">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206.00</w:t>
            </w:r>
          </w:p>
        </w:tc>
        <w:tc>
          <w:tcPr>
            <w:tcW w:w="1418" w:type="dxa"/>
            <w:vAlign w:val="center"/>
          </w:tcPr>
          <w:p w14:paraId="5A93E90A">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208.42</w:t>
            </w:r>
          </w:p>
        </w:tc>
        <w:tc>
          <w:tcPr>
            <w:tcW w:w="1893" w:type="dxa"/>
            <w:vAlign w:val="center"/>
          </w:tcPr>
          <w:p w14:paraId="34A67118">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1.17%</w:t>
            </w:r>
          </w:p>
        </w:tc>
      </w:tr>
      <w:tr w14:paraId="44765C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2FFDCEA6">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日常公用经费</w:t>
            </w:r>
          </w:p>
        </w:tc>
        <w:tc>
          <w:tcPr>
            <w:tcW w:w="1559" w:type="dxa"/>
          </w:tcPr>
          <w:p w14:paraId="68DA971C">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101.00</w:t>
            </w:r>
          </w:p>
        </w:tc>
        <w:tc>
          <w:tcPr>
            <w:tcW w:w="1418" w:type="dxa"/>
          </w:tcPr>
          <w:p w14:paraId="785573B0">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101.73</w:t>
            </w:r>
          </w:p>
        </w:tc>
        <w:tc>
          <w:tcPr>
            <w:tcW w:w="1893" w:type="dxa"/>
          </w:tcPr>
          <w:p w14:paraId="137BBC4D">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0.72%</w:t>
            </w:r>
          </w:p>
        </w:tc>
      </w:tr>
      <w:tr w14:paraId="6570BA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1F228B32">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专项物业管理费</w:t>
            </w:r>
          </w:p>
        </w:tc>
        <w:tc>
          <w:tcPr>
            <w:tcW w:w="1559" w:type="dxa"/>
          </w:tcPr>
          <w:p w14:paraId="0FF79C43">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40.00</w:t>
            </w:r>
          </w:p>
        </w:tc>
        <w:tc>
          <w:tcPr>
            <w:tcW w:w="1418" w:type="dxa"/>
          </w:tcPr>
          <w:p w14:paraId="3B7F092F">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41.69</w:t>
            </w:r>
          </w:p>
        </w:tc>
        <w:tc>
          <w:tcPr>
            <w:tcW w:w="1893" w:type="dxa"/>
          </w:tcPr>
          <w:p w14:paraId="5D392C1D">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4.22%</w:t>
            </w:r>
          </w:p>
        </w:tc>
      </w:tr>
      <w:tr w14:paraId="2FE432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0EE7F9CE">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办公用房租金</w:t>
            </w:r>
          </w:p>
        </w:tc>
        <w:tc>
          <w:tcPr>
            <w:tcW w:w="1559" w:type="dxa"/>
          </w:tcPr>
          <w:p w14:paraId="7E393410">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65.00</w:t>
            </w:r>
          </w:p>
        </w:tc>
        <w:tc>
          <w:tcPr>
            <w:tcW w:w="1418" w:type="dxa"/>
          </w:tcPr>
          <w:p w14:paraId="4BB79911">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65.00</w:t>
            </w:r>
          </w:p>
        </w:tc>
        <w:tc>
          <w:tcPr>
            <w:tcW w:w="1893" w:type="dxa"/>
          </w:tcPr>
          <w:p w14:paraId="126FBC8B">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0.00%</w:t>
            </w:r>
          </w:p>
        </w:tc>
      </w:tr>
      <w:tr w14:paraId="4ADD23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1866695C">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4、往来户可用资金</w:t>
            </w:r>
          </w:p>
        </w:tc>
        <w:tc>
          <w:tcPr>
            <w:tcW w:w="1559" w:type="dxa"/>
            <w:vAlign w:val="center"/>
          </w:tcPr>
          <w:p w14:paraId="15B23408">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435.00</w:t>
            </w:r>
          </w:p>
        </w:tc>
        <w:tc>
          <w:tcPr>
            <w:tcW w:w="1418" w:type="dxa"/>
            <w:vAlign w:val="center"/>
          </w:tcPr>
          <w:p w14:paraId="02ECB870">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893" w:type="dxa"/>
            <w:vAlign w:val="center"/>
          </w:tcPr>
          <w:p w14:paraId="659F23E8">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-100%</w:t>
            </w:r>
          </w:p>
        </w:tc>
      </w:tr>
      <w:tr w14:paraId="6137CD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79167FD2">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5、其他资本性支出</w:t>
            </w:r>
          </w:p>
        </w:tc>
        <w:tc>
          <w:tcPr>
            <w:tcW w:w="1559" w:type="dxa"/>
            <w:vAlign w:val="center"/>
          </w:tcPr>
          <w:p w14:paraId="6D201126">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w:t>
            </w:r>
          </w:p>
        </w:tc>
        <w:tc>
          <w:tcPr>
            <w:tcW w:w="1418" w:type="dxa"/>
            <w:vAlign w:val="center"/>
          </w:tcPr>
          <w:p w14:paraId="1C12EA1B">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19.58</w:t>
            </w:r>
          </w:p>
        </w:tc>
        <w:tc>
          <w:tcPr>
            <w:tcW w:w="1893" w:type="dxa"/>
            <w:vAlign w:val="center"/>
          </w:tcPr>
          <w:p w14:paraId="0F7F6607">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r>
      <w:tr w14:paraId="74DB0A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6032F100">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办公设备购置</w:t>
            </w:r>
          </w:p>
        </w:tc>
        <w:tc>
          <w:tcPr>
            <w:tcW w:w="1559" w:type="dxa"/>
          </w:tcPr>
          <w:p w14:paraId="6E849B2B">
            <w:pPr>
              <w:spacing w:line="360" w:lineRule="auto"/>
              <w:jc w:val="right"/>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w:t>
            </w:r>
          </w:p>
        </w:tc>
        <w:tc>
          <w:tcPr>
            <w:tcW w:w="1418" w:type="dxa"/>
          </w:tcPr>
          <w:p w14:paraId="18D1ABB9">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19.58</w:t>
            </w:r>
          </w:p>
        </w:tc>
        <w:tc>
          <w:tcPr>
            <w:tcW w:w="1893" w:type="dxa"/>
          </w:tcPr>
          <w:p w14:paraId="0AACFFA1">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r>
      <w:tr w14:paraId="0E54C0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7EB51BE6">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基本支出合计</w:t>
            </w:r>
          </w:p>
        </w:tc>
        <w:tc>
          <w:tcPr>
            <w:tcW w:w="1559" w:type="dxa"/>
          </w:tcPr>
          <w:p w14:paraId="722F2BFE">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1,584.51</w:t>
            </w:r>
          </w:p>
        </w:tc>
        <w:tc>
          <w:tcPr>
            <w:tcW w:w="1418" w:type="dxa"/>
          </w:tcPr>
          <w:p w14:paraId="32FCB8AC">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1,866.67</w:t>
            </w:r>
          </w:p>
        </w:tc>
        <w:tc>
          <w:tcPr>
            <w:tcW w:w="1893" w:type="dxa"/>
          </w:tcPr>
          <w:p w14:paraId="2D348B80">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17.81%</w:t>
            </w:r>
          </w:p>
        </w:tc>
      </w:tr>
    </w:tbl>
    <w:p w14:paraId="108234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其他社会保障缴费：指基本医疗保险费和生育保险费；医疗费：主要指公务员医疗补助；</w:t>
      </w:r>
    </w:p>
    <w:p w14:paraId="06D978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增减百分比=（决算数-预算数）/预算数*100%；资金（年终一次性）增幅较大，主要是“五奖”的发放。</w:t>
      </w:r>
    </w:p>
    <w:p w14:paraId="37B11A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其中“三公”经费情况：</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52"/>
        <w:gridCol w:w="1559"/>
        <w:gridCol w:w="1418"/>
        <w:gridCol w:w="1893"/>
      </w:tblGrid>
      <w:tr w14:paraId="51B9D5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347224EE">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rPr>
              <w:t>目</w:t>
            </w:r>
          </w:p>
        </w:tc>
        <w:tc>
          <w:tcPr>
            <w:tcW w:w="1559" w:type="dxa"/>
          </w:tcPr>
          <w:p w14:paraId="0CFF44CF">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上年数</w:t>
            </w:r>
          </w:p>
        </w:tc>
        <w:tc>
          <w:tcPr>
            <w:tcW w:w="1418" w:type="dxa"/>
          </w:tcPr>
          <w:p w14:paraId="79A69D68">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本年数</w:t>
            </w:r>
          </w:p>
        </w:tc>
        <w:tc>
          <w:tcPr>
            <w:tcW w:w="1893" w:type="dxa"/>
          </w:tcPr>
          <w:p w14:paraId="4E8FB654">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增减百分比(%)</w:t>
            </w:r>
          </w:p>
        </w:tc>
      </w:tr>
      <w:tr w14:paraId="509C5C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20E917F3">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1．因公出国（境）费</w:t>
            </w:r>
          </w:p>
        </w:tc>
        <w:tc>
          <w:tcPr>
            <w:tcW w:w="1559" w:type="dxa"/>
            <w:vAlign w:val="center"/>
          </w:tcPr>
          <w:p w14:paraId="1547DF88">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418" w:type="dxa"/>
            <w:vAlign w:val="center"/>
          </w:tcPr>
          <w:p w14:paraId="57815599">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893" w:type="dxa"/>
            <w:vAlign w:val="center"/>
          </w:tcPr>
          <w:p w14:paraId="1B655772">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r>
      <w:tr w14:paraId="05F398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6290C5A0">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2．公务用车购置及运行维护费</w:t>
            </w:r>
          </w:p>
        </w:tc>
        <w:tc>
          <w:tcPr>
            <w:tcW w:w="1559" w:type="dxa"/>
            <w:vAlign w:val="center"/>
          </w:tcPr>
          <w:p w14:paraId="16FC974F">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47,879.58</w:t>
            </w:r>
          </w:p>
        </w:tc>
        <w:tc>
          <w:tcPr>
            <w:tcW w:w="1418" w:type="dxa"/>
            <w:vAlign w:val="center"/>
          </w:tcPr>
          <w:p w14:paraId="380E1960">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58,900.95</w:t>
            </w:r>
          </w:p>
        </w:tc>
        <w:tc>
          <w:tcPr>
            <w:tcW w:w="1893" w:type="dxa"/>
            <w:vAlign w:val="center"/>
          </w:tcPr>
          <w:p w14:paraId="3ED45D15">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23.02%</w:t>
            </w:r>
          </w:p>
        </w:tc>
      </w:tr>
      <w:tr w14:paraId="2F6B88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55F77851">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（1）公务用车购置费</w:t>
            </w:r>
          </w:p>
        </w:tc>
        <w:tc>
          <w:tcPr>
            <w:tcW w:w="1559" w:type="dxa"/>
            <w:vAlign w:val="center"/>
          </w:tcPr>
          <w:p w14:paraId="0B3F0156">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418" w:type="dxa"/>
            <w:vAlign w:val="center"/>
          </w:tcPr>
          <w:p w14:paraId="1AB8F91D">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893" w:type="dxa"/>
            <w:vAlign w:val="center"/>
          </w:tcPr>
          <w:p w14:paraId="27D5A908">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r>
      <w:tr w14:paraId="37E73F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590B8EF2">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（2）公务用车运行维护费</w:t>
            </w:r>
          </w:p>
        </w:tc>
        <w:tc>
          <w:tcPr>
            <w:tcW w:w="1559" w:type="dxa"/>
            <w:vAlign w:val="center"/>
          </w:tcPr>
          <w:p w14:paraId="03141C93">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47,879.58</w:t>
            </w:r>
          </w:p>
        </w:tc>
        <w:tc>
          <w:tcPr>
            <w:tcW w:w="1418" w:type="dxa"/>
            <w:vAlign w:val="center"/>
          </w:tcPr>
          <w:p w14:paraId="47A837E3">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58,900.95</w:t>
            </w:r>
          </w:p>
        </w:tc>
        <w:tc>
          <w:tcPr>
            <w:tcW w:w="1893" w:type="dxa"/>
            <w:vAlign w:val="center"/>
          </w:tcPr>
          <w:p w14:paraId="278A9C61">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23.02%</w:t>
            </w:r>
          </w:p>
        </w:tc>
      </w:tr>
      <w:tr w14:paraId="1AADD3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57C4567D">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3．公务接待费</w:t>
            </w:r>
          </w:p>
        </w:tc>
        <w:tc>
          <w:tcPr>
            <w:tcW w:w="1559" w:type="dxa"/>
            <w:vAlign w:val="center"/>
          </w:tcPr>
          <w:p w14:paraId="3379DF8A">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1,540.00</w:t>
            </w:r>
          </w:p>
        </w:tc>
        <w:tc>
          <w:tcPr>
            <w:tcW w:w="1418" w:type="dxa"/>
            <w:vAlign w:val="center"/>
          </w:tcPr>
          <w:p w14:paraId="4CB58D97">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893" w:type="dxa"/>
            <w:vAlign w:val="center"/>
          </w:tcPr>
          <w:p w14:paraId="0BDB5D13">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-100%</w:t>
            </w:r>
          </w:p>
        </w:tc>
      </w:tr>
      <w:tr w14:paraId="7EE1C0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782F98F5">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（1）国内接待费</w:t>
            </w:r>
          </w:p>
        </w:tc>
        <w:tc>
          <w:tcPr>
            <w:tcW w:w="1559" w:type="dxa"/>
            <w:vAlign w:val="center"/>
          </w:tcPr>
          <w:p w14:paraId="41407A20">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1,540.00</w:t>
            </w:r>
          </w:p>
        </w:tc>
        <w:tc>
          <w:tcPr>
            <w:tcW w:w="1418" w:type="dxa"/>
            <w:vAlign w:val="center"/>
          </w:tcPr>
          <w:p w14:paraId="26FF9CEE">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893" w:type="dxa"/>
            <w:vAlign w:val="center"/>
          </w:tcPr>
          <w:p w14:paraId="35DC1D37">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-100%</w:t>
            </w:r>
          </w:p>
        </w:tc>
      </w:tr>
      <w:tr w14:paraId="04432B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539A74A7">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（2）国（境）外接待费</w:t>
            </w:r>
          </w:p>
        </w:tc>
        <w:tc>
          <w:tcPr>
            <w:tcW w:w="1559" w:type="dxa"/>
            <w:vAlign w:val="center"/>
          </w:tcPr>
          <w:p w14:paraId="4B7944ED">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418" w:type="dxa"/>
            <w:vAlign w:val="center"/>
          </w:tcPr>
          <w:p w14:paraId="2C8344D7">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c>
          <w:tcPr>
            <w:tcW w:w="1893" w:type="dxa"/>
            <w:vAlign w:val="center"/>
          </w:tcPr>
          <w:p w14:paraId="0DBD8026">
            <w:pPr>
              <w:spacing w:line="360" w:lineRule="auto"/>
              <w:jc w:val="right"/>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w:t>
            </w:r>
          </w:p>
        </w:tc>
      </w:tr>
      <w:tr w14:paraId="4DEE90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tcPr>
          <w:p w14:paraId="058B97AB">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rPr>
              <w:t>计</w:t>
            </w:r>
          </w:p>
        </w:tc>
        <w:tc>
          <w:tcPr>
            <w:tcW w:w="1559" w:type="dxa"/>
            <w:vAlign w:val="center"/>
          </w:tcPr>
          <w:p w14:paraId="60BA1D68">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49,419.58</w:t>
            </w:r>
          </w:p>
        </w:tc>
        <w:tc>
          <w:tcPr>
            <w:tcW w:w="1418" w:type="dxa"/>
            <w:vAlign w:val="center"/>
          </w:tcPr>
          <w:p w14:paraId="37AAAB59">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58,900.95</w:t>
            </w:r>
          </w:p>
        </w:tc>
        <w:tc>
          <w:tcPr>
            <w:tcW w:w="1893" w:type="dxa"/>
            <w:vAlign w:val="center"/>
          </w:tcPr>
          <w:p w14:paraId="35A1C388">
            <w:pPr>
              <w:spacing w:line="360" w:lineRule="auto"/>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19.19%</w:t>
            </w:r>
          </w:p>
        </w:tc>
      </w:tr>
    </w:tbl>
    <w:p w14:paraId="756A4B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公务用车运行维护费增长23.02%，主要是由于车辆使用年限较长，维修保养费用较高；公务接待费下降100.00%，主要是本年度严格控制“三公”经费开支。</w:t>
      </w:r>
    </w:p>
    <w:p w14:paraId="56FD48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3、项目支出情况  </w:t>
      </w:r>
    </w:p>
    <w:p w14:paraId="324EF5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项目支出预算支出</w:t>
      </w:r>
      <w:r>
        <w:rPr>
          <w:rFonts w:hint="eastAsia" w:asciiTheme="minorEastAsia" w:hAnsiTheme="minorEastAsia" w:eastAsiaTheme="minorEastAsia" w:cstheme="minorEastAsia"/>
          <w:sz w:val="24"/>
          <w:szCs w:val="24"/>
          <w:lang w:eastAsia="zh-CN"/>
        </w:rPr>
        <w:t>2,058.62</w:t>
      </w:r>
      <w:r>
        <w:rPr>
          <w:rFonts w:hint="eastAsia" w:asciiTheme="minorEastAsia" w:hAnsiTheme="minorEastAsia" w:eastAsiaTheme="minorEastAsia" w:cstheme="minorEastAsia"/>
          <w:sz w:val="24"/>
          <w:szCs w:val="24"/>
        </w:rPr>
        <w:t>万元，决算支出</w:t>
      </w:r>
      <w:r>
        <w:rPr>
          <w:rFonts w:hint="eastAsia" w:asciiTheme="minorEastAsia" w:hAnsiTheme="minorEastAsia" w:eastAsiaTheme="minorEastAsia" w:cstheme="minorEastAsia"/>
          <w:sz w:val="24"/>
          <w:szCs w:val="24"/>
          <w:lang w:eastAsia="zh-CN"/>
        </w:rPr>
        <w:t>1,893.99</w:t>
      </w:r>
      <w:r>
        <w:rPr>
          <w:rFonts w:hint="eastAsia" w:asciiTheme="minorEastAsia" w:hAnsiTheme="minorEastAsia" w:eastAsiaTheme="minorEastAsia" w:cstheme="minorEastAsia"/>
          <w:sz w:val="24"/>
          <w:szCs w:val="24"/>
        </w:rPr>
        <w:t>万元，实际到位资金</w:t>
      </w:r>
      <w:r>
        <w:rPr>
          <w:rFonts w:hint="eastAsia" w:asciiTheme="minorEastAsia" w:hAnsiTheme="minorEastAsia" w:eastAsiaTheme="minorEastAsia" w:cstheme="minorEastAsia"/>
          <w:sz w:val="24"/>
          <w:szCs w:val="24"/>
          <w:lang w:eastAsia="zh-CN"/>
        </w:rPr>
        <w:t>1,893.99</w:t>
      </w:r>
      <w:r>
        <w:rPr>
          <w:rFonts w:hint="eastAsia" w:asciiTheme="minorEastAsia" w:hAnsiTheme="minorEastAsia" w:eastAsiaTheme="minorEastAsia" w:cstheme="minorEastAsia"/>
          <w:sz w:val="24"/>
          <w:szCs w:val="24"/>
        </w:rPr>
        <w:t xml:space="preserve">万元,具体使用如下： </w:t>
      </w:r>
    </w:p>
    <w:p w14:paraId="7E9D8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sz w:val="24"/>
          <w:szCs w:val="24"/>
        </w:rPr>
      </w:pP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44"/>
        <w:gridCol w:w="1418"/>
        <w:gridCol w:w="1276"/>
        <w:gridCol w:w="1184"/>
      </w:tblGrid>
      <w:tr w14:paraId="4A9B54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0268521B">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项目支出</w:t>
            </w:r>
          </w:p>
        </w:tc>
        <w:tc>
          <w:tcPr>
            <w:tcW w:w="1418" w:type="dxa"/>
            <w:vAlign w:val="center"/>
          </w:tcPr>
          <w:p w14:paraId="75AA4222">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预算数</w:t>
            </w:r>
          </w:p>
          <w:p w14:paraId="407573CD">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（万元）</w:t>
            </w:r>
          </w:p>
        </w:tc>
        <w:tc>
          <w:tcPr>
            <w:tcW w:w="1276" w:type="dxa"/>
            <w:vAlign w:val="center"/>
          </w:tcPr>
          <w:p w14:paraId="34E5CF65">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决算数</w:t>
            </w:r>
          </w:p>
          <w:p w14:paraId="43D23DFC">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（万元）</w:t>
            </w:r>
          </w:p>
        </w:tc>
        <w:tc>
          <w:tcPr>
            <w:tcW w:w="1184" w:type="dxa"/>
            <w:vAlign w:val="center"/>
          </w:tcPr>
          <w:p w14:paraId="01F525D9">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增减百分比（%）</w:t>
            </w:r>
          </w:p>
        </w:tc>
      </w:tr>
      <w:tr w14:paraId="5005AA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02ACC8C6">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1、就业补助</w:t>
            </w:r>
          </w:p>
        </w:tc>
        <w:tc>
          <w:tcPr>
            <w:tcW w:w="1418" w:type="dxa"/>
            <w:vAlign w:val="center"/>
          </w:tcPr>
          <w:p w14:paraId="2EE8085F">
            <w:pPr>
              <w:keepNext w:val="0"/>
              <w:keepLines w:val="0"/>
              <w:widowControl/>
              <w:suppressLineNumbers w:val="0"/>
              <w:jc w:val="right"/>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i w:val="0"/>
                <w:color w:val="000000"/>
                <w:kern w:val="0"/>
                <w:sz w:val="21"/>
                <w:szCs w:val="21"/>
                <w:u w:val="none"/>
                <w:lang w:val="en-US" w:eastAsia="zh-CN" w:bidi="ar"/>
              </w:rPr>
              <w:t>811.94</w:t>
            </w:r>
          </w:p>
        </w:tc>
        <w:tc>
          <w:tcPr>
            <w:tcW w:w="1276" w:type="dxa"/>
            <w:vAlign w:val="center"/>
          </w:tcPr>
          <w:p w14:paraId="0992CA75">
            <w:pPr>
              <w:keepNext w:val="0"/>
              <w:keepLines w:val="0"/>
              <w:widowControl/>
              <w:suppressLineNumbers w:val="0"/>
              <w:jc w:val="right"/>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i w:val="0"/>
                <w:color w:val="000000"/>
                <w:kern w:val="0"/>
                <w:sz w:val="21"/>
                <w:szCs w:val="21"/>
                <w:u w:val="none"/>
                <w:lang w:val="en-US" w:eastAsia="zh-CN" w:bidi="ar"/>
              </w:rPr>
              <w:t>764.1</w:t>
            </w:r>
          </w:p>
        </w:tc>
        <w:tc>
          <w:tcPr>
            <w:tcW w:w="1184" w:type="dxa"/>
            <w:vAlign w:val="center"/>
          </w:tcPr>
          <w:p w14:paraId="565938FC">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-5.89%</w:t>
            </w:r>
          </w:p>
        </w:tc>
      </w:tr>
      <w:tr w14:paraId="33329A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509F2624">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2、社会福利</w:t>
            </w:r>
          </w:p>
        </w:tc>
        <w:tc>
          <w:tcPr>
            <w:tcW w:w="1418" w:type="dxa"/>
            <w:vAlign w:val="center"/>
          </w:tcPr>
          <w:p w14:paraId="7EA5A7ED">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90.23</w:t>
            </w:r>
          </w:p>
        </w:tc>
        <w:tc>
          <w:tcPr>
            <w:tcW w:w="1276" w:type="dxa"/>
            <w:vAlign w:val="center"/>
          </w:tcPr>
          <w:p w14:paraId="32950F2B">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91.16</w:t>
            </w:r>
          </w:p>
        </w:tc>
        <w:tc>
          <w:tcPr>
            <w:tcW w:w="1184" w:type="dxa"/>
            <w:vAlign w:val="center"/>
          </w:tcPr>
          <w:p w14:paraId="17E3B341">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1.03%</w:t>
            </w:r>
          </w:p>
        </w:tc>
      </w:tr>
      <w:tr w14:paraId="38ABC5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4EAB64B5">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3、基层建设和社区管理支出</w:t>
            </w:r>
          </w:p>
        </w:tc>
        <w:tc>
          <w:tcPr>
            <w:tcW w:w="1418" w:type="dxa"/>
            <w:vAlign w:val="center"/>
          </w:tcPr>
          <w:p w14:paraId="702179C4">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426</w:t>
            </w:r>
          </w:p>
        </w:tc>
        <w:tc>
          <w:tcPr>
            <w:tcW w:w="1276" w:type="dxa"/>
            <w:vAlign w:val="center"/>
          </w:tcPr>
          <w:p w14:paraId="1A77221D">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369.62</w:t>
            </w:r>
          </w:p>
        </w:tc>
        <w:tc>
          <w:tcPr>
            <w:tcW w:w="1184" w:type="dxa"/>
            <w:vAlign w:val="center"/>
          </w:tcPr>
          <w:p w14:paraId="0249AB0F">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-13.23%</w:t>
            </w:r>
          </w:p>
        </w:tc>
      </w:tr>
      <w:tr w14:paraId="66E8D1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342ED1EF">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4、农林水专项经费</w:t>
            </w:r>
          </w:p>
        </w:tc>
        <w:tc>
          <w:tcPr>
            <w:tcW w:w="1418" w:type="dxa"/>
            <w:vAlign w:val="center"/>
          </w:tcPr>
          <w:p w14:paraId="65B0009A">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34</w:t>
            </w:r>
          </w:p>
        </w:tc>
        <w:tc>
          <w:tcPr>
            <w:tcW w:w="1276" w:type="dxa"/>
            <w:vAlign w:val="center"/>
          </w:tcPr>
          <w:p w14:paraId="1BC8A192">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26.76</w:t>
            </w:r>
          </w:p>
        </w:tc>
        <w:tc>
          <w:tcPr>
            <w:tcW w:w="1184" w:type="dxa"/>
            <w:vAlign w:val="center"/>
          </w:tcPr>
          <w:p w14:paraId="1FDBCD19">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-21.29%</w:t>
            </w:r>
          </w:p>
        </w:tc>
      </w:tr>
      <w:tr w14:paraId="34779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3D7FC5EB">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5、村级正常运转经费</w:t>
            </w:r>
          </w:p>
        </w:tc>
        <w:tc>
          <w:tcPr>
            <w:tcW w:w="1418" w:type="dxa"/>
            <w:vAlign w:val="center"/>
          </w:tcPr>
          <w:p w14:paraId="1C3DE7C6">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75</w:t>
            </w:r>
          </w:p>
        </w:tc>
        <w:tc>
          <w:tcPr>
            <w:tcW w:w="1276" w:type="dxa"/>
            <w:vAlign w:val="center"/>
          </w:tcPr>
          <w:p w14:paraId="245D42DA">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66.68</w:t>
            </w:r>
          </w:p>
        </w:tc>
        <w:tc>
          <w:tcPr>
            <w:tcW w:w="1184" w:type="dxa"/>
            <w:vAlign w:val="center"/>
          </w:tcPr>
          <w:p w14:paraId="37995570">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-11.09%</w:t>
            </w:r>
          </w:p>
        </w:tc>
      </w:tr>
      <w:tr w14:paraId="2D0023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4FD42EB7">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6、计划生育生殖健康促进及三查四术经费</w:t>
            </w:r>
          </w:p>
        </w:tc>
        <w:tc>
          <w:tcPr>
            <w:tcW w:w="1418" w:type="dxa"/>
            <w:vAlign w:val="center"/>
          </w:tcPr>
          <w:p w14:paraId="3EC8C566">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35.03</w:t>
            </w:r>
          </w:p>
        </w:tc>
        <w:tc>
          <w:tcPr>
            <w:tcW w:w="1276" w:type="dxa"/>
            <w:vAlign w:val="center"/>
          </w:tcPr>
          <w:p w14:paraId="352FF8EB">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20.22</w:t>
            </w:r>
          </w:p>
        </w:tc>
        <w:tc>
          <w:tcPr>
            <w:tcW w:w="1184" w:type="dxa"/>
            <w:vAlign w:val="center"/>
          </w:tcPr>
          <w:p w14:paraId="7E7D4C1C">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-42.28%</w:t>
            </w:r>
          </w:p>
        </w:tc>
      </w:tr>
      <w:tr w14:paraId="0F6EB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11FC38E5">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7、计划生育家庭奖励经费</w:t>
            </w:r>
          </w:p>
        </w:tc>
        <w:tc>
          <w:tcPr>
            <w:tcW w:w="1418" w:type="dxa"/>
            <w:vAlign w:val="center"/>
          </w:tcPr>
          <w:p w14:paraId="34E758E9">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41.15</w:t>
            </w:r>
          </w:p>
        </w:tc>
        <w:tc>
          <w:tcPr>
            <w:tcW w:w="1276" w:type="dxa"/>
            <w:vAlign w:val="center"/>
          </w:tcPr>
          <w:p w14:paraId="5B1A307E">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40.87</w:t>
            </w:r>
          </w:p>
        </w:tc>
        <w:tc>
          <w:tcPr>
            <w:tcW w:w="1184" w:type="dxa"/>
            <w:vAlign w:val="center"/>
          </w:tcPr>
          <w:p w14:paraId="17B937BA">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-0.68%</w:t>
            </w:r>
          </w:p>
        </w:tc>
      </w:tr>
      <w:tr w14:paraId="6C1019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1C0D4C09">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8、民政事业经费</w:t>
            </w:r>
          </w:p>
        </w:tc>
        <w:tc>
          <w:tcPr>
            <w:tcW w:w="1418" w:type="dxa"/>
            <w:vAlign w:val="center"/>
          </w:tcPr>
          <w:p w14:paraId="5D72D4B4">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38.96</w:t>
            </w:r>
          </w:p>
        </w:tc>
        <w:tc>
          <w:tcPr>
            <w:tcW w:w="1276" w:type="dxa"/>
            <w:vAlign w:val="center"/>
          </w:tcPr>
          <w:p w14:paraId="056B6905">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42.09</w:t>
            </w:r>
          </w:p>
        </w:tc>
        <w:tc>
          <w:tcPr>
            <w:tcW w:w="1184" w:type="dxa"/>
            <w:vAlign w:val="center"/>
          </w:tcPr>
          <w:p w14:paraId="0592A955">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8.03%</w:t>
            </w:r>
          </w:p>
        </w:tc>
      </w:tr>
      <w:tr w14:paraId="79E768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4F9EBC84">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9、计划生育事业经费</w:t>
            </w:r>
          </w:p>
        </w:tc>
        <w:tc>
          <w:tcPr>
            <w:tcW w:w="1418" w:type="dxa"/>
            <w:vAlign w:val="center"/>
          </w:tcPr>
          <w:p w14:paraId="532AE846">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50.42</w:t>
            </w:r>
          </w:p>
        </w:tc>
        <w:tc>
          <w:tcPr>
            <w:tcW w:w="1276" w:type="dxa"/>
            <w:vAlign w:val="center"/>
          </w:tcPr>
          <w:p w14:paraId="57942524">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44.98</w:t>
            </w:r>
          </w:p>
        </w:tc>
        <w:tc>
          <w:tcPr>
            <w:tcW w:w="1184" w:type="dxa"/>
            <w:vAlign w:val="center"/>
          </w:tcPr>
          <w:p w14:paraId="5D99193A">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-10.79%</w:t>
            </w:r>
          </w:p>
        </w:tc>
      </w:tr>
      <w:tr w14:paraId="5EF167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2701E555">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10、安全生产及维稳支出</w:t>
            </w:r>
          </w:p>
        </w:tc>
        <w:tc>
          <w:tcPr>
            <w:tcW w:w="1418" w:type="dxa"/>
            <w:vAlign w:val="center"/>
          </w:tcPr>
          <w:p w14:paraId="22A61243">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161.2</w:t>
            </w:r>
          </w:p>
        </w:tc>
        <w:tc>
          <w:tcPr>
            <w:tcW w:w="1276" w:type="dxa"/>
            <w:vAlign w:val="center"/>
          </w:tcPr>
          <w:p w14:paraId="04B9EEE8">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160.1</w:t>
            </w:r>
          </w:p>
        </w:tc>
        <w:tc>
          <w:tcPr>
            <w:tcW w:w="1184" w:type="dxa"/>
            <w:vAlign w:val="center"/>
          </w:tcPr>
          <w:p w14:paraId="7279C44D">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-0.68%</w:t>
            </w:r>
          </w:p>
        </w:tc>
      </w:tr>
      <w:tr w14:paraId="0966B7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392E0F23">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11、民兵训练及征兵经费</w:t>
            </w:r>
          </w:p>
        </w:tc>
        <w:tc>
          <w:tcPr>
            <w:tcW w:w="1418" w:type="dxa"/>
            <w:vAlign w:val="center"/>
          </w:tcPr>
          <w:p w14:paraId="2317BCE0">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8</w:t>
            </w:r>
          </w:p>
        </w:tc>
        <w:tc>
          <w:tcPr>
            <w:tcW w:w="1276" w:type="dxa"/>
            <w:vAlign w:val="center"/>
          </w:tcPr>
          <w:p w14:paraId="7EA9AB17">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5.4</w:t>
            </w:r>
          </w:p>
        </w:tc>
        <w:tc>
          <w:tcPr>
            <w:tcW w:w="1184" w:type="dxa"/>
            <w:vAlign w:val="center"/>
          </w:tcPr>
          <w:p w14:paraId="30B2F87B">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-32.50%</w:t>
            </w:r>
          </w:p>
        </w:tc>
      </w:tr>
      <w:tr w14:paraId="2E1CED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078BA2CD">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12、文体活动经费</w:t>
            </w:r>
          </w:p>
        </w:tc>
        <w:tc>
          <w:tcPr>
            <w:tcW w:w="1418" w:type="dxa"/>
            <w:vAlign w:val="center"/>
          </w:tcPr>
          <w:p w14:paraId="6E1D3865">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29</w:t>
            </w:r>
          </w:p>
        </w:tc>
        <w:tc>
          <w:tcPr>
            <w:tcW w:w="1276" w:type="dxa"/>
            <w:vAlign w:val="center"/>
          </w:tcPr>
          <w:p w14:paraId="5C543E76">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29</w:t>
            </w:r>
          </w:p>
        </w:tc>
        <w:tc>
          <w:tcPr>
            <w:tcW w:w="1184" w:type="dxa"/>
            <w:vAlign w:val="center"/>
          </w:tcPr>
          <w:p w14:paraId="153B743C">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Times New Roman" w:hAnsi="Times New Roman" w:cs="Times New Roman"/>
                <w:i w:val="0"/>
                <w:color w:val="000000"/>
                <w:kern w:val="0"/>
                <w:sz w:val="21"/>
                <w:szCs w:val="21"/>
                <w:u w:val="none"/>
                <w:lang w:val="en-US" w:eastAsia="zh-CN" w:bidi="ar"/>
              </w:rPr>
              <w:t>-</w:t>
            </w:r>
          </w:p>
        </w:tc>
      </w:tr>
      <w:tr w14:paraId="267234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4A7F0ECF">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13、公共服务经费</w:t>
            </w:r>
          </w:p>
        </w:tc>
        <w:tc>
          <w:tcPr>
            <w:tcW w:w="1418" w:type="dxa"/>
            <w:vAlign w:val="center"/>
          </w:tcPr>
          <w:p w14:paraId="66A80941">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170.92</w:t>
            </w:r>
          </w:p>
        </w:tc>
        <w:tc>
          <w:tcPr>
            <w:tcW w:w="1276" w:type="dxa"/>
            <w:vAlign w:val="center"/>
          </w:tcPr>
          <w:p w14:paraId="4F66728A">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155.39</w:t>
            </w:r>
          </w:p>
        </w:tc>
        <w:tc>
          <w:tcPr>
            <w:tcW w:w="1184" w:type="dxa"/>
            <w:vAlign w:val="center"/>
          </w:tcPr>
          <w:p w14:paraId="52B4C589">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-9.09%</w:t>
            </w:r>
          </w:p>
        </w:tc>
      </w:tr>
      <w:tr w14:paraId="66A3A0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61981C17">
            <w:pPr>
              <w:spacing w:line="360" w:lineRule="auto"/>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14、佛祖岭街道政务分中心建设经费</w:t>
            </w:r>
          </w:p>
        </w:tc>
        <w:tc>
          <w:tcPr>
            <w:tcW w:w="1418" w:type="dxa"/>
            <w:vAlign w:val="center"/>
          </w:tcPr>
          <w:p w14:paraId="6711431F">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86.77</w:t>
            </w:r>
          </w:p>
        </w:tc>
        <w:tc>
          <w:tcPr>
            <w:tcW w:w="1276" w:type="dxa"/>
            <w:vAlign w:val="center"/>
          </w:tcPr>
          <w:p w14:paraId="5E89DD30">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77.62</w:t>
            </w:r>
          </w:p>
        </w:tc>
        <w:tc>
          <w:tcPr>
            <w:tcW w:w="1184" w:type="dxa"/>
            <w:vAlign w:val="center"/>
          </w:tcPr>
          <w:p w14:paraId="36F77026">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-10.55%</w:t>
            </w:r>
          </w:p>
        </w:tc>
      </w:tr>
      <w:tr w14:paraId="552D69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vAlign w:val="center"/>
          </w:tcPr>
          <w:p w14:paraId="7822F200">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rPr>
              <w:t>计</w:t>
            </w:r>
          </w:p>
        </w:tc>
        <w:tc>
          <w:tcPr>
            <w:tcW w:w="1418" w:type="dxa"/>
            <w:vAlign w:val="center"/>
          </w:tcPr>
          <w:p w14:paraId="6DDF1B76">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2,058.62</w:t>
            </w:r>
          </w:p>
        </w:tc>
        <w:tc>
          <w:tcPr>
            <w:tcW w:w="1276" w:type="dxa"/>
            <w:vAlign w:val="center"/>
          </w:tcPr>
          <w:p w14:paraId="54A706F5">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1,893.99</w:t>
            </w:r>
          </w:p>
        </w:tc>
        <w:tc>
          <w:tcPr>
            <w:tcW w:w="1184" w:type="dxa"/>
            <w:vAlign w:val="center"/>
          </w:tcPr>
          <w:p w14:paraId="47AB923E">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color w:val="000000"/>
                <w:kern w:val="0"/>
                <w:sz w:val="21"/>
                <w:szCs w:val="21"/>
                <w:u w:val="none"/>
                <w:lang w:val="en-US" w:eastAsia="zh-CN" w:bidi="ar"/>
              </w:rPr>
              <w:t>-8.00%</w:t>
            </w:r>
          </w:p>
        </w:tc>
      </w:tr>
    </w:tbl>
    <w:p w14:paraId="119DBE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增减百分比（%）=（决算数-预算数）/预算数*100%</w:t>
      </w:r>
    </w:p>
    <w:p w14:paraId="74A9A3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基层建设和社区管理支出减少</w:t>
      </w:r>
      <w:r>
        <w:rPr>
          <w:rFonts w:hint="eastAsia" w:asciiTheme="minorEastAsia" w:hAnsiTheme="minorEastAsia" w:eastAsiaTheme="minorEastAsia" w:cstheme="minorEastAsia"/>
          <w:sz w:val="24"/>
          <w:szCs w:val="24"/>
          <w:lang w:val="en-US" w:eastAsia="zh-CN"/>
        </w:rPr>
        <w:t>13.23</w:t>
      </w:r>
      <w:r>
        <w:rPr>
          <w:rFonts w:hint="eastAsia" w:asciiTheme="minorEastAsia" w:hAnsiTheme="minorEastAsia" w:eastAsiaTheme="minorEastAsia" w:cstheme="minorEastAsia"/>
          <w:sz w:val="24"/>
          <w:szCs w:val="24"/>
        </w:rPr>
        <w:t>%，主要是社区和党务经费没用完，有些支出没有竣工，支付在2018年；安全生产及维稳支出根据“十九大及两会”工作要求发放的；佛祖岭街道政务分中心建设</w:t>
      </w:r>
      <w:r>
        <w:rPr>
          <w:rFonts w:hint="eastAsia" w:asciiTheme="minorEastAsia" w:hAnsiTheme="minorEastAsia" w:eastAsiaTheme="minorEastAsia" w:cstheme="minorEastAsia"/>
          <w:sz w:val="24"/>
          <w:szCs w:val="24"/>
          <w:lang w:eastAsia="zh-CN"/>
        </w:rPr>
        <w:t>项目在年度</w:t>
      </w:r>
      <w:r>
        <w:rPr>
          <w:rFonts w:hint="eastAsia" w:asciiTheme="minorEastAsia" w:hAnsiTheme="minorEastAsia" w:eastAsiaTheme="minorEastAsia" w:cstheme="minorEastAsia"/>
          <w:sz w:val="24"/>
          <w:szCs w:val="24"/>
        </w:rPr>
        <w:t>预算</w:t>
      </w:r>
      <w:r>
        <w:rPr>
          <w:rFonts w:hint="eastAsia" w:asciiTheme="minorEastAsia" w:hAnsiTheme="minorEastAsia" w:eastAsiaTheme="minorEastAsia" w:cstheme="minorEastAsia"/>
          <w:sz w:val="24"/>
          <w:szCs w:val="24"/>
          <w:lang w:eastAsia="zh-CN"/>
        </w:rPr>
        <w:t>没有申报立项</w:t>
      </w:r>
      <w:r>
        <w:rPr>
          <w:rFonts w:hint="eastAsia" w:asciiTheme="minorEastAsia" w:hAnsiTheme="minorEastAsia" w:eastAsiaTheme="minorEastAsia" w:cstheme="minorEastAsia"/>
          <w:sz w:val="24"/>
          <w:szCs w:val="24"/>
        </w:rPr>
        <w:t>，是</w:t>
      </w:r>
      <w:r>
        <w:rPr>
          <w:rFonts w:hint="eastAsia" w:asciiTheme="minorEastAsia" w:hAnsiTheme="minorEastAsia" w:eastAsiaTheme="minorEastAsia" w:cstheme="minorEastAsia"/>
          <w:sz w:val="24"/>
          <w:szCs w:val="24"/>
          <w:lang w:eastAsia="zh-CN"/>
        </w:rPr>
        <w:t>预算外</w:t>
      </w:r>
      <w:r>
        <w:rPr>
          <w:rFonts w:hint="eastAsia" w:asciiTheme="minorEastAsia" w:hAnsiTheme="minorEastAsia" w:eastAsiaTheme="minorEastAsia" w:cstheme="minorEastAsia"/>
          <w:sz w:val="24"/>
          <w:szCs w:val="24"/>
        </w:rPr>
        <w:t>追加的项目。</w:t>
      </w:r>
    </w:p>
    <w:p w14:paraId="1A3A065F">
      <w:pPr>
        <w:pStyle w:val="7"/>
        <w:widowControl/>
        <w:spacing w:beforeAutospacing="0" w:afterAutospacing="0" w:line="360" w:lineRule="auto"/>
        <w:ind w:firstLine="480" w:firstLineChars="200"/>
        <w:jc w:val="both"/>
        <w:rPr>
          <w:rFonts w:hint="default" w:ascii="Times New Roman" w:hAnsi="Times New Roman" w:cs="Times New Roman" w:eastAsiaTheme="minorEastAsia"/>
          <w:color w:val="222222"/>
          <w:sz w:val="24"/>
          <w:szCs w:val="24"/>
        </w:rPr>
      </w:pPr>
    </w:p>
    <w:p w14:paraId="45865EB3">
      <w:pPr>
        <w:pStyle w:val="14"/>
        <w:spacing w:line="360" w:lineRule="auto"/>
        <w:ind w:left="420" w:leftChars="200" w:firstLine="241" w:firstLineChars="10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（二）部门整体支出预算绩效目标的完成情况</w:t>
      </w:r>
    </w:p>
    <w:p w14:paraId="032D6EF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2017年，根据办事处年初工作规划和重点性工作，通过加强预算收支管理，不断建立健全内部管理制度，梳理内部管理流程，部门整体支出管理情况得到提升。根据2017年度部门整体支出状况的概述和分析，部门整体支出绩效情况如下：</w:t>
      </w:r>
    </w:p>
    <w:p w14:paraId="592365AF">
      <w:pPr>
        <w:pStyle w:val="7"/>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222222"/>
          <w:sz w:val="24"/>
          <w:szCs w:val="24"/>
        </w:rPr>
      </w:pPr>
    </w:p>
    <w:p w14:paraId="2B70D11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1、经济性评价</w:t>
      </w:r>
    </w:p>
    <w:p w14:paraId="6C9FEB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预算完成率：实际支出金额为</w:t>
      </w:r>
      <w:r>
        <w:rPr>
          <w:rFonts w:hint="eastAsia" w:asciiTheme="minorEastAsia" w:hAnsiTheme="minorEastAsia" w:eastAsiaTheme="minorEastAsia" w:cstheme="minorEastAsia"/>
          <w:sz w:val="24"/>
          <w:szCs w:val="24"/>
          <w:lang w:val="en-US" w:eastAsia="zh-CN"/>
        </w:rPr>
        <w:t>4,1</w:t>
      </w:r>
      <w:r>
        <w:rPr>
          <w:rFonts w:hint="eastAsia" w:asciiTheme="minorEastAsia" w:hAnsiTheme="minorEastAsia" w:eastAsiaTheme="minorEastAsia" w:cstheme="minorEastAsia"/>
          <w:sz w:val="24"/>
          <w:szCs w:val="24"/>
        </w:rPr>
        <w:t>53.73万元,预算支出金额为</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153.73万元,完成率为100%。</w:t>
      </w:r>
    </w:p>
    <w:p w14:paraId="3E20EE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预算控制率：本年年初预算数为</w:t>
      </w:r>
      <w:r>
        <w:rPr>
          <w:rFonts w:hint="eastAsia" w:asciiTheme="minorEastAsia" w:hAnsiTheme="minorEastAsia" w:eastAsiaTheme="minorEastAsia" w:cstheme="minorEastAsia"/>
          <w:sz w:val="24"/>
          <w:szCs w:val="24"/>
          <w:lang w:val="en-US" w:eastAsia="zh-CN"/>
        </w:rPr>
        <w:t>3,6</w:t>
      </w:r>
      <w:r>
        <w:rPr>
          <w:rFonts w:hint="eastAsia" w:asciiTheme="minorEastAsia" w:hAnsiTheme="minorEastAsia" w:eastAsiaTheme="minorEastAsia" w:cstheme="minorEastAsia"/>
          <w:sz w:val="24"/>
          <w:szCs w:val="24"/>
        </w:rPr>
        <w:t>27.8万</w:t>
      </w:r>
      <w:r>
        <w:rPr>
          <w:rFonts w:hint="eastAsia" w:asciiTheme="minorEastAsia" w:hAnsiTheme="minorEastAsia" w:eastAsiaTheme="minorEastAsia" w:cstheme="minorEastAsia"/>
          <w:sz w:val="24"/>
          <w:szCs w:val="24"/>
          <w:lang w:eastAsia="zh-CN"/>
        </w:rPr>
        <w:t>元</w:t>
      </w:r>
      <w:r>
        <w:rPr>
          <w:rFonts w:hint="eastAsia" w:asciiTheme="minorEastAsia" w:hAnsiTheme="minorEastAsia" w:eastAsiaTheme="minorEastAsia" w:cstheme="minorEastAsia"/>
          <w:sz w:val="24"/>
          <w:szCs w:val="24"/>
        </w:rPr>
        <w:t>, 预算调整509.23万元， 已制定《财务制度》和《公务消费审批制度》等办法，对招待费、公务用车等支出进行了有效管控。</w:t>
      </w:r>
    </w:p>
    <w:p w14:paraId="0146CB7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2、有效性评价</w:t>
      </w:r>
    </w:p>
    <w:p w14:paraId="19405E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（1）在职人员控制率：财政供养人员编制28名，截至2017年末实有在职人员51名，控制率182.14%。</w:t>
      </w:r>
    </w:p>
    <w:p w14:paraId="5F114F4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（2）公用经费控制率：实际支出公用经费总额208.42万元，预算安排公用经费总额为206.00万元,控制率为100.17%。</w:t>
      </w:r>
    </w:p>
    <w:p w14:paraId="2DC7E47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bookmarkStart w:id="0" w:name="_GoBack"/>
      <w:bookmarkEnd w:id="0"/>
      <w:r>
        <w:rPr>
          <w:rFonts w:hint="eastAsia" w:asciiTheme="minorEastAsia" w:hAnsiTheme="minorEastAsia" w:eastAsiaTheme="minorEastAsia" w:cstheme="minorEastAsia"/>
          <w:sz w:val="24"/>
          <w:szCs w:val="24"/>
        </w:rPr>
        <w:t>三公经费控制率：2016年支出金额为4.94万元，2017年支出金额为5.89万元，比上年增长了19.23%,其中:公务用车运行维护费增长23.02%，主要是由于车辆使用年限较长，维修保养费用较高；公务接待费2016年支出金额0.154万元,2017年支出为零，公务接待费下降100.00%，主要是本年度严格控制“三公”经费开支。</w:t>
      </w:r>
    </w:p>
    <w:p w14:paraId="4E821A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政府采购执行率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2017年实际政府采购金额109万元,政府采购预算金额109万元，控制率100%。</w:t>
      </w:r>
    </w:p>
    <w:p w14:paraId="5AF0CB2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（5）管理制度健全性上，办事处建立健全公务接待、财务管理、工程项目审计管理、廉洁从审等制度。</w:t>
      </w:r>
    </w:p>
    <w:p w14:paraId="2E57D6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资金使用合规性上，办事处在资金使用上一直按照国家财经法规和财务管理制度规定以及有关专项资金管理办法的规定收支，资金拨付有完整的审批程序和手续，按照财经制度的有关要求，做到专款专用，单位纪检书记对专项资金的使用进行全程监督，保证资金使用的合规性。资金使用无截留、挤占、挪用、虚列支出等情况。在预算管理方面，追加的预算没有履行相关完整的审批程序并取得相关的文件。</w:t>
      </w:r>
    </w:p>
    <w:p w14:paraId="184F76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222222"/>
          <w:sz w:val="24"/>
          <w:szCs w:val="24"/>
        </w:rPr>
      </w:pPr>
      <w:r>
        <w:rPr>
          <w:rFonts w:hint="eastAsia" w:asciiTheme="minorEastAsia" w:hAnsiTheme="minorEastAsia" w:eastAsiaTheme="minorEastAsia" w:cstheme="minorEastAsia"/>
          <w:sz w:val="24"/>
          <w:szCs w:val="24"/>
        </w:rPr>
        <w:t>（7）预决算信息公开性：2017年，按照财政要求，我办事处在武汉东湖新技术开发区政府网站进行了预决算公开。</w:t>
      </w:r>
    </w:p>
    <w:p w14:paraId="0F17E772">
      <w:pPr>
        <w:pStyle w:val="7"/>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222222"/>
          <w:sz w:val="24"/>
          <w:szCs w:val="24"/>
        </w:rPr>
      </w:pPr>
    </w:p>
    <w:p w14:paraId="3B4D68D8">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效益性评价</w:t>
      </w:r>
    </w:p>
    <w:p w14:paraId="76A1E5C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A、产出数量指标</w:t>
      </w:r>
    </w:p>
    <w:p w14:paraId="7BC2AF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(1)、重点工作实际完成率：</w:t>
      </w:r>
    </w:p>
    <w:p w14:paraId="4C2D6BC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完成率=（实际数量/计划数量）×100%。</w:t>
      </w:r>
    </w:p>
    <w:p w14:paraId="6E1FD79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计划数量：根据预算报告2017年重点项目14项,该指标考核要求按计划100%完成实际情况：</w:t>
      </w:r>
    </w:p>
    <w:p w14:paraId="3821759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指标评价标准如下：完成率在100%,6分，完成率在95%-99%,5分，完成率90%-94%,4分，完成进度在80%以下（0分）</w:t>
      </w:r>
    </w:p>
    <w:p w14:paraId="231065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实际完成情况:根据决算报告、工作总结，2017年度实际完成13.7项,其计划生育事业经费项目中共7项目有2项没完成，完成率97%。</w:t>
      </w:r>
    </w:p>
    <w:p w14:paraId="61B9ED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重点工作实际完成率指标6分，实际得分5分。</w:t>
      </w:r>
    </w:p>
    <w:p w14:paraId="5A85CF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产出质量指标</w:t>
      </w:r>
    </w:p>
    <w:p w14:paraId="0160E88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(1)、以空间保障“零延误”,2分;为民服务“零差错”2分,和谐稳定“零干扰”,2分。</w:t>
      </w:r>
    </w:p>
    <w:p w14:paraId="301927B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佛祖岭街道政务服务分中心年内建成并投入使用，运行4个多月以来居民满意率在全区8个街道位居第一。计划指标6分，实际得分6分。</w:t>
      </w:r>
    </w:p>
    <w:p w14:paraId="619BB0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(2)、社区“两委”班子换届选举无违规零投诉完成,,2分,有1例投诉0分。根据2017年绩效目标完成情况汇报、工作总结,2017年社区“两委”班子换届选举无违规零投诉完成指标2分,实际得分2分。</w:t>
      </w:r>
    </w:p>
    <w:p w14:paraId="7CF1BE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(3)、学习教育常态化制度化,启动社区工作者轮训计划达到280人次以上,2分。根据2017年绩效目标完成情况汇报、工作总结,2017年启动社区工作者轮训计划300人次，轮训计划指示280人次以上2分,实际得分2分。</w:t>
      </w:r>
    </w:p>
    <w:p w14:paraId="7DB6E68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全国“两会”、“一带一路”、“6·4”、“6·10”、国庆中秋“双节”、WTA武汉网球公开赛、党的十九大等敏感时期零越级上访,2分,有1例越级上访0分。根据2017年绩效目标完成情况汇报、工作总结,2017年敏感时期零越级上访,计划指示零越级上访2分,实际得分2分。</w:t>
      </w:r>
    </w:p>
    <w:p w14:paraId="41319E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社会效益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重大上访及群体性事件发生率0%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安全稳定满意程度在高新区满意度排</w:t>
      </w:r>
      <w:r>
        <w:rPr>
          <w:rFonts w:hint="eastAsia" w:asciiTheme="minorEastAsia" w:hAnsiTheme="minorEastAsia" w:eastAsiaTheme="minorEastAsia" w:cstheme="minorEastAsia"/>
          <w:sz w:val="24"/>
          <w:szCs w:val="24"/>
          <w:lang w:eastAsia="zh-CN"/>
        </w:rPr>
        <w:t>列</w:t>
      </w:r>
      <w:r>
        <w:rPr>
          <w:rFonts w:hint="eastAsia" w:asciiTheme="minorEastAsia" w:hAnsiTheme="minorEastAsia" w:eastAsiaTheme="minorEastAsia" w:cstheme="minorEastAsia"/>
          <w:sz w:val="24"/>
          <w:szCs w:val="24"/>
        </w:rPr>
        <w:t>中上等。</w:t>
      </w:r>
    </w:p>
    <w:p w14:paraId="784EE4D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生态效能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按照高新区管委会的安排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对管辖内的社区、村委会发放了80余张调查表，其中社会公众对管辖内的生态环境、居住环境满意度程度调查，调查结果92%为满意。居民居住生态环境良好。</w:t>
      </w:r>
    </w:p>
    <w:p w14:paraId="6E59D4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以上</w:t>
      </w:r>
      <w:r>
        <w:rPr>
          <w:rFonts w:hint="eastAsia" w:asciiTheme="minorEastAsia" w:hAnsiTheme="minorEastAsia" w:eastAsiaTheme="minorEastAsia" w:cstheme="minorEastAsia"/>
          <w:sz w:val="24"/>
          <w:szCs w:val="24"/>
        </w:rPr>
        <w:t>社会效益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生态效能</w:t>
      </w:r>
      <w:r>
        <w:rPr>
          <w:rFonts w:hint="eastAsia" w:asciiTheme="minorEastAsia" w:hAnsiTheme="minorEastAsia" w:eastAsiaTheme="minorEastAsia" w:cstheme="minorEastAsia"/>
          <w:sz w:val="24"/>
          <w:szCs w:val="24"/>
          <w:lang w:eastAsia="zh-CN"/>
        </w:rPr>
        <w:t>计划指标</w:t>
      </w:r>
      <w:r>
        <w:rPr>
          <w:rFonts w:hint="eastAsia" w:asciiTheme="minorEastAsia" w:hAnsiTheme="minorEastAsia" w:eastAsiaTheme="minorEastAsia" w:cstheme="minorEastAsia"/>
          <w:sz w:val="24"/>
          <w:szCs w:val="24"/>
          <w:lang w:val="en-US" w:eastAsia="zh-CN"/>
        </w:rPr>
        <w:t>10分,实际得分10分。</w:t>
      </w:r>
    </w:p>
    <w:p w14:paraId="434116C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4、可持续性评价</w:t>
      </w:r>
    </w:p>
    <w:p w14:paraId="6ACEB32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行政效能：为了提升部门整体支出及管理水平，佛祖岭办事处在管理制度上，根据武汉东湖新技术开发区管理委员会财政局《关于印发2018年预算绩效评价工作方案的通知》，专门成立了预算绩效管理工作领导小组，建立健全公务接待、财务管理、工程项目审计管理、廉洁从审等制度；在资金使用合规性上要求按照国家财经法规和财务管理制度规定以及有关专项资金管理办法的规定收支，资金拨付要有完整的审批程序和手续，对专项资金的使用要求单位纪检组长进行全程监督，保证资金使用的合规性。坚持预决算在门户网上公开、“三公”经费在党务政务栏公开，并张榜公示。通过以上措施的建立，为部门整体支出管理水平的持续提升提供了制度保障。</w:t>
      </w:r>
    </w:p>
    <w:p w14:paraId="55209DC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指标评价标准:</w:t>
      </w:r>
      <w:r>
        <w:rPr>
          <w:rFonts w:hint="eastAsia" w:asciiTheme="minorEastAsia" w:hAnsiTheme="minorEastAsia" w:eastAsiaTheme="minorEastAsia" w:cstheme="minorEastAsia"/>
          <w:sz w:val="24"/>
          <w:szCs w:val="24"/>
          <w:lang w:eastAsia="zh-CN"/>
        </w:rPr>
        <w:t>促进部门改进文风会风，加强经费及资产管理，推动网上办事，提高行政效率，降低行政成本效果较好的计10分；一般8分；无效果或者效果不明显0分。</w:t>
      </w:r>
      <w:r>
        <w:rPr>
          <w:rFonts w:hint="eastAsia" w:asciiTheme="minorEastAsia" w:hAnsiTheme="minorEastAsia" w:eastAsiaTheme="minorEastAsia" w:cstheme="minorEastAsia"/>
          <w:sz w:val="24"/>
          <w:szCs w:val="24"/>
        </w:rPr>
        <w:t>可持续性评价</w:t>
      </w:r>
      <w:r>
        <w:rPr>
          <w:rFonts w:hint="eastAsia" w:asciiTheme="minorEastAsia" w:hAnsiTheme="minorEastAsia" w:eastAsiaTheme="minorEastAsia" w:cstheme="minorEastAsia"/>
          <w:sz w:val="24"/>
          <w:szCs w:val="24"/>
          <w:lang w:eastAsia="zh-CN"/>
        </w:rPr>
        <w:t>指标实际得分</w:t>
      </w:r>
      <w:r>
        <w:rPr>
          <w:rFonts w:hint="eastAsia" w:asciiTheme="minorEastAsia" w:hAnsiTheme="minorEastAsia" w:eastAsiaTheme="minorEastAsia" w:cstheme="minorEastAsia"/>
          <w:sz w:val="24"/>
          <w:szCs w:val="24"/>
          <w:lang w:val="en-US" w:eastAsia="zh-CN"/>
        </w:rPr>
        <w:t>10分。</w:t>
      </w:r>
    </w:p>
    <w:p w14:paraId="40C593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）社会公众或服务对象满意度：按照高新区管委会的安排，对管辖内的社区、村委会发放了80余张调查表，对部门履行职责、生态环境、居住环境满意度程度调查，各项调查结果满意度均在90%。</w:t>
      </w:r>
    </w:p>
    <w:p w14:paraId="0B6611E2">
      <w:pPr>
        <w:pStyle w:val="7"/>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222222"/>
          <w:sz w:val="24"/>
          <w:szCs w:val="24"/>
        </w:rPr>
      </w:pPr>
    </w:p>
    <w:p w14:paraId="2D6A7D57">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三、自评结论</w:t>
      </w:r>
    </w:p>
    <w:p w14:paraId="41681584">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（一）自评结论</w:t>
      </w:r>
    </w:p>
    <w:p w14:paraId="7C17C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2017年我处在区委区政府的正确领导和决策下，圆满地完成了各项经济、社会效益指标。</w:t>
      </w:r>
    </w:p>
    <w:p w14:paraId="5CAB85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经综合分析本项目评分得分为91分，评分结果级别为：优。</w:t>
      </w:r>
    </w:p>
    <w:p w14:paraId="32878F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各项指标得分情况如下：</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766"/>
        <w:gridCol w:w="1766"/>
        <w:gridCol w:w="1766"/>
        <w:gridCol w:w="2207"/>
      </w:tblGrid>
      <w:tr w14:paraId="6F49E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17" w:type="dxa"/>
            <w:vAlign w:val="bottom"/>
          </w:tcPr>
          <w:p w14:paraId="3403550D">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序号</w:t>
            </w:r>
          </w:p>
        </w:tc>
        <w:tc>
          <w:tcPr>
            <w:tcW w:w="1766" w:type="dxa"/>
            <w:vAlign w:val="bottom"/>
          </w:tcPr>
          <w:p w14:paraId="5B696C8E">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指标</w:t>
            </w:r>
          </w:p>
        </w:tc>
        <w:tc>
          <w:tcPr>
            <w:tcW w:w="1766" w:type="dxa"/>
            <w:vAlign w:val="bottom"/>
          </w:tcPr>
          <w:p w14:paraId="6310EB64">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分值</w:t>
            </w:r>
          </w:p>
        </w:tc>
        <w:tc>
          <w:tcPr>
            <w:tcW w:w="1766" w:type="dxa"/>
            <w:vAlign w:val="bottom"/>
          </w:tcPr>
          <w:p w14:paraId="2975C2DC">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评价得分</w:t>
            </w:r>
          </w:p>
        </w:tc>
        <w:tc>
          <w:tcPr>
            <w:tcW w:w="2207" w:type="dxa"/>
            <w:vAlign w:val="bottom"/>
          </w:tcPr>
          <w:p w14:paraId="7C48543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评分结果级别</w:t>
            </w:r>
          </w:p>
        </w:tc>
      </w:tr>
      <w:tr w14:paraId="02FF3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17" w:type="dxa"/>
            <w:vAlign w:val="bottom"/>
          </w:tcPr>
          <w:p w14:paraId="0B28C8B4">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766" w:type="dxa"/>
            <w:vAlign w:val="bottom"/>
          </w:tcPr>
          <w:p w14:paraId="79A54A90">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投入管理</w:t>
            </w:r>
          </w:p>
        </w:tc>
        <w:tc>
          <w:tcPr>
            <w:tcW w:w="1766" w:type="dxa"/>
            <w:vAlign w:val="bottom"/>
          </w:tcPr>
          <w:p w14:paraId="57B2BCBE">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w:t>
            </w:r>
          </w:p>
        </w:tc>
        <w:tc>
          <w:tcPr>
            <w:tcW w:w="1766" w:type="dxa"/>
            <w:vAlign w:val="bottom"/>
          </w:tcPr>
          <w:p w14:paraId="2AEBD844">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9</w:t>
            </w:r>
          </w:p>
        </w:tc>
        <w:tc>
          <w:tcPr>
            <w:tcW w:w="2207" w:type="dxa"/>
            <w:vMerge w:val="restart"/>
            <w:vAlign w:val="center"/>
          </w:tcPr>
          <w:p w14:paraId="6BE83740">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优</w:t>
            </w:r>
          </w:p>
        </w:tc>
      </w:tr>
      <w:tr w14:paraId="6CFC1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17" w:type="dxa"/>
            <w:vAlign w:val="bottom"/>
          </w:tcPr>
          <w:p w14:paraId="01B39274">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766" w:type="dxa"/>
            <w:vAlign w:val="bottom"/>
          </w:tcPr>
          <w:p w14:paraId="30C29DE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过程管理</w:t>
            </w:r>
          </w:p>
        </w:tc>
        <w:tc>
          <w:tcPr>
            <w:tcW w:w="1766" w:type="dxa"/>
            <w:vAlign w:val="bottom"/>
          </w:tcPr>
          <w:p w14:paraId="760148C0">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37</w:t>
            </w:r>
          </w:p>
        </w:tc>
        <w:tc>
          <w:tcPr>
            <w:tcW w:w="1766" w:type="dxa"/>
            <w:vAlign w:val="bottom"/>
          </w:tcPr>
          <w:p w14:paraId="11843617">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33</w:t>
            </w:r>
          </w:p>
        </w:tc>
        <w:tc>
          <w:tcPr>
            <w:tcW w:w="2207" w:type="dxa"/>
            <w:vMerge w:val="continue"/>
            <w:vAlign w:val="center"/>
          </w:tcPr>
          <w:p w14:paraId="373EF8C7">
            <w:pPr>
              <w:widowControl/>
              <w:jc w:val="left"/>
              <w:rPr>
                <w:rFonts w:hint="default" w:ascii="Times New Roman" w:hAnsi="Times New Roman" w:cs="Times New Roman" w:eastAsiaTheme="minorEastAsia"/>
                <w:sz w:val="21"/>
                <w:szCs w:val="21"/>
              </w:rPr>
            </w:pPr>
          </w:p>
        </w:tc>
      </w:tr>
      <w:tr w14:paraId="41A5C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17" w:type="dxa"/>
            <w:vAlign w:val="bottom"/>
          </w:tcPr>
          <w:p w14:paraId="5EA10CC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1766" w:type="dxa"/>
            <w:vAlign w:val="bottom"/>
          </w:tcPr>
          <w:p w14:paraId="5B42C3A6">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项目绩效</w:t>
            </w:r>
          </w:p>
        </w:tc>
        <w:tc>
          <w:tcPr>
            <w:tcW w:w="1766" w:type="dxa"/>
            <w:vAlign w:val="bottom"/>
          </w:tcPr>
          <w:p w14:paraId="2B02BA8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w:t>
            </w:r>
          </w:p>
        </w:tc>
        <w:tc>
          <w:tcPr>
            <w:tcW w:w="1766" w:type="dxa"/>
            <w:vAlign w:val="bottom"/>
          </w:tcPr>
          <w:p w14:paraId="77F17DA6">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49</w:t>
            </w:r>
          </w:p>
        </w:tc>
        <w:tc>
          <w:tcPr>
            <w:tcW w:w="2207" w:type="dxa"/>
            <w:vMerge w:val="continue"/>
            <w:vAlign w:val="center"/>
          </w:tcPr>
          <w:p w14:paraId="2964F79F">
            <w:pPr>
              <w:widowControl/>
              <w:jc w:val="left"/>
              <w:rPr>
                <w:rFonts w:hint="default" w:ascii="Times New Roman" w:hAnsi="Times New Roman" w:cs="Times New Roman" w:eastAsiaTheme="minorEastAsia"/>
                <w:sz w:val="21"/>
                <w:szCs w:val="21"/>
              </w:rPr>
            </w:pPr>
          </w:p>
        </w:tc>
      </w:tr>
      <w:tr w14:paraId="4F3DA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17" w:type="dxa"/>
            <w:vAlign w:val="bottom"/>
          </w:tcPr>
          <w:p w14:paraId="2FA54C0F">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1766" w:type="dxa"/>
            <w:vAlign w:val="bottom"/>
          </w:tcPr>
          <w:p w14:paraId="59CF46E9">
            <w:pPr>
              <w:jc w:val="center"/>
              <w:rPr>
                <w:rFonts w:hint="default" w:ascii="Times New Roman" w:hAnsi="Times New Roman" w:cs="Times New Roman" w:eastAsiaTheme="minorEastAsia"/>
                <w:sz w:val="21"/>
                <w:szCs w:val="21"/>
              </w:rPr>
            </w:pPr>
          </w:p>
        </w:tc>
        <w:tc>
          <w:tcPr>
            <w:tcW w:w="1766" w:type="dxa"/>
            <w:vAlign w:val="bottom"/>
          </w:tcPr>
          <w:p w14:paraId="7B08EEEE">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100.00</w:t>
            </w:r>
          </w:p>
        </w:tc>
        <w:tc>
          <w:tcPr>
            <w:tcW w:w="1766" w:type="dxa"/>
            <w:vAlign w:val="bottom"/>
          </w:tcPr>
          <w:p w14:paraId="1D5F50E7">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91</w:t>
            </w:r>
          </w:p>
        </w:tc>
        <w:tc>
          <w:tcPr>
            <w:tcW w:w="2207" w:type="dxa"/>
            <w:vMerge w:val="continue"/>
            <w:vAlign w:val="center"/>
          </w:tcPr>
          <w:p w14:paraId="7231802D">
            <w:pPr>
              <w:widowControl/>
              <w:jc w:val="left"/>
              <w:rPr>
                <w:rFonts w:hint="default" w:ascii="Times New Roman" w:hAnsi="Times New Roman" w:cs="Times New Roman" w:eastAsiaTheme="minorEastAsia"/>
                <w:sz w:val="21"/>
                <w:szCs w:val="21"/>
              </w:rPr>
            </w:pPr>
          </w:p>
        </w:tc>
      </w:tr>
    </w:tbl>
    <w:p w14:paraId="31DF026F">
      <w:pPr>
        <w:keepNext w:val="0"/>
        <w:keepLines w:val="0"/>
        <w:pageBreakBefore w:val="0"/>
        <w:kinsoku/>
        <w:wordWrap/>
        <w:overflowPunct/>
        <w:topLinePunct w:val="0"/>
        <w:autoSpaceDE/>
        <w:autoSpaceDN/>
        <w:bidi w:val="0"/>
        <w:adjustRightInd/>
        <w:snapToGrid/>
        <w:spacing w:line="360" w:lineRule="auto"/>
        <w:ind w:firstLine="723" w:firstLineChars="300"/>
        <w:textAlignment w:val="auto"/>
        <w:outlineLvl w:val="9"/>
        <w:rPr>
          <w:rFonts w:hint="eastAsia" w:asciiTheme="minorEastAsia" w:hAnsiTheme="minorEastAsia" w:eastAsiaTheme="minorEastAsia" w:cstheme="minorEastAsia"/>
          <w:b/>
          <w:sz w:val="24"/>
          <w:szCs w:val="24"/>
        </w:rPr>
      </w:pPr>
    </w:p>
    <w:p w14:paraId="5091C995">
      <w:pPr>
        <w:pStyle w:val="14"/>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（二）主要经验，存在的问题和改进措施</w:t>
      </w:r>
    </w:p>
    <w:p w14:paraId="7933ECAC">
      <w:pPr>
        <w:pStyle w:val="7"/>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222222"/>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kern w:val="2"/>
          <w:sz w:val="24"/>
          <w:szCs w:val="24"/>
          <w:lang w:val="en-US" w:eastAsia="zh-CN" w:bidi="ar-SA"/>
        </w:rPr>
        <w:t>1、主要经验</w:t>
      </w:r>
    </w:p>
    <w:p w14:paraId="0D9EEF6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(1) 强基础固本源，切实履行主体责任、全力推进“红色引擎”工程。</w:t>
      </w:r>
    </w:p>
    <w:p w14:paraId="54F9E92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佛祖岭街道党工委切实履行全面从严治党主体责任，坚持把领导班子思想政治建设摆在首位，严格按照“抓班子、带队伍、谋发展”的要求，加强领导班子思想、作风和能力建设，班子的执行力、战斗力不断增强，在征地拆迁、构建和谐、关注民生等方面很好地发挥了班子的领导核心作用。</w:t>
      </w:r>
    </w:p>
    <w:p w14:paraId="23561FA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）出重拳抓维稳，全力维护辖区平安稳定。</w:t>
      </w:r>
    </w:p>
    <w:p w14:paraId="3F416A2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2017年，佛祖岭街始终把维稳工作放在首位，紧盯“平安稳定”目标，紧扣“化解矛盾”主线，以夯实社区（村）基础为重点，强化管理，明晰责任，分阶段扎实推进“平安街道”创建工作。严格落实重点人“四盯一”包保稳控方案，坚持每季度召开各村（居）书记会，每月召开治保主任会，分析综治形势，解决存在的问题。</w:t>
      </w:r>
    </w:p>
    <w:p w14:paraId="615C886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）强治理出实招，统筹兼顾推进征地拆迁和城市管理。</w:t>
      </w:r>
    </w:p>
    <w:p w14:paraId="7B36877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2017年，佛祖岭街顺利完成重点项目的征地任务，确保了WTA停车场、牌楼公交停保场等重点项目的开工建设。截止目前，全街共完成拆迁签约16.72万平方米，签约率83.6%，房屋拆除面积15.12万平方米。及时、有序发放过渡费</w:t>
      </w:r>
      <w:r>
        <w:rPr>
          <w:rFonts w:hint="eastAsia" w:asciiTheme="minorEastAsia" w:hAnsiTheme="minorEastAsia" w:eastAsiaTheme="minorEastAsia" w:cstheme="minorEastAsia"/>
          <w:sz w:val="24"/>
          <w:szCs w:val="24"/>
          <w:lang w:val="en-US" w:eastAsia="zh-CN"/>
        </w:rPr>
        <w:t>83</w:t>
      </w:r>
      <w:r>
        <w:rPr>
          <w:rFonts w:hint="eastAsia" w:asciiTheme="minorEastAsia" w:hAnsiTheme="minorEastAsia" w:eastAsiaTheme="minorEastAsia" w:cstheme="minorEastAsia"/>
          <w:sz w:val="24"/>
          <w:szCs w:val="24"/>
          <w:lang w:eastAsia="zh-CN"/>
        </w:rPr>
        <w:t>7</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lang w:eastAsia="zh-CN"/>
        </w:rPr>
        <w:t>余万元，保证了未分房在外过渡居住的拆迁农户的基本生活。基本完成了E、F地块3000多套还建房分配工作，让在外过渡的拆迁户早日住上新房。</w:t>
      </w:r>
    </w:p>
    <w:p w14:paraId="4E71F73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）挑重担敢担当，全力以赴确保辖区安全。</w:t>
      </w:r>
    </w:p>
    <w:p w14:paraId="27B115C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坚持“安全第一，预防为主，综合治理”的方针，全面推动辖区安全生产、消防安全、森林防火、畜禽安全等工作的开展。以社区为单位，根据网格化管理的责任范围划分具体要求，联合公安、消防职能部门加强执法监察，对辖区内存在的重大安全隐患和逾期不改的生产性单位依法进行查处。</w:t>
      </w:r>
    </w:p>
    <w:p w14:paraId="66802324">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）强保障惠民生，不忘初心增进民生福祉。</w:t>
      </w:r>
    </w:p>
    <w:p w14:paraId="5ECEF287">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街道始终坚持以人为本，注重改善民计民生。劳动保障工作不断加强，截至11月25日，办理居民医保新增业务3753件，养老年审业务6504件，社会保险网上申报业务3024件，社保业务咨询回复率100%，灵活就业人员异动业务社区办结率正确率100%，社保业务经办服务有效投诉为零。</w:t>
      </w:r>
    </w:p>
    <w:p w14:paraId="2C6C02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2、存在的主要问题</w:t>
      </w:r>
    </w:p>
    <w:p w14:paraId="1D8E69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（1）人员预算编制偏差较大,控制率182.14%。</w:t>
      </w:r>
    </w:p>
    <w:p w14:paraId="0F1F0E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人员工资福利支出期初预算编制支出745.17万元，决算支出</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lang w:eastAsia="zh-CN"/>
        </w:rPr>
        <w:t>17.37万元,中途追加预算编制572.20万元。</w:t>
      </w:r>
    </w:p>
    <w:p w14:paraId="04386D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（2）追加的预算编制支出没有履行相关完整的审批程序，取得批复相关文件不齐全。</w:t>
      </w:r>
    </w:p>
    <w:p w14:paraId="5CB1FD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（3）未定期对资产进行盘点清理，账实是否相符。</w:t>
      </w:r>
    </w:p>
    <w:p w14:paraId="2AABB53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3、对策和建议</w:t>
      </w:r>
    </w:p>
    <w:p w14:paraId="78FDED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细化预算编制工作，认真做好预算的编制。进一步加强办事处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预算“二上二下”方式，提高预算的合理性和准确性。</w:t>
      </w:r>
    </w:p>
    <w:p w14:paraId="548329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（2）追加的预算应履行相关完整的审批程序，取得相关批复文件。做到规范化，制度化。</w:t>
      </w:r>
    </w:p>
    <w:p w14:paraId="5E5CC2D4">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）加强资产管理，对固定资产定期清理盘点，确保账账相符，账实相符。</w:t>
      </w:r>
    </w:p>
    <w:p w14:paraId="4A827D8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）加强财务人员的业务培训工作，提高财务人员工作效率和决策管理水平。</w:t>
      </w:r>
    </w:p>
    <w:p w14:paraId="69FFCDD5">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武汉东湖新技术开发区佛祖岭街道办事处</w:t>
      </w:r>
    </w:p>
    <w:p w14:paraId="79D301F0">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2018年5月30日</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9BE3">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6206510">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92DD4"/>
    <w:multiLevelType w:val="singleLevel"/>
    <w:tmpl w:val="80692DD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JiZTY4ZDc4ZTVjN2JiZDlkNDAxOTU3MWMwYzI5MjgifQ=="/>
  </w:docVars>
  <w:rsids>
    <w:rsidRoot w:val="005632F0"/>
    <w:rsid w:val="00027C9F"/>
    <w:rsid w:val="000360F0"/>
    <w:rsid w:val="00050214"/>
    <w:rsid w:val="00051D5E"/>
    <w:rsid w:val="00074B0E"/>
    <w:rsid w:val="0007712C"/>
    <w:rsid w:val="000C4036"/>
    <w:rsid w:val="000C59F2"/>
    <w:rsid w:val="000D227E"/>
    <w:rsid w:val="000E023B"/>
    <w:rsid w:val="001031BD"/>
    <w:rsid w:val="00107347"/>
    <w:rsid w:val="0012152D"/>
    <w:rsid w:val="00127194"/>
    <w:rsid w:val="00130A2F"/>
    <w:rsid w:val="0013744B"/>
    <w:rsid w:val="0016655A"/>
    <w:rsid w:val="00172124"/>
    <w:rsid w:val="00191B2B"/>
    <w:rsid w:val="001A0488"/>
    <w:rsid w:val="001B7CE4"/>
    <w:rsid w:val="001C115D"/>
    <w:rsid w:val="001C1A76"/>
    <w:rsid w:val="001C3ED3"/>
    <w:rsid w:val="001D623C"/>
    <w:rsid w:val="0020394D"/>
    <w:rsid w:val="00204CC9"/>
    <w:rsid w:val="00217D48"/>
    <w:rsid w:val="00217D69"/>
    <w:rsid w:val="002321A6"/>
    <w:rsid w:val="00236A43"/>
    <w:rsid w:val="00266228"/>
    <w:rsid w:val="00272853"/>
    <w:rsid w:val="002757BC"/>
    <w:rsid w:val="002A0B47"/>
    <w:rsid w:val="002B31FA"/>
    <w:rsid w:val="002B3C6C"/>
    <w:rsid w:val="002D2714"/>
    <w:rsid w:val="002F27B3"/>
    <w:rsid w:val="0031169B"/>
    <w:rsid w:val="00324A39"/>
    <w:rsid w:val="0032538D"/>
    <w:rsid w:val="0033063F"/>
    <w:rsid w:val="00375BD8"/>
    <w:rsid w:val="00391A72"/>
    <w:rsid w:val="003A28C7"/>
    <w:rsid w:val="003B5419"/>
    <w:rsid w:val="003C2888"/>
    <w:rsid w:val="003F6551"/>
    <w:rsid w:val="00405673"/>
    <w:rsid w:val="00412FB7"/>
    <w:rsid w:val="004168C1"/>
    <w:rsid w:val="004306AC"/>
    <w:rsid w:val="004400D4"/>
    <w:rsid w:val="004416FF"/>
    <w:rsid w:val="0044755E"/>
    <w:rsid w:val="00462716"/>
    <w:rsid w:val="00490AD5"/>
    <w:rsid w:val="004949A4"/>
    <w:rsid w:val="0049557C"/>
    <w:rsid w:val="004A4FBE"/>
    <w:rsid w:val="004C16D9"/>
    <w:rsid w:val="004D449E"/>
    <w:rsid w:val="004E7B96"/>
    <w:rsid w:val="004F1820"/>
    <w:rsid w:val="00516410"/>
    <w:rsid w:val="005221AF"/>
    <w:rsid w:val="00532772"/>
    <w:rsid w:val="00555AEA"/>
    <w:rsid w:val="005617E0"/>
    <w:rsid w:val="005632F0"/>
    <w:rsid w:val="00566E01"/>
    <w:rsid w:val="005678C9"/>
    <w:rsid w:val="00597753"/>
    <w:rsid w:val="005A6850"/>
    <w:rsid w:val="005D5C77"/>
    <w:rsid w:val="005E04C6"/>
    <w:rsid w:val="006225A4"/>
    <w:rsid w:val="00651B13"/>
    <w:rsid w:val="00665DCF"/>
    <w:rsid w:val="006B7E58"/>
    <w:rsid w:val="00714BF1"/>
    <w:rsid w:val="0074288B"/>
    <w:rsid w:val="00753178"/>
    <w:rsid w:val="00757F9B"/>
    <w:rsid w:val="00760E0D"/>
    <w:rsid w:val="00783E1B"/>
    <w:rsid w:val="00796D0A"/>
    <w:rsid w:val="007A6061"/>
    <w:rsid w:val="007B5884"/>
    <w:rsid w:val="007B5C01"/>
    <w:rsid w:val="007C5C90"/>
    <w:rsid w:val="007C5E1D"/>
    <w:rsid w:val="007E205B"/>
    <w:rsid w:val="00805B50"/>
    <w:rsid w:val="00843091"/>
    <w:rsid w:val="0086046C"/>
    <w:rsid w:val="00871B20"/>
    <w:rsid w:val="008832C3"/>
    <w:rsid w:val="00891925"/>
    <w:rsid w:val="00892367"/>
    <w:rsid w:val="008B036E"/>
    <w:rsid w:val="008B7F18"/>
    <w:rsid w:val="008D123D"/>
    <w:rsid w:val="008D5D30"/>
    <w:rsid w:val="00916920"/>
    <w:rsid w:val="00931E4F"/>
    <w:rsid w:val="009454DC"/>
    <w:rsid w:val="00957AB2"/>
    <w:rsid w:val="00982051"/>
    <w:rsid w:val="009908F6"/>
    <w:rsid w:val="00992F80"/>
    <w:rsid w:val="009B512B"/>
    <w:rsid w:val="009C7DEF"/>
    <w:rsid w:val="009D2CD9"/>
    <w:rsid w:val="009E6629"/>
    <w:rsid w:val="009F699F"/>
    <w:rsid w:val="00A67968"/>
    <w:rsid w:val="00AA3D40"/>
    <w:rsid w:val="00AB74C8"/>
    <w:rsid w:val="00B01573"/>
    <w:rsid w:val="00B028EA"/>
    <w:rsid w:val="00B17341"/>
    <w:rsid w:val="00B72266"/>
    <w:rsid w:val="00B77854"/>
    <w:rsid w:val="00B80BB6"/>
    <w:rsid w:val="00B90632"/>
    <w:rsid w:val="00BB7595"/>
    <w:rsid w:val="00BC4561"/>
    <w:rsid w:val="00BE747A"/>
    <w:rsid w:val="00C213DC"/>
    <w:rsid w:val="00C21616"/>
    <w:rsid w:val="00C41907"/>
    <w:rsid w:val="00C52852"/>
    <w:rsid w:val="00C56002"/>
    <w:rsid w:val="00CF58E9"/>
    <w:rsid w:val="00D0334D"/>
    <w:rsid w:val="00D04404"/>
    <w:rsid w:val="00D07765"/>
    <w:rsid w:val="00D213D1"/>
    <w:rsid w:val="00D24D06"/>
    <w:rsid w:val="00D30ED0"/>
    <w:rsid w:val="00D32F9B"/>
    <w:rsid w:val="00D40672"/>
    <w:rsid w:val="00D51B70"/>
    <w:rsid w:val="00D5653D"/>
    <w:rsid w:val="00D64927"/>
    <w:rsid w:val="00D73D55"/>
    <w:rsid w:val="00D75517"/>
    <w:rsid w:val="00D90C50"/>
    <w:rsid w:val="00D97B13"/>
    <w:rsid w:val="00DA707C"/>
    <w:rsid w:val="00DF3752"/>
    <w:rsid w:val="00E14FEC"/>
    <w:rsid w:val="00E3628E"/>
    <w:rsid w:val="00E411E5"/>
    <w:rsid w:val="00E53A71"/>
    <w:rsid w:val="00E86932"/>
    <w:rsid w:val="00EB537A"/>
    <w:rsid w:val="00EF1E23"/>
    <w:rsid w:val="00EF3C95"/>
    <w:rsid w:val="00F10AE4"/>
    <w:rsid w:val="00F315FA"/>
    <w:rsid w:val="00F33B58"/>
    <w:rsid w:val="00F5130B"/>
    <w:rsid w:val="00F56FF8"/>
    <w:rsid w:val="00F66A9B"/>
    <w:rsid w:val="00F9170E"/>
    <w:rsid w:val="00FB198A"/>
    <w:rsid w:val="00FB1F46"/>
    <w:rsid w:val="00FB2754"/>
    <w:rsid w:val="00FC1FBB"/>
    <w:rsid w:val="00FD45E9"/>
    <w:rsid w:val="00FE05D6"/>
    <w:rsid w:val="00FE1209"/>
    <w:rsid w:val="00FE3A08"/>
    <w:rsid w:val="00FF0471"/>
    <w:rsid w:val="00FF0B7F"/>
    <w:rsid w:val="00FF3F13"/>
    <w:rsid w:val="08B76F68"/>
    <w:rsid w:val="0C5F40F6"/>
    <w:rsid w:val="0CFF1FA1"/>
    <w:rsid w:val="13A51B6F"/>
    <w:rsid w:val="18A16368"/>
    <w:rsid w:val="1B54232D"/>
    <w:rsid w:val="260A13F8"/>
    <w:rsid w:val="27696412"/>
    <w:rsid w:val="2B3B1DA1"/>
    <w:rsid w:val="2F6E7958"/>
    <w:rsid w:val="348D54A8"/>
    <w:rsid w:val="367C6D8E"/>
    <w:rsid w:val="51F578BB"/>
    <w:rsid w:val="53A55C5B"/>
    <w:rsid w:val="5E291EE3"/>
    <w:rsid w:val="5E9D5904"/>
    <w:rsid w:val="64AE6F9F"/>
    <w:rsid w:val="6E474C43"/>
    <w:rsid w:val="70362E08"/>
    <w:rsid w:val="70EA78AA"/>
    <w:rsid w:val="7E8B7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300" w:lineRule="auto"/>
      <w:jc w:val="center"/>
      <w:outlineLvl w:val="0"/>
    </w:pPr>
    <w:rPr>
      <w:rFonts w:ascii="黑体" w:hAnsi="Times New Roman" w:eastAsia="黑体" w:cs="Times New Roman"/>
      <w:bCs/>
      <w:kern w:val="44"/>
      <w:sz w:val="32"/>
      <w:szCs w:val="44"/>
    </w:rPr>
  </w:style>
  <w:style w:type="paragraph" w:styleId="3">
    <w:name w:val="heading 3"/>
    <w:basedOn w:val="1"/>
    <w:next w:val="1"/>
    <w:qFormat/>
    <w:uiPriority w:val="0"/>
    <w:pPr>
      <w:keepNext/>
      <w:keepLines/>
      <w:spacing w:beforeLines="50"/>
      <w:outlineLvl w:val="2"/>
    </w:p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2"/>
    <w:basedOn w:val="1"/>
    <w:link w:val="16"/>
    <w:qFormat/>
    <w:uiPriority w:val="0"/>
    <w:pPr>
      <w:ind w:firstLine="613" w:firstLineChars="200"/>
    </w:pPr>
    <w:rPr>
      <w:rFonts w:ascii="Times New Roman" w:hAnsi="Times New Roman" w:eastAsia="仿宋_GB2312" w:cs="Times New Roman"/>
      <w:sz w:val="32"/>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列出段落1"/>
    <w:basedOn w:val="1"/>
    <w:qFormat/>
    <w:uiPriority w:val="34"/>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正文文本缩进 2 Char"/>
    <w:basedOn w:val="10"/>
    <w:link w:val="4"/>
    <w:qFormat/>
    <w:uiPriority w:val="0"/>
    <w:rPr>
      <w:rFonts w:eastAsia="仿宋_GB2312"/>
      <w:kern w:val="2"/>
      <w:sz w:val="32"/>
      <w:szCs w:val="24"/>
    </w:rPr>
  </w:style>
  <w:style w:type="character" w:customStyle="1" w:styleId="17">
    <w:name w:val="标题 1 Char"/>
    <w:basedOn w:val="10"/>
    <w:link w:val="2"/>
    <w:qFormat/>
    <w:uiPriority w:val="0"/>
    <w:rPr>
      <w:rFonts w:ascii="黑体" w:eastAsia="黑体"/>
      <w:bCs/>
      <w:kern w:val="44"/>
      <w:sz w:val="32"/>
      <w:szCs w:val="44"/>
    </w:rPr>
  </w:style>
  <w:style w:type="character" w:customStyle="1" w:styleId="18">
    <w:name w:val="font11"/>
    <w:basedOn w:val="10"/>
    <w:qFormat/>
    <w:uiPriority w:val="0"/>
    <w:rPr>
      <w:rFonts w:hint="eastAsia" w:ascii="宋体" w:hAnsi="宋体" w:eastAsia="宋体" w:cs="宋体"/>
      <w:color w:val="000000"/>
      <w:sz w:val="18"/>
      <w:szCs w:val="18"/>
      <w:u w:val="none"/>
    </w:rPr>
  </w:style>
  <w:style w:type="character" w:customStyle="1" w:styleId="19">
    <w:name w:val="font01"/>
    <w:basedOn w:val="10"/>
    <w:qFormat/>
    <w:uiPriority w:val="0"/>
    <w:rPr>
      <w:rFonts w:hint="eastAsia" w:ascii="宋体" w:hAnsi="宋体" w:eastAsia="宋体" w:cs="宋体"/>
      <w:color w:val="000000"/>
      <w:sz w:val="21"/>
      <w:szCs w:val="21"/>
      <w:u w:val="none"/>
    </w:rPr>
  </w:style>
  <w:style w:type="paragraph" w:customStyle="1" w:styleId="20">
    <w:name w:val="pa-3"/>
    <w:basedOn w:val="1"/>
    <w:qFormat/>
    <w:uiPriority w:val="0"/>
    <w:pPr>
      <w:widowControl/>
      <w:spacing w:before="150" w:after="15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6118</Words>
  <Characters>7176</Characters>
  <Lines>66</Lines>
  <Paragraphs>18</Paragraphs>
  <TotalTime>4</TotalTime>
  <ScaleCrop>false</ScaleCrop>
  <LinksUpToDate>false</LinksUpToDate>
  <CharactersWithSpaces>7486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2017-05-26T23:09:00Z</dcterms:created>
  <dc:creator>cuidezhi</dc:creator>
  <cp:lastModifiedBy>一浮西米✨</cp:lastModifiedBy>
  <dcterms:modified xsi:type="dcterms:W3CDTF">2025-04-25T03:14:51Z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5EEE8782FA164FFB8B80B6591781EC14</vt:lpwstr>
  </property>
  <property fmtid="{D5CDD505-2E9C-101B-9397-08002B2CF9AE}" pid="4" name="KSOTemplateDocerSaveRecord">
    <vt:lpwstr>eyJoZGlkIjoiOTgyNTM4NDUwMWUwMGVjYjBjMjVhY2Y0MmRlYzMyZDQiLCJ1c2VySWQiOiI3MzE3MDgxNDIifQ==</vt:lpwstr>
  </property>
</Properties>
</file>