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A0664">
      <w:pPr>
        <w:snapToGrid w:val="0"/>
        <w:spacing w:line="560" w:lineRule="atLeast"/>
        <w:ind w:left="1416" w:leftChars="172" w:hanging="1055" w:hangingChars="146"/>
        <w:rPr>
          <w:rFonts w:hint="eastAsia" w:ascii="宋体" w:hAnsi="宋体"/>
          <w:b/>
          <w:bCs/>
          <w:sz w:val="72"/>
          <w:szCs w:val="72"/>
        </w:rPr>
      </w:pPr>
    </w:p>
    <w:p w14:paraId="70A5611C">
      <w:pPr>
        <w:snapToGrid w:val="0"/>
        <w:spacing w:line="560" w:lineRule="atLeast"/>
        <w:ind w:left="1416" w:leftChars="172" w:hanging="1055" w:hangingChars="146"/>
        <w:rPr>
          <w:rFonts w:hint="eastAsia" w:ascii="宋体" w:hAnsi="宋体"/>
          <w:b/>
          <w:bCs/>
          <w:sz w:val="72"/>
          <w:szCs w:val="72"/>
        </w:rPr>
      </w:pPr>
    </w:p>
    <w:p w14:paraId="54F4987F">
      <w:pPr>
        <w:snapToGrid w:val="0"/>
        <w:spacing w:line="560" w:lineRule="atLeast"/>
        <w:ind w:left="1416" w:leftChars="172" w:hanging="1055" w:hangingChars="146"/>
        <w:rPr>
          <w:b/>
          <w:bCs/>
          <w:sz w:val="72"/>
          <w:szCs w:val="72"/>
        </w:rPr>
      </w:pPr>
      <w:r>
        <w:rPr>
          <w:rFonts w:hint="eastAsia" w:ascii="宋体" w:hAnsi="宋体"/>
          <w:b/>
          <w:bCs/>
          <w:sz w:val="72"/>
          <w:szCs w:val="72"/>
        </w:rPr>
        <w:t>武汉东湖新技术开发区九峰街道办事处</w:t>
      </w:r>
    </w:p>
    <w:p w14:paraId="30B96F96">
      <w:pPr>
        <w:snapToGrid w:val="0"/>
        <w:spacing w:line="560" w:lineRule="atLeast"/>
        <w:jc w:val="center"/>
        <w:rPr>
          <w:b/>
          <w:bCs/>
          <w:sz w:val="72"/>
          <w:szCs w:val="72"/>
        </w:rPr>
      </w:pPr>
      <w:r>
        <w:rPr>
          <w:b/>
          <w:bCs/>
          <w:sz w:val="72"/>
          <w:szCs w:val="72"/>
        </w:rPr>
        <w:t xml:space="preserve"> </w:t>
      </w:r>
    </w:p>
    <w:p w14:paraId="01BD0306">
      <w:pPr>
        <w:snapToGrid w:val="0"/>
        <w:spacing w:line="560" w:lineRule="atLeast"/>
        <w:jc w:val="center"/>
        <w:rPr>
          <w:b/>
          <w:bCs/>
          <w:sz w:val="72"/>
          <w:szCs w:val="72"/>
        </w:rPr>
      </w:pPr>
      <w:r>
        <w:rPr>
          <w:b/>
          <w:bCs/>
          <w:sz w:val="72"/>
          <w:szCs w:val="72"/>
        </w:rPr>
        <w:t xml:space="preserve"> </w:t>
      </w:r>
    </w:p>
    <w:p w14:paraId="7868D3DF">
      <w:pPr>
        <w:snapToGrid w:val="0"/>
        <w:spacing w:line="560" w:lineRule="atLeast"/>
        <w:jc w:val="center"/>
        <w:rPr>
          <w:b/>
          <w:bCs/>
          <w:sz w:val="72"/>
          <w:szCs w:val="72"/>
        </w:rPr>
      </w:pPr>
      <w:r>
        <w:rPr>
          <w:b/>
          <w:bCs/>
          <w:sz w:val="72"/>
          <w:szCs w:val="72"/>
        </w:rPr>
        <w:t xml:space="preserve"> </w:t>
      </w:r>
    </w:p>
    <w:p w14:paraId="4A0491C9">
      <w:pPr>
        <w:snapToGrid w:val="0"/>
        <w:spacing w:line="560" w:lineRule="atLeast"/>
        <w:jc w:val="center"/>
        <w:rPr>
          <w:rFonts w:hint="eastAsia" w:ascii="宋体" w:hAnsi="宋体"/>
          <w:b/>
          <w:bCs/>
          <w:sz w:val="52"/>
          <w:szCs w:val="52"/>
          <w:lang w:val="en-US" w:eastAsia="zh-CN"/>
        </w:rPr>
      </w:pPr>
      <w:r>
        <w:rPr>
          <w:b/>
          <w:bCs/>
          <w:sz w:val="52"/>
          <w:szCs w:val="52"/>
        </w:rPr>
        <w:t>201</w:t>
      </w:r>
      <w:r>
        <w:rPr>
          <w:rFonts w:hint="eastAsia"/>
          <w:b/>
          <w:bCs/>
          <w:sz w:val="52"/>
          <w:szCs w:val="52"/>
          <w:lang w:val="en-US" w:eastAsia="zh-CN"/>
        </w:rPr>
        <w:t>7</w:t>
      </w:r>
      <w:r>
        <w:rPr>
          <w:rFonts w:hint="eastAsia" w:ascii="宋体" w:hAnsi="宋体"/>
          <w:b/>
          <w:bCs/>
          <w:sz w:val="52"/>
          <w:szCs w:val="52"/>
        </w:rPr>
        <w:t>年度预算</w:t>
      </w:r>
      <w:r>
        <w:rPr>
          <w:rFonts w:hint="eastAsia" w:ascii="宋体" w:hAnsi="宋体"/>
          <w:b/>
          <w:bCs/>
          <w:sz w:val="52"/>
          <w:szCs w:val="52"/>
          <w:lang w:val="en-US" w:eastAsia="zh-CN"/>
        </w:rPr>
        <w:t>绩效</w:t>
      </w:r>
    </w:p>
    <w:p w14:paraId="1586E6E5">
      <w:pPr>
        <w:snapToGrid w:val="0"/>
        <w:spacing w:line="560" w:lineRule="atLeast"/>
        <w:jc w:val="center"/>
        <w:rPr>
          <w:rFonts w:hint="eastAsia" w:ascii="宋体" w:hAnsi="宋体"/>
          <w:b/>
          <w:bCs/>
          <w:sz w:val="52"/>
          <w:szCs w:val="52"/>
          <w:lang w:val="en-US" w:eastAsia="zh-CN"/>
        </w:rPr>
      </w:pPr>
      <w:r>
        <w:rPr>
          <w:rFonts w:hint="eastAsia" w:ascii="宋体" w:hAnsi="宋体"/>
          <w:b/>
          <w:bCs/>
          <w:sz w:val="52"/>
          <w:szCs w:val="52"/>
          <w:lang w:val="en-US" w:eastAsia="zh-CN"/>
        </w:rPr>
        <w:t>管理资料</w:t>
      </w:r>
    </w:p>
    <w:p w14:paraId="299E7666">
      <w:pPr>
        <w:adjustRightInd w:val="0"/>
        <w:snapToGrid w:val="0"/>
        <w:spacing w:line="560" w:lineRule="atLeast"/>
        <w:jc w:val="both"/>
        <w:rPr>
          <w:rFonts w:ascii="仿宋_GB2312" w:hAnsi="??"/>
          <w:b/>
          <w:bCs/>
          <w:color w:val="000000"/>
          <w:sz w:val="48"/>
          <w:szCs w:val="48"/>
        </w:rPr>
      </w:pPr>
      <w:r>
        <w:rPr>
          <w:rFonts w:ascii="仿宋_GB2312" w:hAnsi="??"/>
          <w:b/>
          <w:bCs/>
          <w:color w:val="000000"/>
          <w:sz w:val="48"/>
          <w:szCs w:val="48"/>
        </w:rPr>
        <w:t xml:space="preserve"> </w:t>
      </w:r>
    </w:p>
    <w:p w14:paraId="246ED6A5">
      <w:pPr>
        <w:adjustRightInd w:val="0"/>
        <w:snapToGrid w:val="0"/>
        <w:spacing w:line="560" w:lineRule="atLeast"/>
        <w:jc w:val="both"/>
        <w:rPr>
          <w:rFonts w:ascii="仿宋_GB2312" w:hAnsi="??"/>
          <w:b/>
          <w:bCs/>
          <w:color w:val="000000"/>
          <w:sz w:val="72"/>
          <w:szCs w:val="72"/>
        </w:rPr>
      </w:pPr>
    </w:p>
    <w:p w14:paraId="11A5F243">
      <w:pPr>
        <w:adjustRightInd w:val="0"/>
        <w:snapToGrid w:val="0"/>
        <w:spacing w:line="560" w:lineRule="atLeast"/>
        <w:jc w:val="both"/>
        <w:rPr>
          <w:rFonts w:hint="eastAsia"/>
          <w:sz w:val="52"/>
          <w:szCs w:val="52"/>
          <w:u w:val="single"/>
        </w:rPr>
      </w:pPr>
      <w:r>
        <w:rPr>
          <w:rFonts w:hint="eastAsia"/>
          <w:sz w:val="52"/>
          <w:szCs w:val="52"/>
        </w:rPr>
        <w:t>评价机构：</w:t>
      </w:r>
      <w:r>
        <w:rPr>
          <w:rFonts w:hint="eastAsia"/>
          <w:sz w:val="52"/>
          <w:szCs w:val="52"/>
          <w:u w:val="single"/>
        </w:rPr>
        <w:t>武汉康力会计师事务</w:t>
      </w:r>
    </w:p>
    <w:p w14:paraId="33D7A8F9">
      <w:pPr>
        <w:adjustRightInd w:val="0"/>
        <w:snapToGrid w:val="0"/>
        <w:spacing w:line="560" w:lineRule="atLeast"/>
        <w:ind w:firstLine="2860" w:firstLineChars="550"/>
        <w:jc w:val="both"/>
        <w:rPr>
          <w:rFonts w:ascii="仿宋_GB2312" w:hAnsi="??"/>
          <w:b/>
          <w:bCs/>
          <w:color w:val="000000"/>
          <w:sz w:val="52"/>
          <w:szCs w:val="52"/>
        </w:rPr>
      </w:pPr>
      <w:r>
        <w:rPr>
          <w:rFonts w:hint="eastAsia"/>
          <w:sz w:val="52"/>
          <w:szCs w:val="52"/>
          <w:u w:val="single"/>
        </w:rPr>
        <w:t>有限责任公司</w:t>
      </w:r>
    </w:p>
    <w:p w14:paraId="667E9131">
      <w:pPr>
        <w:adjustRightInd w:val="0"/>
        <w:snapToGrid w:val="0"/>
        <w:spacing w:line="560" w:lineRule="atLeast"/>
        <w:ind w:firstLine="3614" w:firstLineChars="500"/>
        <w:jc w:val="center"/>
        <w:rPr>
          <w:rFonts w:ascii="仿宋_GB2312" w:hAnsi="??"/>
          <w:b/>
          <w:bCs/>
          <w:color w:val="000000"/>
          <w:sz w:val="72"/>
          <w:szCs w:val="72"/>
        </w:rPr>
      </w:pPr>
      <w:r>
        <w:rPr>
          <w:rFonts w:ascii="仿宋_GB2312" w:hAnsi="??"/>
          <w:b/>
          <w:bCs/>
          <w:color w:val="000000"/>
          <w:sz w:val="72"/>
          <w:szCs w:val="72"/>
        </w:rPr>
        <w:t xml:space="preserve"> </w:t>
      </w:r>
    </w:p>
    <w:p w14:paraId="679FACFD">
      <w:pPr>
        <w:adjustRightInd w:val="0"/>
        <w:snapToGrid w:val="0"/>
        <w:spacing w:line="560" w:lineRule="atLeast"/>
        <w:ind w:firstLine="2168" w:firstLineChars="450"/>
        <w:rPr>
          <w:rFonts w:ascii="仿宋_GB2312" w:hAnsi="??"/>
          <w:b/>
          <w:bCs/>
          <w:color w:val="000000"/>
          <w:sz w:val="48"/>
          <w:szCs w:val="48"/>
        </w:rPr>
      </w:pPr>
      <w:r>
        <w:rPr>
          <w:rFonts w:ascii="仿宋_GB2312" w:hAnsi="??"/>
          <w:b/>
          <w:bCs/>
          <w:color w:val="000000"/>
          <w:sz w:val="48"/>
          <w:szCs w:val="48"/>
        </w:rPr>
        <w:t xml:space="preserve"> </w:t>
      </w:r>
    </w:p>
    <w:p w14:paraId="0590CA67">
      <w:pPr>
        <w:adjustRightInd w:val="0"/>
        <w:snapToGrid w:val="0"/>
        <w:spacing w:line="560" w:lineRule="atLeast"/>
        <w:ind w:firstLine="1928" w:firstLineChars="400"/>
        <w:rPr>
          <w:rFonts w:ascii="仿宋_GB2312" w:hAnsi="??"/>
          <w:b/>
          <w:bCs/>
          <w:color w:val="000000"/>
          <w:sz w:val="48"/>
          <w:szCs w:val="48"/>
        </w:rPr>
      </w:pPr>
      <w:r>
        <w:rPr>
          <w:rFonts w:ascii="仿宋_GB2312" w:hAnsi="??"/>
          <w:b/>
          <w:bCs/>
          <w:color w:val="000000"/>
          <w:sz w:val="48"/>
          <w:szCs w:val="48"/>
        </w:rPr>
        <w:t>201</w:t>
      </w:r>
      <w:r>
        <w:rPr>
          <w:rFonts w:hint="eastAsia" w:ascii="仿宋_GB2312" w:hAnsi="??"/>
          <w:b/>
          <w:bCs/>
          <w:color w:val="000000"/>
          <w:sz w:val="48"/>
          <w:szCs w:val="48"/>
          <w:lang w:val="en-US" w:eastAsia="zh-CN"/>
        </w:rPr>
        <w:t>8</w:t>
      </w:r>
      <w:r>
        <w:rPr>
          <w:rFonts w:ascii="仿宋_GB2312" w:hAnsi="仿宋_GB2312"/>
          <w:b/>
          <w:bCs/>
          <w:color w:val="000000"/>
          <w:sz w:val="48"/>
          <w:szCs w:val="48"/>
        </w:rPr>
        <w:t>年</w:t>
      </w:r>
      <w:r>
        <w:rPr>
          <w:rFonts w:hint="eastAsia" w:ascii="仿宋_GB2312" w:hAnsi="??"/>
          <w:b/>
          <w:bCs/>
          <w:color w:val="000000"/>
          <w:sz w:val="48"/>
          <w:szCs w:val="48"/>
          <w:lang w:val="en-US" w:eastAsia="zh-CN"/>
        </w:rPr>
        <w:t>6</w:t>
      </w:r>
      <w:r>
        <w:rPr>
          <w:rFonts w:ascii="仿宋_GB2312" w:hAnsi="仿宋_GB2312"/>
          <w:b/>
          <w:bCs/>
          <w:color w:val="000000"/>
          <w:sz w:val="48"/>
          <w:szCs w:val="48"/>
        </w:rPr>
        <w:t>月</w:t>
      </w:r>
      <w:r>
        <w:rPr>
          <w:rFonts w:hint="eastAsia" w:ascii="仿宋_GB2312" w:hAnsi="??"/>
          <w:b/>
          <w:bCs/>
          <w:color w:val="000000"/>
          <w:sz w:val="48"/>
          <w:szCs w:val="48"/>
          <w:lang w:val="en-US" w:eastAsia="zh-CN"/>
        </w:rPr>
        <w:t>8</w:t>
      </w:r>
      <w:r>
        <w:rPr>
          <w:rFonts w:ascii="仿宋_GB2312" w:hAnsi="仿宋_GB2312"/>
          <w:b/>
          <w:bCs/>
          <w:color w:val="000000"/>
          <w:sz w:val="48"/>
          <w:szCs w:val="48"/>
        </w:rPr>
        <w:t>日</w:t>
      </w:r>
    </w:p>
    <w:p w14:paraId="25531197">
      <w:pPr>
        <w:adjustRightInd w:val="0"/>
        <w:snapToGrid w:val="0"/>
        <w:spacing w:line="560" w:lineRule="atLeast"/>
        <w:rPr>
          <w:rFonts w:ascii="仿宋_GB2312" w:hAnsi="??"/>
          <w:b/>
          <w:bCs/>
          <w:color w:val="000000"/>
          <w:sz w:val="48"/>
          <w:szCs w:val="48"/>
        </w:rPr>
      </w:pPr>
      <w:r>
        <w:rPr>
          <w:rFonts w:ascii="仿宋_GB2312" w:hAnsi="??"/>
          <w:b/>
          <w:bCs/>
          <w:color w:val="000000"/>
          <w:sz w:val="48"/>
          <w:szCs w:val="48"/>
        </w:rPr>
        <w:t xml:space="preserve"> </w:t>
      </w:r>
    </w:p>
    <w:p w14:paraId="324BFD33">
      <w:pPr>
        <w:pStyle w:val="2"/>
        <w:jc w:val="center"/>
        <w:rPr>
          <w:rFonts w:ascii="黑体" w:hAnsi="黑体" w:eastAsia="黑体"/>
        </w:rPr>
      </w:pPr>
      <w:r>
        <w:rPr>
          <w:rFonts w:hint="eastAsia" w:ascii="黑体" w:hAnsi="黑体" w:eastAsia="黑体"/>
        </w:rPr>
        <w:t xml:space="preserve"> </w:t>
      </w:r>
    </w:p>
    <w:p w14:paraId="1D86FDD8">
      <w:pPr>
        <w:pStyle w:val="2"/>
        <w:jc w:val="center"/>
        <w:rPr>
          <w:rFonts w:hint="eastAsia" w:ascii="黑体" w:hAnsi="黑体" w:eastAsia="黑体"/>
        </w:rPr>
      </w:pPr>
      <w:r>
        <w:rPr>
          <w:rFonts w:hint="eastAsia" w:ascii="黑体" w:hAnsi="黑体" w:eastAsia="黑体"/>
        </w:rPr>
        <w:t>目  录</w:t>
      </w:r>
    </w:p>
    <w:p w14:paraId="48CAFD36">
      <w:pPr>
        <w:pStyle w:val="15"/>
        <w:ind w:firstLine="640" w:firstLineChars="200"/>
        <w:rPr>
          <w:rFonts w:hint="eastAsia" w:ascii="黑体" w:hAnsi="黑体" w:eastAsia="黑体"/>
          <w:b w:val="0"/>
          <w:bCs w:val="0"/>
          <w:sz w:val="32"/>
          <w:szCs w:val="32"/>
        </w:rPr>
      </w:pPr>
      <w:r>
        <w:rPr>
          <w:rFonts w:hAnsi="仿宋_GB2312"/>
          <w:b w:val="0"/>
          <w:bCs w:val="0"/>
          <w:sz w:val="32"/>
          <w:szCs w:val="32"/>
        </w:rPr>
        <w:t>一、</w:t>
      </w:r>
      <w:r>
        <w:rPr>
          <w:rFonts w:hint="eastAsia" w:ascii="黑体" w:hAnsi="黑体" w:eastAsia="黑体"/>
          <w:b w:val="0"/>
          <w:bCs w:val="0"/>
          <w:sz w:val="32"/>
          <w:szCs w:val="32"/>
        </w:rPr>
        <w:t>整体绩效</w:t>
      </w:r>
    </w:p>
    <w:p w14:paraId="2FC4B3E4">
      <w:pPr>
        <w:pStyle w:val="15"/>
        <w:ind w:firstLine="640" w:firstLineChars="200"/>
        <w:rPr>
          <w:rFonts w:hint="eastAsia" w:hAnsi="仿宋_GB2312"/>
          <w:b w:val="0"/>
          <w:bCs w:val="0"/>
          <w:sz w:val="32"/>
          <w:szCs w:val="32"/>
        </w:rPr>
      </w:pPr>
      <w:r>
        <w:rPr>
          <w:rFonts w:hAnsi="仿宋_GB2312"/>
          <w:b w:val="0"/>
          <w:bCs w:val="0"/>
          <w:sz w:val="32"/>
          <w:szCs w:val="32"/>
        </w:rPr>
        <w:t>二、</w:t>
      </w:r>
      <w:r>
        <w:rPr>
          <w:rFonts w:hint="eastAsia" w:hAnsi="仿宋_GB2312"/>
          <w:b w:val="0"/>
          <w:bCs w:val="0"/>
          <w:sz w:val="32"/>
          <w:szCs w:val="32"/>
        </w:rPr>
        <w:t>社会保障和就业事务经费</w:t>
      </w:r>
    </w:p>
    <w:p w14:paraId="2BA31152">
      <w:pPr>
        <w:pStyle w:val="15"/>
        <w:ind w:firstLine="640" w:firstLineChars="200"/>
        <w:rPr>
          <w:rFonts w:hint="eastAsia" w:hAnsi="仿宋_GB2312"/>
          <w:b w:val="0"/>
          <w:bCs w:val="0"/>
          <w:sz w:val="32"/>
          <w:szCs w:val="32"/>
        </w:rPr>
      </w:pPr>
      <w:r>
        <w:rPr>
          <w:rFonts w:hAnsi="仿宋_GB2312"/>
          <w:b w:val="0"/>
          <w:bCs w:val="0"/>
          <w:sz w:val="32"/>
          <w:szCs w:val="32"/>
        </w:rPr>
        <w:t>三、</w:t>
      </w:r>
      <w:r>
        <w:rPr>
          <w:rFonts w:hint="eastAsia" w:hAnsi="仿宋_GB2312"/>
          <w:b w:val="0"/>
          <w:bCs w:val="0"/>
          <w:sz w:val="32"/>
          <w:szCs w:val="32"/>
        </w:rPr>
        <w:t>计生事业经费</w:t>
      </w:r>
    </w:p>
    <w:p w14:paraId="469AE35E">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四、安全生产及维稳经费</w:t>
      </w:r>
    </w:p>
    <w:p w14:paraId="00AEE9E9">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五、民兵训练及征兵经费</w:t>
      </w:r>
    </w:p>
    <w:p w14:paraId="6E02D1C4">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六、农林水专项经费</w:t>
      </w:r>
    </w:p>
    <w:p w14:paraId="409DC41E">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七、农民社区管理补助经费</w:t>
      </w:r>
    </w:p>
    <w:p w14:paraId="74261866">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八、村级正常运转经费</w:t>
      </w:r>
    </w:p>
    <w:p w14:paraId="4B521C1B">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九、“以钱养事”经费</w:t>
      </w:r>
    </w:p>
    <w:p w14:paraId="6353EF75">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十、基层组织经费、</w:t>
      </w:r>
    </w:p>
    <w:p w14:paraId="04277CC3">
      <w:pPr>
        <w:pStyle w:val="15"/>
        <w:ind w:firstLine="640" w:firstLineChars="200"/>
        <w:rPr>
          <w:rFonts w:hint="eastAsia" w:hAnsi="仿宋_GB2312"/>
          <w:b w:val="0"/>
          <w:bCs w:val="0"/>
          <w:sz w:val="32"/>
          <w:szCs w:val="32"/>
          <w:lang w:eastAsia="zh-CN"/>
        </w:rPr>
      </w:pPr>
      <w:r>
        <w:rPr>
          <w:rFonts w:hint="eastAsia" w:hAnsi="仿宋_GB2312"/>
          <w:b w:val="0"/>
          <w:bCs w:val="0"/>
          <w:sz w:val="32"/>
          <w:szCs w:val="32"/>
          <w:lang w:eastAsia="zh-CN"/>
        </w:rPr>
        <w:t>十一、其他经费</w:t>
      </w:r>
    </w:p>
    <w:p w14:paraId="4261FF1B">
      <w:pPr>
        <w:rPr>
          <w:sz w:val="30"/>
          <w:szCs w:val="30"/>
        </w:rPr>
      </w:pPr>
    </w:p>
    <w:p w14:paraId="2298C906">
      <w:pPr>
        <w:rPr>
          <w:sz w:val="30"/>
          <w:szCs w:val="30"/>
        </w:rPr>
      </w:pPr>
    </w:p>
    <w:p w14:paraId="75AD8BB3">
      <w:pPr>
        <w:jc w:val="center"/>
        <w:rPr>
          <w:rFonts w:hint="eastAsia" w:ascii="方正小标宋_GBK" w:eastAsia="方正小标宋_GBK"/>
          <w:sz w:val="50"/>
          <w:szCs w:val="50"/>
        </w:rPr>
      </w:pPr>
    </w:p>
    <w:p w14:paraId="6597ECCA">
      <w:pPr>
        <w:jc w:val="center"/>
        <w:rPr>
          <w:rFonts w:hint="eastAsia" w:ascii="方正小标宋_GBK" w:eastAsia="方正小标宋_GBK"/>
          <w:sz w:val="50"/>
          <w:szCs w:val="50"/>
        </w:rPr>
      </w:pPr>
    </w:p>
    <w:p w14:paraId="29BF03F3">
      <w:pPr>
        <w:jc w:val="center"/>
        <w:rPr>
          <w:rFonts w:hint="eastAsia" w:ascii="方正小标宋_GBK" w:eastAsia="方正小标宋_GBK"/>
          <w:sz w:val="50"/>
          <w:szCs w:val="50"/>
        </w:rPr>
      </w:pPr>
    </w:p>
    <w:p w14:paraId="472033C5">
      <w:pPr>
        <w:jc w:val="center"/>
        <w:rPr>
          <w:rFonts w:ascii="方正小标宋_GBK" w:eastAsia="方正小标宋_GBK"/>
          <w:sz w:val="50"/>
          <w:szCs w:val="50"/>
        </w:rPr>
      </w:pPr>
      <w:r>
        <w:rPr>
          <w:rFonts w:hint="eastAsia" w:ascii="方正小标宋_GBK" w:eastAsia="方正小标宋_GBK"/>
          <w:sz w:val="50"/>
          <w:szCs w:val="50"/>
        </w:rPr>
        <w:t>武汉东湖新技术开发区部门（单位）</w:t>
      </w:r>
    </w:p>
    <w:p w14:paraId="156BA141">
      <w:pPr>
        <w:jc w:val="center"/>
        <w:rPr>
          <w:rFonts w:ascii="方正小标宋_GBK" w:eastAsia="方正小标宋_GBK"/>
          <w:sz w:val="50"/>
          <w:szCs w:val="50"/>
        </w:rPr>
      </w:pPr>
      <w:r>
        <w:rPr>
          <w:rFonts w:hint="eastAsia" w:ascii="方正小标宋_GBK" w:eastAsia="方正小标宋_GBK"/>
          <w:sz w:val="50"/>
          <w:szCs w:val="50"/>
        </w:rPr>
        <w:t>整体支出绩效自评报告</w:t>
      </w:r>
    </w:p>
    <w:p w14:paraId="58D87EC0">
      <w:pPr>
        <w:rPr>
          <w:sz w:val="32"/>
          <w:szCs w:val="32"/>
        </w:rPr>
      </w:pPr>
    </w:p>
    <w:p w14:paraId="3272A5B2">
      <w:pPr>
        <w:rPr>
          <w:sz w:val="32"/>
          <w:szCs w:val="32"/>
        </w:rPr>
      </w:pPr>
    </w:p>
    <w:p w14:paraId="43587C7C">
      <w:pPr>
        <w:rPr>
          <w:sz w:val="32"/>
          <w:szCs w:val="32"/>
        </w:rPr>
      </w:pPr>
    </w:p>
    <w:p w14:paraId="3BC1E86B">
      <w:pPr>
        <w:rPr>
          <w:sz w:val="32"/>
          <w:szCs w:val="32"/>
        </w:rPr>
      </w:pPr>
    </w:p>
    <w:p w14:paraId="32A08D3C">
      <w:pPr>
        <w:rPr>
          <w:sz w:val="32"/>
          <w:szCs w:val="32"/>
        </w:rPr>
      </w:pPr>
    </w:p>
    <w:p w14:paraId="4DA452E8">
      <w:pPr>
        <w:rPr>
          <w:sz w:val="32"/>
          <w:szCs w:val="32"/>
          <w:u w:val="single"/>
        </w:rPr>
      </w:pPr>
    </w:p>
    <w:p w14:paraId="00CE3B54">
      <w:pPr>
        <w:ind w:left="840" w:leftChars="400"/>
        <w:rPr>
          <w:sz w:val="32"/>
          <w:szCs w:val="32"/>
          <w:u w:val="single"/>
        </w:rPr>
      </w:pPr>
      <w:r>
        <w:rPr>
          <w:rFonts w:hint="eastAsia"/>
          <w:sz w:val="32"/>
          <w:szCs w:val="32"/>
        </w:rPr>
        <w:t>部门（单位）名称：</w:t>
      </w:r>
      <w:r>
        <w:rPr>
          <w:rFonts w:hint="eastAsia"/>
          <w:sz w:val="32"/>
          <w:szCs w:val="32"/>
          <w:u w:val="single"/>
        </w:rPr>
        <w:t>九峰街道办事处</w:t>
      </w:r>
    </w:p>
    <w:p w14:paraId="6DE2A070">
      <w:pPr>
        <w:ind w:left="840" w:leftChars="400"/>
        <w:rPr>
          <w:sz w:val="32"/>
          <w:szCs w:val="32"/>
          <w:u w:val="single"/>
        </w:rPr>
      </w:pPr>
      <w:r>
        <w:rPr>
          <w:rFonts w:hint="eastAsia"/>
          <w:sz w:val="32"/>
          <w:szCs w:val="32"/>
        </w:rPr>
        <w:t>区财政局主管业务科室：</w:t>
      </w:r>
      <w:r>
        <w:rPr>
          <w:rFonts w:hint="eastAsia"/>
          <w:sz w:val="32"/>
          <w:szCs w:val="32"/>
          <w:u w:val="single"/>
        </w:rPr>
        <w:t>（盖章）</w:t>
      </w:r>
    </w:p>
    <w:p w14:paraId="7E5FC04C">
      <w:pPr>
        <w:ind w:left="840" w:leftChars="400"/>
        <w:rPr>
          <w:rFonts w:hint="eastAsia"/>
          <w:sz w:val="32"/>
          <w:szCs w:val="32"/>
        </w:rPr>
      </w:pPr>
      <w:r>
        <w:rPr>
          <w:rFonts w:hint="eastAsia"/>
          <w:sz w:val="32"/>
          <w:szCs w:val="32"/>
        </w:rPr>
        <w:t>评价机构：</w:t>
      </w:r>
      <w:r>
        <w:rPr>
          <w:rFonts w:hint="eastAsia"/>
          <w:sz w:val="32"/>
          <w:szCs w:val="32"/>
          <w:u w:val="single"/>
        </w:rPr>
        <w:t>武汉康力会计师事务有限责任公司</w:t>
      </w:r>
    </w:p>
    <w:p w14:paraId="60829855">
      <w:pPr>
        <w:rPr>
          <w:sz w:val="32"/>
          <w:szCs w:val="32"/>
        </w:rPr>
      </w:pPr>
    </w:p>
    <w:p w14:paraId="0E244DA7">
      <w:pPr>
        <w:rPr>
          <w:sz w:val="32"/>
          <w:szCs w:val="32"/>
        </w:rPr>
      </w:pPr>
    </w:p>
    <w:p w14:paraId="40EB8BE8">
      <w:pPr>
        <w:rPr>
          <w:sz w:val="32"/>
          <w:szCs w:val="32"/>
        </w:rPr>
      </w:pPr>
    </w:p>
    <w:p w14:paraId="6AD2E386">
      <w:pPr>
        <w:rPr>
          <w:sz w:val="32"/>
          <w:szCs w:val="32"/>
        </w:rPr>
      </w:pPr>
    </w:p>
    <w:p w14:paraId="06D00BF1">
      <w:pPr>
        <w:rPr>
          <w:sz w:val="32"/>
          <w:szCs w:val="32"/>
        </w:rPr>
      </w:pPr>
    </w:p>
    <w:p w14:paraId="184C65BC">
      <w:pPr>
        <w:rPr>
          <w:sz w:val="32"/>
          <w:szCs w:val="32"/>
        </w:rPr>
      </w:pPr>
    </w:p>
    <w:p w14:paraId="2E9CD5AF">
      <w:pPr>
        <w:rPr>
          <w:sz w:val="32"/>
          <w:szCs w:val="32"/>
        </w:rPr>
      </w:pPr>
    </w:p>
    <w:p w14:paraId="38A2EE2E">
      <w:pPr>
        <w:jc w:val="center"/>
        <w:rPr>
          <w:sz w:val="32"/>
          <w:szCs w:val="32"/>
        </w:rPr>
      </w:pPr>
      <w:r>
        <w:rPr>
          <w:rFonts w:hint="eastAsia"/>
          <w:sz w:val="32"/>
          <w:szCs w:val="32"/>
        </w:rPr>
        <w:t>2</w:t>
      </w:r>
      <w:r>
        <w:rPr>
          <w:sz w:val="32"/>
          <w:szCs w:val="32"/>
        </w:rPr>
        <w:t>018</w:t>
      </w:r>
      <w:r>
        <w:rPr>
          <w:rFonts w:hint="eastAsia"/>
          <w:sz w:val="32"/>
          <w:szCs w:val="32"/>
        </w:rPr>
        <w:t>年</w:t>
      </w:r>
      <w:r>
        <w:rPr>
          <w:sz w:val="32"/>
          <w:szCs w:val="32"/>
        </w:rPr>
        <w:t>5</w:t>
      </w:r>
      <w:r>
        <w:rPr>
          <w:rFonts w:hint="eastAsia"/>
          <w:sz w:val="32"/>
          <w:szCs w:val="32"/>
        </w:rPr>
        <w:t>月</w:t>
      </w:r>
    </w:p>
    <w:p w14:paraId="3BC8A026">
      <w:pPr>
        <w:spacing w:line="360" w:lineRule="auto"/>
        <w:ind w:firstLine="640" w:firstLineChars="200"/>
        <w:rPr>
          <w:rFonts w:ascii="黑体" w:hAnsi="黑体" w:eastAsia="黑体"/>
          <w:b/>
          <w:sz w:val="30"/>
          <w:szCs w:val="30"/>
        </w:rPr>
      </w:pPr>
      <w:r>
        <w:rPr>
          <w:sz w:val="32"/>
          <w:szCs w:val="32"/>
        </w:rPr>
        <w:br w:type="page"/>
      </w:r>
      <w:r>
        <w:rPr>
          <w:rFonts w:hint="eastAsia" w:ascii="黑体" w:hAnsi="黑体" w:eastAsia="黑体"/>
          <w:b/>
          <w:sz w:val="30"/>
          <w:szCs w:val="30"/>
        </w:rPr>
        <w:t>一、部门概况</w:t>
      </w:r>
    </w:p>
    <w:p w14:paraId="47A9325F">
      <w:pPr>
        <w:spacing w:line="360" w:lineRule="auto"/>
        <w:ind w:firstLine="560" w:firstLineChars="200"/>
        <w:rPr>
          <w:sz w:val="28"/>
        </w:rPr>
      </w:pPr>
      <w:r>
        <w:rPr>
          <w:rFonts w:hint="eastAsia" w:ascii="楷体_GB2312" w:eastAsia="楷体_GB2312"/>
          <w:sz w:val="28"/>
        </w:rPr>
        <w:t>（一）部门概况</w:t>
      </w:r>
    </w:p>
    <w:p w14:paraId="18727FBA">
      <w:pPr>
        <w:spacing w:line="360" w:lineRule="auto"/>
        <w:ind w:firstLine="560" w:firstLineChars="200"/>
        <w:rPr>
          <w:sz w:val="28"/>
        </w:rPr>
      </w:pPr>
      <w:r>
        <w:rPr>
          <w:rFonts w:hint="eastAsia"/>
          <w:sz w:val="28"/>
        </w:rPr>
        <w:t>按照武汉东湖新技术开发区管委会的要求，九峰街道办事处主要职能有：</w:t>
      </w:r>
    </w:p>
    <w:p w14:paraId="4B5E5DC5">
      <w:pPr>
        <w:spacing w:line="360" w:lineRule="auto"/>
        <w:ind w:firstLine="560" w:firstLineChars="200"/>
        <w:rPr>
          <w:sz w:val="28"/>
        </w:rPr>
      </w:pPr>
      <w:r>
        <w:rPr>
          <w:rFonts w:hint="eastAsia"/>
          <w:sz w:val="28"/>
        </w:rPr>
        <w:t>1、在开发区党工委、管委会的领导下，贯彻执行党的路线、方针、政策和国家的各项法律、法规；负责街道辖区内的地区性、群众性、公益性、社会性工作；负责辖区党风廉政建设、纪检监察工作。</w:t>
      </w:r>
    </w:p>
    <w:p w14:paraId="561BA6E0">
      <w:pPr>
        <w:spacing w:line="360" w:lineRule="auto"/>
        <w:ind w:firstLine="560" w:firstLineChars="200"/>
        <w:rPr>
          <w:sz w:val="28"/>
        </w:rPr>
      </w:pPr>
      <w:r>
        <w:rPr>
          <w:rFonts w:hint="eastAsia"/>
          <w:sz w:val="28"/>
        </w:rPr>
        <w:t>2、按照职责范围，负责街道辖区内的城市管理、市容环境卫生、环境保护等监督、管理、服务工作。</w:t>
      </w:r>
    </w:p>
    <w:p w14:paraId="2AE8449D">
      <w:pPr>
        <w:spacing w:line="360" w:lineRule="auto"/>
        <w:ind w:firstLine="560" w:firstLineChars="200"/>
        <w:rPr>
          <w:sz w:val="28"/>
        </w:rPr>
      </w:pPr>
      <w:r>
        <w:rPr>
          <w:rFonts w:hint="eastAsia"/>
          <w:sz w:val="28"/>
        </w:rPr>
        <w:t>3、负责社区建设和管理，积极开展社区服务工作，大力兴办社区福利事业，发动和组织社区成员开展各类社区公益活动；负责拥军优属、优抚安置、社会救济、社会福利、社区文化、科普、体育、教育等工作。</w:t>
      </w:r>
    </w:p>
    <w:p w14:paraId="28E297C5">
      <w:pPr>
        <w:spacing w:line="360" w:lineRule="auto"/>
        <w:ind w:firstLine="560" w:firstLineChars="200"/>
        <w:rPr>
          <w:sz w:val="28"/>
        </w:rPr>
      </w:pPr>
      <w:r>
        <w:rPr>
          <w:rFonts w:hint="eastAsia"/>
          <w:sz w:val="28"/>
        </w:rPr>
        <w:t xml:space="preserve">4、负责村级及改制公司经济发展，财务监督、管理、审计，集体资产监督、管理，村级集团公司经济调查统计，安全生产工作和社会治理创新工作。  </w:t>
      </w:r>
    </w:p>
    <w:p w14:paraId="0FCA3E2D">
      <w:pPr>
        <w:spacing w:line="360" w:lineRule="auto"/>
        <w:ind w:firstLine="560" w:firstLineChars="200"/>
        <w:rPr>
          <w:sz w:val="28"/>
        </w:rPr>
      </w:pPr>
      <w:r>
        <w:rPr>
          <w:rFonts w:hint="eastAsia"/>
          <w:sz w:val="28"/>
        </w:rPr>
        <w:t>5、负责辖区林木检疫，林业发展保护规划，森林防火，野生动物保护，名特树种保护。动物防疫检疫、屠宰工作，道路维修工作。</w:t>
      </w:r>
    </w:p>
    <w:p w14:paraId="1B0032D1">
      <w:pPr>
        <w:spacing w:line="360" w:lineRule="auto"/>
        <w:ind w:firstLine="560" w:firstLineChars="200"/>
        <w:rPr>
          <w:sz w:val="28"/>
        </w:rPr>
      </w:pPr>
      <w:r>
        <w:rPr>
          <w:rFonts w:hint="eastAsia"/>
          <w:sz w:val="28"/>
        </w:rPr>
        <w:t>6、负责计划生育目标管理、宣传培训、计生统计工作，办理有关证件及审批，计生药具发放与管理，流动人口计生管理。负责辖区工会妇联工作。</w:t>
      </w:r>
    </w:p>
    <w:p w14:paraId="6AD35FA9">
      <w:pPr>
        <w:spacing w:line="360" w:lineRule="auto"/>
        <w:ind w:firstLine="560" w:firstLineChars="200"/>
        <w:rPr>
          <w:sz w:val="28"/>
        </w:rPr>
      </w:pPr>
      <w:r>
        <w:rPr>
          <w:rFonts w:hint="eastAsia"/>
          <w:sz w:val="28"/>
        </w:rPr>
        <w:t>7、负责精神文明建设工作，积极组织以提高市民质素为目的的活动，树立文明新风。</w:t>
      </w:r>
    </w:p>
    <w:p w14:paraId="0863DC87">
      <w:pPr>
        <w:spacing w:line="360" w:lineRule="auto"/>
        <w:ind w:firstLine="560" w:firstLineChars="200"/>
        <w:rPr>
          <w:sz w:val="28"/>
        </w:rPr>
      </w:pPr>
      <w:r>
        <w:rPr>
          <w:rFonts w:hint="eastAsia"/>
          <w:sz w:val="28"/>
        </w:rPr>
        <w:t>8、负责社会稳定，信访接待，治保民调，司法治安，户籍管理，消防安全，交通安全及黄、赌、毒治理。</w:t>
      </w:r>
    </w:p>
    <w:p w14:paraId="6CC4432C">
      <w:pPr>
        <w:spacing w:line="360" w:lineRule="auto"/>
        <w:ind w:firstLine="560" w:firstLineChars="200"/>
        <w:rPr>
          <w:sz w:val="28"/>
        </w:rPr>
      </w:pPr>
      <w:r>
        <w:rPr>
          <w:rFonts w:hint="eastAsia"/>
          <w:sz w:val="28"/>
        </w:rPr>
        <w:t xml:space="preserve">9、承办开发区党工委、管委会和上级部门交办的其他事项。    </w:t>
      </w:r>
    </w:p>
    <w:p w14:paraId="6B86E32A">
      <w:pPr>
        <w:spacing w:line="360" w:lineRule="auto"/>
        <w:ind w:firstLine="560" w:firstLineChars="200"/>
        <w:rPr>
          <w:sz w:val="28"/>
        </w:rPr>
      </w:pPr>
      <w:r>
        <w:rPr>
          <w:rFonts w:hint="eastAsia"/>
          <w:sz w:val="28"/>
        </w:rPr>
        <w:t>武汉东湖新技术开发区九峰街道办事处总编制人数82人，其中：行政编制29人，事业编制53人。在职实有人数61人，其中：行政编制22人，事业编制39人。离退休人员26人，其中：退休26人。</w:t>
      </w:r>
    </w:p>
    <w:p w14:paraId="43C75FB0">
      <w:pPr>
        <w:spacing w:line="360" w:lineRule="auto"/>
        <w:ind w:firstLine="560" w:firstLineChars="200"/>
        <w:rPr>
          <w:sz w:val="28"/>
        </w:rPr>
      </w:pPr>
      <w:r>
        <w:rPr>
          <w:rFonts w:hint="eastAsia" w:ascii="楷体_GB2312" w:eastAsia="楷体_GB2312"/>
          <w:sz w:val="28"/>
        </w:rPr>
        <w:t>（二）部门整体支出预算绩效目标</w:t>
      </w:r>
    </w:p>
    <w:p w14:paraId="70364A0B">
      <w:pPr>
        <w:spacing w:line="360" w:lineRule="auto"/>
        <w:ind w:firstLine="560" w:firstLineChars="200"/>
        <w:rPr>
          <w:sz w:val="28"/>
        </w:rPr>
      </w:pPr>
      <w:r>
        <w:rPr>
          <w:sz w:val="28"/>
        </w:rPr>
        <w:t>1</w:t>
      </w:r>
      <w:r>
        <w:rPr>
          <w:rFonts w:hint="eastAsia"/>
          <w:sz w:val="28"/>
        </w:rPr>
        <w:t>．产出目标</w:t>
      </w:r>
    </w:p>
    <w:p w14:paraId="5F709F3F">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数量指标：项目活动完成率，各项目应举办的各种活动、检查、巡查等</w:t>
      </w:r>
    </w:p>
    <w:p w14:paraId="78744F34">
      <w:pPr>
        <w:spacing w:line="360" w:lineRule="auto"/>
        <w:ind w:firstLine="560" w:firstLineChars="200"/>
        <w:rPr>
          <w:sz w:val="28"/>
        </w:rPr>
      </w:pPr>
      <w:r>
        <w:rPr>
          <w:rFonts w:hint="eastAsia"/>
          <w:sz w:val="28"/>
        </w:rPr>
        <w:t>质量指标：项目工作的覆盖率，各项目工作服务对象的覆盖率、综合管理和治理工作应覆盖范围</w:t>
      </w:r>
    </w:p>
    <w:p w14:paraId="70DAF75E">
      <w:pPr>
        <w:spacing w:line="360" w:lineRule="auto"/>
        <w:ind w:firstLine="560" w:firstLineChars="200"/>
        <w:rPr>
          <w:sz w:val="28"/>
        </w:rPr>
      </w:pPr>
      <w:r>
        <w:rPr>
          <w:rFonts w:hint="eastAsia"/>
          <w:sz w:val="28"/>
        </w:rPr>
        <w:t>时效指标：项目完成及时性。</w:t>
      </w:r>
    </w:p>
    <w:p w14:paraId="645E8F90">
      <w:pPr>
        <w:spacing w:line="360" w:lineRule="auto"/>
        <w:ind w:firstLine="560" w:firstLineChars="200"/>
        <w:rPr>
          <w:sz w:val="28"/>
        </w:rPr>
      </w:pPr>
      <w:r>
        <w:rPr>
          <w:rFonts w:hint="eastAsia"/>
          <w:sz w:val="28"/>
        </w:rPr>
        <w:t>2．效果目标</w:t>
      </w:r>
    </w:p>
    <w:p w14:paraId="1294C347">
      <w:pPr>
        <w:spacing w:line="360" w:lineRule="auto"/>
        <w:ind w:firstLine="560" w:firstLineChars="200"/>
        <w:rPr>
          <w:sz w:val="28"/>
        </w:rPr>
      </w:pPr>
      <w:r>
        <w:rPr>
          <w:rFonts w:hint="eastAsia"/>
          <w:sz w:val="28"/>
        </w:rPr>
        <w:t>经济效益：</w:t>
      </w:r>
      <w:r>
        <w:rPr>
          <w:rFonts w:hint="eastAsia" w:ascii="宋体" w:hAnsi="宋体" w:cs="宋体"/>
          <w:sz w:val="28"/>
          <w:szCs w:val="28"/>
        </w:rPr>
        <w:t>不适用</w:t>
      </w:r>
    </w:p>
    <w:p w14:paraId="253A9217">
      <w:pPr>
        <w:spacing w:line="360" w:lineRule="auto"/>
        <w:ind w:firstLine="560" w:firstLineChars="200"/>
        <w:rPr>
          <w:rFonts w:ascii="宋体" w:hAnsi="宋体" w:cs="宋体"/>
          <w:sz w:val="28"/>
          <w:szCs w:val="28"/>
        </w:rPr>
      </w:pPr>
      <w:r>
        <w:rPr>
          <w:rFonts w:hint="eastAsia" w:ascii="宋体" w:hAnsi="宋体" w:cs="宋体"/>
          <w:sz w:val="28"/>
          <w:szCs w:val="28"/>
        </w:rPr>
        <w:t>社会效益：促进保障社会和谐、稳定发展，促进农村经济有序的发展，为居民人身和财产安全的提供保障</w:t>
      </w:r>
    </w:p>
    <w:p w14:paraId="0BE25522">
      <w:pPr>
        <w:spacing w:line="360" w:lineRule="auto"/>
        <w:ind w:firstLine="560" w:firstLineChars="200"/>
        <w:rPr>
          <w:rFonts w:ascii="宋体" w:hAnsi="宋体" w:cs="宋体"/>
          <w:sz w:val="28"/>
          <w:szCs w:val="28"/>
        </w:rPr>
      </w:pPr>
      <w:r>
        <w:rPr>
          <w:rFonts w:hint="eastAsia" w:ascii="宋体" w:hAnsi="宋体" w:cs="宋体"/>
          <w:sz w:val="28"/>
          <w:szCs w:val="28"/>
        </w:rPr>
        <w:t>生态效益：对农村生态环境的影响。</w:t>
      </w:r>
    </w:p>
    <w:p w14:paraId="3003947E">
      <w:pPr>
        <w:spacing w:line="360" w:lineRule="auto"/>
        <w:ind w:firstLine="560" w:firstLineChars="200"/>
        <w:rPr>
          <w:rFonts w:ascii="宋体" w:hAnsi="宋体" w:cs="宋体"/>
          <w:sz w:val="28"/>
          <w:szCs w:val="28"/>
        </w:rPr>
      </w:pPr>
      <w:r>
        <w:rPr>
          <w:rFonts w:hint="eastAsia"/>
          <w:sz w:val="28"/>
        </w:rPr>
        <w:t>可持续影响：完善</w:t>
      </w:r>
      <w:r>
        <w:rPr>
          <w:sz w:val="28"/>
        </w:rPr>
        <w:t>社区配套</w:t>
      </w:r>
      <w:r>
        <w:rPr>
          <w:rFonts w:hint="eastAsia"/>
          <w:sz w:val="28"/>
        </w:rPr>
        <w:t>、社会保障服务体系、信息体系；</w:t>
      </w:r>
      <w:r>
        <w:rPr>
          <w:rFonts w:hint="eastAsia" w:ascii="宋体" w:hAnsi="宋体" w:cs="宋体"/>
          <w:sz w:val="28"/>
          <w:szCs w:val="28"/>
        </w:rPr>
        <w:t>推动社会公共事业发展。</w:t>
      </w:r>
    </w:p>
    <w:p w14:paraId="5CEB65B6">
      <w:pPr>
        <w:spacing w:line="360" w:lineRule="auto"/>
        <w:ind w:firstLine="560" w:firstLineChars="200"/>
        <w:rPr>
          <w:rFonts w:ascii="宋体" w:hAnsi="宋体" w:cs="宋体"/>
          <w:sz w:val="28"/>
          <w:szCs w:val="28"/>
        </w:rPr>
      </w:pPr>
      <w:r>
        <w:rPr>
          <w:rFonts w:hint="eastAsia" w:ascii="宋体" w:hAnsi="宋体" w:cs="宋体"/>
          <w:sz w:val="28"/>
          <w:szCs w:val="28"/>
        </w:rPr>
        <w:t>服务对象满意度指标：统计服务对象对九峰街道各职能部门履职效果的满意程度。</w:t>
      </w:r>
    </w:p>
    <w:p w14:paraId="1E8BB606">
      <w:pPr>
        <w:spacing w:line="360" w:lineRule="auto"/>
        <w:ind w:firstLine="602" w:firstLineChars="200"/>
        <w:rPr>
          <w:rFonts w:ascii="黑体" w:hAnsi="黑体" w:eastAsia="黑体"/>
          <w:b/>
          <w:sz w:val="30"/>
          <w:szCs w:val="30"/>
        </w:rPr>
      </w:pPr>
      <w:r>
        <w:rPr>
          <w:rFonts w:hint="eastAsia" w:ascii="黑体" w:hAnsi="黑体" w:eastAsia="黑体"/>
          <w:b/>
          <w:sz w:val="30"/>
          <w:szCs w:val="30"/>
        </w:rPr>
        <w:t>二、部门整体支出绩效分析</w:t>
      </w:r>
    </w:p>
    <w:p w14:paraId="12C9BA8A">
      <w:pPr>
        <w:spacing w:line="360" w:lineRule="auto"/>
        <w:ind w:firstLine="560" w:firstLineChars="200"/>
        <w:rPr>
          <w:rFonts w:ascii="楷体_GB2312" w:eastAsia="楷体_GB2312"/>
          <w:sz w:val="28"/>
        </w:rPr>
      </w:pPr>
      <w:r>
        <w:rPr>
          <w:rFonts w:hint="eastAsia" w:ascii="楷体_GB2312" w:eastAsia="楷体_GB2312"/>
          <w:sz w:val="28"/>
        </w:rPr>
        <w:t>（一）部门整体支出情况</w:t>
      </w:r>
    </w:p>
    <w:p w14:paraId="3EC524F4">
      <w:pPr>
        <w:spacing w:line="360" w:lineRule="auto"/>
        <w:ind w:firstLine="560" w:firstLineChars="200"/>
        <w:rPr>
          <w:sz w:val="28"/>
        </w:rPr>
      </w:pPr>
      <w:r>
        <w:rPr>
          <w:rFonts w:hint="eastAsia"/>
          <w:sz w:val="28"/>
        </w:rPr>
        <w:t>1．支出规模和结构</w:t>
      </w:r>
    </w:p>
    <w:p w14:paraId="32AA776C">
      <w:pPr>
        <w:spacing w:line="360" w:lineRule="auto"/>
        <w:ind w:firstLine="560" w:firstLineChars="200"/>
        <w:rPr>
          <w:sz w:val="28"/>
        </w:rPr>
      </w:pPr>
      <w:r>
        <w:rPr>
          <w:rFonts w:hint="eastAsia"/>
          <w:sz w:val="28"/>
        </w:rPr>
        <w:t>2017年部门预算总支出3973万元，其中：财政拨款支出3470万元。财政拨款基本支出、项目支出预算分别为1675.54万元、</w:t>
      </w:r>
      <w:r>
        <w:rPr>
          <w:sz w:val="28"/>
        </w:rPr>
        <w:t xml:space="preserve"> 1</w:t>
      </w:r>
      <w:r>
        <w:rPr>
          <w:rFonts w:hint="eastAsia"/>
          <w:sz w:val="28"/>
        </w:rPr>
        <w:t>,</w:t>
      </w:r>
      <w:r>
        <w:rPr>
          <w:sz w:val="28"/>
        </w:rPr>
        <w:t>794.46</w:t>
      </w:r>
      <w:r>
        <w:rPr>
          <w:rFonts w:hint="eastAsia"/>
          <w:sz w:val="28"/>
        </w:rPr>
        <w:t>万元，实际支出分别为2,500.37万元、</w:t>
      </w:r>
      <w:r>
        <w:rPr>
          <w:sz w:val="28"/>
        </w:rPr>
        <w:t>1</w:t>
      </w:r>
      <w:r>
        <w:rPr>
          <w:rFonts w:hint="eastAsia"/>
          <w:sz w:val="28"/>
        </w:rPr>
        <w:t>,</w:t>
      </w:r>
      <w:r>
        <w:rPr>
          <w:sz w:val="28"/>
        </w:rPr>
        <w:t>794.46</w:t>
      </w:r>
      <w:r>
        <w:rPr>
          <w:rFonts w:hint="eastAsia"/>
          <w:sz w:val="28"/>
        </w:rPr>
        <w:t>万元，共计4,421.08万元，财政拨款基本资金超出预算825.99万元，超出预算49.30%、财政拨款项目资金超出126.24万元，超出预算7.04%，财政拨款资金支出共超出预算952.23万元，超出预算27.44%</w:t>
      </w:r>
    </w:p>
    <w:p w14:paraId="060F1F4B">
      <w:pPr>
        <w:spacing w:line="360" w:lineRule="auto"/>
        <w:ind w:firstLine="560" w:firstLineChars="200"/>
        <w:rPr>
          <w:sz w:val="28"/>
        </w:rPr>
      </w:pPr>
      <w:r>
        <w:rPr>
          <w:rFonts w:hint="eastAsia"/>
          <w:sz w:val="28"/>
        </w:rPr>
        <w:t>2．基本支出情况</w:t>
      </w:r>
    </w:p>
    <w:p w14:paraId="6773B211">
      <w:pPr>
        <w:spacing w:line="360" w:lineRule="auto"/>
        <w:ind w:firstLine="560" w:firstLineChars="200"/>
        <w:rPr>
          <w:sz w:val="28"/>
        </w:rPr>
      </w:pPr>
      <w:r>
        <w:rPr>
          <w:rFonts w:hint="eastAsia"/>
          <w:sz w:val="28"/>
        </w:rPr>
        <w:t>2017年度基本支出实际总计为2,501.53万，其中：工资福利支出实际为1,880.70万元，超出预算856.96万元，超预算83.71%；对个人和家庭的补助支出实际为379.28万元，比预算少支出13.94万元，为预算的96.45%；商品和服务支出实际为240.39万元，比预算少支出18.19万元，为预算的92.97%；资本性支出实际为1.15万元，年初未做预算。</w:t>
      </w:r>
    </w:p>
    <w:p w14:paraId="752CFF42">
      <w:pPr>
        <w:spacing w:line="360" w:lineRule="auto"/>
        <w:ind w:firstLine="560" w:firstLineChars="200"/>
        <w:rPr>
          <w:sz w:val="28"/>
        </w:rPr>
      </w:pPr>
      <w:r>
        <w:rPr>
          <w:rFonts w:hint="eastAsia"/>
          <w:sz w:val="28"/>
        </w:rPr>
        <w:t>2017年度商品和服务支出中含公务用车运行维护费为6.52万元，未发生因公出国、公务接待费。</w:t>
      </w:r>
    </w:p>
    <w:p w14:paraId="3D45B42E">
      <w:pPr>
        <w:spacing w:line="360" w:lineRule="auto"/>
        <w:ind w:firstLine="560" w:firstLineChars="200"/>
        <w:rPr>
          <w:sz w:val="28"/>
        </w:rPr>
      </w:pPr>
      <w:r>
        <w:rPr>
          <w:rFonts w:hint="eastAsia"/>
          <w:sz w:val="28"/>
        </w:rPr>
        <w:t>基本支出预决算对比情况详见下表：</w:t>
      </w:r>
    </w:p>
    <w:tbl>
      <w:tblPr>
        <w:tblStyle w:val="5"/>
        <w:tblW w:w="8747" w:type="dxa"/>
        <w:jc w:val="center"/>
        <w:tblLayout w:type="fixed"/>
        <w:tblCellMar>
          <w:top w:w="0" w:type="dxa"/>
          <w:left w:w="28" w:type="dxa"/>
          <w:bottom w:w="0" w:type="dxa"/>
          <w:right w:w="28" w:type="dxa"/>
        </w:tblCellMar>
      </w:tblPr>
      <w:tblGrid>
        <w:gridCol w:w="1984"/>
        <w:gridCol w:w="993"/>
        <w:gridCol w:w="1134"/>
        <w:gridCol w:w="1134"/>
        <w:gridCol w:w="1093"/>
        <w:gridCol w:w="1275"/>
        <w:gridCol w:w="1134"/>
      </w:tblGrid>
      <w:tr w14:paraId="1F18D0AA">
        <w:tblPrEx>
          <w:tblCellMar>
            <w:top w:w="0" w:type="dxa"/>
            <w:left w:w="28" w:type="dxa"/>
            <w:bottom w:w="0" w:type="dxa"/>
            <w:right w:w="28" w:type="dxa"/>
          </w:tblCellMar>
        </w:tblPrEx>
        <w:trPr>
          <w:trHeight w:val="285" w:hRule="atLeast"/>
          <w:tblHeader/>
          <w:jc w:val="center"/>
        </w:trPr>
        <w:tc>
          <w:tcPr>
            <w:tcW w:w="19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977FA0E">
            <w:pPr>
              <w:widowControl/>
              <w:jc w:val="center"/>
              <w:rPr>
                <w:rFonts w:ascii="宋体" w:hAnsi="宋体" w:cs="宋体"/>
                <w:b/>
                <w:kern w:val="0"/>
                <w:szCs w:val="21"/>
              </w:rPr>
            </w:pPr>
            <w:r>
              <w:rPr>
                <w:rFonts w:hint="eastAsia" w:ascii="宋体" w:hAnsi="宋体" w:cs="宋体"/>
                <w:b/>
                <w:kern w:val="0"/>
                <w:szCs w:val="21"/>
              </w:rPr>
              <w:t>项目</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14:paraId="7CE088CA">
            <w:pPr>
              <w:widowControl/>
              <w:jc w:val="center"/>
              <w:rPr>
                <w:rFonts w:ascii="宋体" w:hAnsi="宋体" w:cs="宋体"/>
                <w:b/>
                <w:kern w:val="0"/>
                <w:szCs w:val="21"/>
              </w:rPr>
            </w:pPr>
            <w:r>
              <w:rPr>
                <w:rFonts w:hint="eastAsia" w:ascii="宋体" w:hAnsi="宋体" w:cs="宋体"/>
                <w:b/>
                <w:kern w:val="0"/>
                <w:szCs w:val="21"/>
              </w:rPr>
              <w:t>预算</w:t>
            </w:r>
          </w:p>
        </w:tc>
        <w:tc>
          <w:tcPr>
            <w:tcW w:w="2227" w:type="dxa"/>
            <w:gridSpan w:val="2"/>
            <w:tcBorders>
              <w:top w:val="single" w:color="auto" w:sz="4" w:space="0"/>
              <w:left w:val="nil"/>
              <w:bottom w:val="single" w:color="auto" w:sz="4" w:space="0"/>
              <w:right w:val="single" w:color="auto" w:sz="4" w:space="0"/>
            </w:tcBorders>
            <w:shd w:val="clear" w:color="auto" w:fill="auto"/>
            <w:vAlign w:val="center"/>
          </w:tcPr>
          <w:p w14:paraId="5680FA27">
            <w:pPr>
              <w:widowControl/>
              <w:jc w:val="center"/>
              <w:rPr>
                <w:rFonts w:ascii="宋体" w:hAnsi="宋体" w:cs="宋体"/>
                <w:b/>
                <w:kern w:val="0"/>
                <w:szCs w:val="21"/>
              </w:rPr>
            </w:pPr>
            <w:r>
              <w:rPr>
                <w:rFonts w:hint="eastAsia" w:ascii="宋体" w:hAnsi="宋体" w:cs="宋体"/>
                <w:b/>
                <w:kern w:val="0"/>
                <w:szCs w:val="21"/>
              </w:rPr>
              <w:t>决算</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14:paraId="6CE18598">
            <w:pPr>
              <w:widowControl/>
              <w:jc w:val="center"/>
              <w:rPr>
                <w:rFonts w:ascii="宋体" w:hAnsi="宋体" w:cs="宋体"/>
                <w:b/>
                <w:kern w:val="0"/>
                <w:szCs w:val="21"/>
              </w:rPr>
            </w:pPr>
            <w:r>
              <w:rPr>
                <w:rFonts w:hint="eastAsia" w:ascii="宋体" w:hAnsi="宋体" w:cs="宋体"/>
                <w:b/>
                <w:kern w:val="0"/>
                <w:szCs w:val="21"/>
              </w:rPr>
              <w:t>与预算对比</w:t>
            </w:r>
          </w:p>
        </w:tc>
      </w:tr>
      <w:tr w14:paraId="50E527D6">
        <w:tblPrEx>
          <w:tblCellMar>
            <w:top w:w="0" w:type="dxa"/>
            <w:left w:w="28" w:type="dxa"/>
            <w:bottom w:w="0" w:type="dxa"/>
            <w:right w:w="28" w:type="dxa"/>
          </w:tblCellMar>
        </w:tblPrEx>
        <w:trPr>
          <w:trHeight w:val="285" w:hRule="atLeast"/>
          <w:tblHeader/>
          <w:jc w:val="center"/>
        </w:trPr>
        <w:tc>
          <w:tcPr>
            <w:tcW w:w="1984" w:type="dxa"/>
            <w:vMerge w:val="continue"/>
            <w:tcBorders>
              <w:top w:val="single" w:color="auto" w:sz="4" w:space="0"/>
              <w:left w:val="single" w:color="auto" w:sz="4" w:space="0"/>
              <w:bottom w:val="single" w:color="000000" w:sz="4" w:space="0"/>
              <w:right w:val="single" w:color="auto" w:sz="4" w:space="0"/>
            </w:tcBorders>
            <w:vAlign w:val="center"/>
          </w:tcPr>
          <w:p w14:paraId="327905EA">
            <w:pPr>
              <w:widowControl/>
              <w:jc w:val="center"/>
              <w:rPr>
                <w:rFonts w:ascii="宋体" w:hAnsi="宋体" w:cs="宋体"/>
                <w:b/>
                <w:kern w:val="0"/>
                <w:szCs w:val="21"/>
              </w:rPr>
            </w:pPr>
          </w:p>
        </w:tc>
        <w:tc>
          <w:tcPr>
            <w:tcW w:w="993" w:type="dxa"/>
            <w:tcBorders>
              <w:top w:val="nil"/>
              <w:left w:val="nil"/>
              <w:bottom w:val="single" w:color="auto" w:sz="4" w:space="0"/>
              <w:right w:val="single" w:color="auto" w:sz="4" w:space="0"/>
            </w:tcBorders>
            <w:shd w:val="clear" w:color="auto" w:fill="auto"/>
            <w:vAlign w:val="center"/>
          </w:tcPr>
          <w:p w14:paraId="6AD63BA7">
            <w:pPr>
              <w:widowControl/>
              <w:jc w:val="center"/>
              <w:rPr>
                <w:rFonts w:ascii="宋体" w:hAnsi="宋体" w:cs="宋体"/>
                <w:b/>
                <w:kern w:val="0"/>
                <w:szCs w:val="21"/>
              </w:rPr>
            </w:pPr>
            <w:r>
              <w:rPr>
                <w:rFonts w:hint="eastAsia" w:ascii="宋体" w:hAnsi="宋体" w:cs="宋体"/>
                <w:b/>
                <w:kern w:val="0"/>
                <w:szCs w:val="21"/>
              </w:rPr>
              <w:t>金额</w:t>
            </w:r>
          </w:p>
        </w:tc>
        <w:tc>
          <w:tcPr>
            <w:tcW w:w="1134" w:type="dxa"/>
            <w:tcBorders>
              <w:top w:val="nil"/>
              <w:left w:val="nil"/>
              <w:bottom w:val="single" w:color="auto" w:sz="4" w:space="0"/>
              <w:right w:val="single" w:color="auto" w:sz="4" w:space="0"/>
            </w:tcBorders>
            <w:shd w:val="clear" w:color="auto" w:fill="auto"/>
            <w:vAlign w:val="center"/>
          </w:tcPr>
          <w:p w14:paraId="78D58E22">
            <w:pPr>
              <w:widowControl/>
              <w:jc w:val="center"/>
              <w:rPr>
                <w:rFonts w:ascii="宋体" w:hAnsi="宋体" w:cs="宋体"/>
                <w:b/>
                <w:kern w:val="0"/>
                <w:szCs w:val="21"/>
              </w:rPr>
            </w:pPr>
            <w:r>
              <w:rPr>
                <w:rFonts w:hint="eastAsia" w:ascii="宋体" w:hAnsi="宋体" w:cs="宋体"/>
                <w:b/>
                <w:kern w:val="0"/>
                <w:szCs w:val="21"/>
              </w:rPr>
              <w:t>结构比（%）</w:t>
            </w:r>
          </w:p>
        </w:tc>
        <w:tc>
          <w:tcPr>
            <w:tcW w:w="1134" w:type="dxa"/>
            <w:tcBorders>
              <w:top w:val="nil"/>
              <w:left w:val="nil"/>
              <w:bottom w:val="single" w:color="auto" w:sz="4" w:space="0"/>
              <w:right w:val="single" w:color="auto" w:sz="4" w:space="0"/>
            </w:tcBorders>
            <w:shd w:val="clear" w:color="auto" w:fill="auto"/>
            <w:vAlign w:val="center"/>
          </w:tcPr>
          <w:p w14:paraId="1843183F">
            <w:pPr>
              <w:widowControl/>
              <w:jc w:val="center"/>
              <w:rPr>
                <w:rFonts w:ascii="宋体" w:hAnsi="宋体" w:cs="宋体"/>
                <w:b/>
                <w:kern w:val="0"/>
                <w:szCs w:val="21"/>
              </w:rPr>
            </w:pPr>
            <w:r>
              <w:rPr>
                <w:rFonts w:hint="eastAsia" w:ascii="宋体" w:hAnsi="宋体" w:cs="宋体"/>
                <w:b/>
                <w:kern w:val="0"/>
                <w:szCs w:val="21"/>
              </w:rPr>
              <w:t>金额</w:t>
            </w:r>
          </w:p>
        </w:tc>
        <w:tc>
          <w:tcPr>
            <w:tcW w:w="1093" w:type="dxa"/>
            <w:tcBorders>
              <w:top w:val="nil"/>
              <w:left w:val="nil"/>
              <w:bottom w:val="single" w:color="auto" w:sz="4" w:space="0"/>
              <w:right w:val="single" w:color="auto" w:sz="4" w:space="0"/>
            </w:tcBorders>
            <w:shd w:val="clear" w:color="auto" w:fill="auto"/>
            <w:vAlign w:val="center"/>
          </w:tcPr>
          <w:p w14:paraId="1BC33B1A">
            <w:pPr>
              <w:widowControl/>
              <w:jc w:val="center"/>
              <w:rPr>
                <w:rFonts w:ascii="宋体" w:hAnsi="宋体" w:cs="宋体"/>
                <w:b/>
                <w:kern w:val="0"/>
                <w:szCs w:val="21"/>
              </w:rPr>
            </w:pPr>
            <w:r>
              <w:rPr>
                <w:rFonts w:hint="eastAsia" w:ascii="宋体" w:hAnsi="宋体" w:cs="宋体"/>
                <w:b/>
                <w:kern w:val="0"/>
                <w:szCs w:val="21"/>
              </w:rPr>
              <w:t>结构比（%）</w:t>
            </w:r>
          </w:p>
        </w:tc>
        <w:tc>
          <w:tcPr>
            <w:tcW w:w="1275" w:type="dxa"/>
            <w:tcBorders>
              <w:top w:val="nil"/>
              <w:left w:val="nil"/>
              <w:bottom w:val="single" w:color="auto" w:sz="4" w:space="0"/>
              <w:right w:val="single" w:color="auto" w:sz="4" w:space="0"/>
            </w:tcBorders>
            <w:shd w:val="clear" w:color="auto" w:fill="auto"/>
            <w:vAlign w:val="center"/>
          </w:tcPr>
          <w:p w14:paraId="3C7218AE">
            <w:pPr>
              <w:widowControl/>
              <w:jc w:val="center"/>
              <w:rPr>
                <w:rFonts w:ascii="宋体" w:hAnsi="宋体" w:cs="宋体"/>
                <w:b/>
                <w:kern w:val="0"/>
                <w:szCs w:val="21"/>
              </w:rPr>
            </w:pPr>
            <w:r>
              <w:rPr>
                <w:rFonts w:hint="eastAsia" w:ascii="宋体" w:hAnsi="宋体" w:cs="宋体"/>
                <w:b/>
                <w:kern w:val="0"/>
                <w:szCs w:val="21"/>
              </w:rPr>
              <w:t>超出（节约）</w:t>
            </w:r>
          </w:p>
          <w:p w14:paraId="5EFD7943">
            <w:pPr>
              <w:widowControl/>
              <w:jc w:val="center"/>
              <w:rPr>
                <w:rFonts w:ascii="宋体" w:hAnsi="宋体" w:cs="宋体"/>
                <w:b/>
                <w:kern w:val="0"/>
                <w:szCs w:val="21"/>
              </w:rPr>
            </w:pPr>
            <w:r>
              <w:rPr>
                <w:rFonts w:hint="eastAsia" w:ascii="宋体" w:hAnsi="宋体" w:cs="宋体"/>
                <w:b/>
                <w:kern w:val="0"/>
                <w:szCs w:val="21"/>
              </w:rPr>
              <w:t>金额（万元）</w:t>
            </w:r>
          </w:p>
        </w:tc>
        <w:tc>
          <w:tcPr>
            <w:tcW w:w="1134" w:type="dxa"/>
            <w:tcBorders>
              <w:top w:val="nil"/>
              <w:left w:val="nil"/>
              <w:bottom w:val="single" w:color="auto" w:sz="4" w:space="0"/>
              <w:right w:val="single" w:color="auto" w:sz="4" w:space="0"/>
            </w:tcBorders>
            <w:shd w:val="clear" w:color="auto" w:fill="auto"/>
            <w:vAlign w:val="center"/>
          </w:tcPr>
          <w:p w14:paraId="6096DDF3">
            <w:pPr>
              <w:widowControl/>
              <w:jc w:val="left"/>
              <w:rPr>
                <w:rFonts w:ascii="宋体" w:hAnsi="宋体" w:cs="宋体"/>
                <w:b/>
                <w:kern w:val="0"/>
                <w:szCs w:val="21"/>
              </w:rPr>
            </w:pPr>
            <w:r>
              <w:rPr>
                <w:rFonts w:hint="eastAsia" w:ascii="宋体" w:hAnsi="宋体" w:cs="宋体"/>
                <w:b/>
                <w:kern w:val="0"/>
                <w:szCs w:val="21"/>
              </w:rPr>
              <w:t>超出（节约）比（%）</w:t>
            </w:r>
          </w:p>
        </w:tc>
      </w:tr>
      <w:tr w14:paraId="7905143E">
        <w:tblPrEx>
          <w:tblCellMar>
            <w:top w:w="0" w:type="dxa"/>
            <w:left w:w="28" w:type="dxa"/>
            <w:bottom w:w="0" w:type="dxa"/>
            <w:right w:w="28" w:type="dxa"/>
          </w:tblCellMar>
        </w:tblPrEx>
        <w:trPr>
          <w:trHeight w:val="285"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14:paraId="71EB3855">
            <w:pPr>
              <w:widowControl/>
              <w:jc w:val="left"/>
              <w:rPr>
                <w:rFonts w:ascii="宋体" w:hAnsi="宋体" w:cs="宋体"/>
                <w:kern w:val="0"/>
                <w:szCs w:val="21"/>
              </w:rPr>
            </w:pPr>
            <w:r>
              <w:rPr>
                <w:rFonts w:hint="eastAsia" w:ascii="宋体" w:hAnsi="宋体" w:cs="宋体"/>
                <w:kern w:val="0"/>
                <w:szCs w:val="21"/>
              </w:rPr>
              <w:t>工资福利支出</w:t>
            </w:r>
          </w:p>
        </w:tc>
        <w:tc>
          <w:tcPr>
            <w:tcW w:w="993" w:type="dxa"/>
            <w:tcBorders>
              <w:top w:val="nil"/>
              <w:left w:val="nil"/>
              <w:bottom w:val="single" w:color="auto" w:sz="4" w:space="0"/>
              <w:right w:val="single" w:color="auto" w:sz="4" w:space="0"/>
            </w:tcBorders>
            <w:shd w:val="clear" w:color="auto" w:fill="auto"/>
            <w:vAlign w:val="center"/>
          </w:tcPr>
          <w:p w14:paraId="1CD6D7DC">
            <w:pPr>
              <w:widowControl/>
              <w:jc w:val="right"/>
              <w:rPr>
                <w:rFonts w:ascii="宋体" w:hAnsi="宋体" w:cs="宋体"/>
                <w:kern w:val="0"/>
                <w:szCs w:val="21"/>
              </w:rPr>
            </w:pPr>
            <w:r>
              <w:rPr>
                <w:rFonts w:hint="eastAsia" w:ascii="宋体" w:hAnsi="宋体" w:cs="宋体"/>
                <w:kern w:val="0"/>
                <w:szCs w:val="21"/>
              </w:rPr>
              <w:t xml:space="preserve">1,023.74 </w:t>
            </w:r>
          </w:p>
        </w:tc>
        <w:tc>
          <w:tcPr>
            <w:tcW w:w="1134" w:type="dxa"/>
            <w:tcBorders>
              <w:top w:val="nil"/>
              <w:left w:val="nil"/>
              <w:bottom w:val="single" w:color="auto" w:sz="4" w:space="0"/>
              <w:right w:val="single" w:color="auto" w:sz="4" w:space="0"/>
            </w:tcBorders>
            <w:shd w:val="clear" w:color="auto" w:fill="auto"/>
            <w:vAlign w:val="center"/>
          </w:tcPr>
          <w:p w14:paraId="70D766A6">
            <w:pPr>
              <w:widowControl/>
              <w:jc w:val="right"/>
              <w:rPr>
                <w:rFonts w:ascii="宋体" w:hAnsi="宋体" w:cs="宋体"/>
                <w:kern w:val="0"/>
                <w:szCs w:val="21"/>
              </w:rPr>
            </w:pPr>
            <w:r>
              <w:rPr>
                <w:rFonts w:hint="eastAsia" w:ascii="宋体" w:hAnsi="宋体" w:cs="宋体"/>
                <w:kern w:val="0"/>
                <w:szCs w:val="21"/>
              </w:rPr>
              <w:t xml:space="preserve">61.10 </w:t>
            </w:r>
          </w:p>
        </w:tc>
        <w:tc>
          <w:tcPr>
            <w:tcW w:w="1134" w:type="dxa"/>
            <w:tcBorders>
              <w:top w:val="nil"/>
              <w:left w:val="nil"/>
              <w:bottom w:val="single" w:color="auto" w:sz="4" w:space="0"/>
              <w:right w:val="single" w:color="auto" w:sz="4" w:space="0"/>
            </w:tcBorders>
            <w:shd w:val="clear" w:color="auto" w:fill="auto"/>
            <w:vAlign w:val="center"/>
          </w:tcPr>
          <w:p w14:paraId="622AD5A0">
            <w:pPr>
              <w:widowControl/>
              <w:jc w:val="right"/>
              <w:rPr>
                <w:rFonts w:ascii="宋体" w:hAnsi="宋体" w:cs="宋体"/>
                <w:kern w:val="0"/>
                <w:szCs w:val="21"/>
              </w:rPr>
            </w:pPr>
            <w:r>
              <w:rPr>
                <w:rFonts w:hint="eastAsia" w:ascii="宋体" w:hAnsi="宋体" w:cs="宋体"/>
                <w:kern w:val="0"/>
                <w:szCs w:val="21"/>
              </w:rPr>
              <w:t xml:space="preserve">1,880.70 </w:t>
            </w:r>
          </w:p>
        </w:tc>
        <w:tc>
          <w:tcPr>
            <w:tcW w:w="1093" w:type="dxa"/>
            <w:tcBorders>
              <w:top w:val="nil"/>
              <w:left w:val="nil"/>
              <w:bottom w:val="single" w:color="auto" w:sz="4" w:space="0"/>
              <w:right w:val="single" w:color="auto" w:sz="4" w:space="0"/>
            </w:tcBorders>
            <w:shd w:val="clear" w:color="auto" w:fill="auto"/>
            <w:vAlign w:val="center"/>
          </w:tcPr>
          <w:p w14:paraId="247C431B">
            <w:pPr>
              <w:widowControl/>
              <w:jc w:val="right"/>
              <w:rPr>
                <w:rFonts w:ascii="宋体" w:hAnsi="宋体" w:cs="宋体"/>
                <w:kern w:val="0"/>
                <w:szCs w:val="21"/>
              </w:rPr>
            </w:pPr>
            <w:r>
              <w:rPr>
                <w:rFonts w:hint="eastAsia" w:ascii="宋体" w:hAnsi="宋体" w:cs="宋体"/>
                <w:kern w:val="0"/>
                <w:szCs w:val="21"/>
              </w:rPr>
              <w:t xml:space="preserve">75.18 </w:t>
            </w:r>
          </w:p>
        </w:tc>
        <w:tc>
          <w:tcPr>
            <w:tcW w:w="1275" w:type="dxa"/>
            <w:tcBorders>
              <w:top w:val="nil"/>
              <w:left w:val="nil"/>
              <w:bottom w:val="single" w:color="auto" w:sz="4" w:space="0"/>
              <w:right w:val="single" w:color="auto" w:sz="4" w:space="0"/>
            </w:tcBorders>
            <w:shd w:val="clear" w:color="auto" w:fill="auto"/>
            <w:vAlign w:val="center"/>
          </w:tcPr>
          <w:p w14:paraId="588ADBE5">
            <w:pPr>
              <w:widowControl/>
              <w:jc w:val="right"/>
              <w:rPr>
                <w:rFonts w:ascii="宋体" w:hAnsi="宋体" w:cs="宋体"/>
                <w:kern w:val="0"/>
                <w:szCs w:val="21"/>
              </w:rPr>
            </w:pPr>
            <w:r>
              <w:rPr>
                <w:rFonts w:hint="eastAsia" w:ascii="宋体" w:hAnsi="宋体" w:cs="宋体"/>
                <w:kern w:val="0"/>
                <w:szCs w:val="21"/>
              </w:rPr>
              <w:t xml:space="preserve">856.96 </w:t>
            </w:r>
          </w:p>
        </w:tc>
        <w:tc>
          <w:tcPr>
            <w:tcW w:w="1134" w:type="dxa"/>
            <w:tcBorders>
              <w:top w:val="nil"/>
              <w:left w:val="nil"/>
              <w:bottom w:val="single" w:color="auto" w:sz="4" w:space="0"/>
              <w:right w:val="single" w:color="auto" w:sz="4" w:space="0"/>
            </w:tcBorders>
            <w:shd w:val="clear" w:color="auto" w:fill="auto"/>
            <w:vAlign w:val="center"/>
          </w:tcPr>
          <w:p w14:paraId="68A64AE0">
            <w:pPr>
              <w:widowControl/>
              <w:jc w:val="right"/>
              <w:rPr>
                <w:rFonts w:ascii="宋体" w:hAnsi="宋体" w:cs="宋体"/>
                <w:kern w:val="0"/>
                <w:szCs w:val="21"/>
              </w:rPr>
            </w:pPr>
            <w:r>
              <w:rPr>
                <w:rFonts w:hint="eastAsia" w:ascii="宋体" w:hAnsi="宋体" w:cs="宋体"/>
                <w:kern w:val="0"/>
                <w:szCs w:val="21"/>
              </w:rPr>
              <w:t xml:space="preserve">83.71 </w:t>
            </w:r>
          </w:p>
        </w:tc>
      </w:tr>
      <w:tr w14:paraId="693C8F0E">
        <w:tblPrEx>
          <w:tblCellMar>
            <w:top w:w="0" w:type="dxa"/>
            <w:left w:w="28" w:type="dxa"/>
            <w:bottom w:w="0" w:type="dxa"/>
            <w:right w:w="28" w:type="dxa"/>
          </w:tblCellMar>
        </w:tblPrEx>
        <w:trPr>
          <w:trHeight w:val="285"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14:paraId="23DBFBBF">
            <w:pPr>
              <w:widowControl/>
              <w:jc w:val="left"/>
              <w:rPr>
                <w:rFonts w:ascii="宋体" w:hAnsi="宋体" w:cs="宋体"/>
                <w:kern w:val="0"/>
                <w:szCs w:val="21"/>
              </w:rPr>
            </w:pPr>
            <w:r>
              <w:rPr>
                <w:rFonts w:hint="eastAsia" w:ascii="宋体" w:hAnsi="宋体" w:cs="宋体"/>
                <w:kern w:val="0"/>
                <w:szCs w:val="21"/>
              </w:rPr>
              <w:t>对个人和家庭的补助</w:t>
            </w:r>
          </w:p>
        </w:tc>
        <w:tc>
          <w:tcPr>
            <w:tcW w:w="993" w:type="dxa"/>
            <w:tcBorders>
              <w:top w:val="nil"/>
              <w:left w:val="nil"/>
              <w:bottom w:val="single" w:color="auto" w:sz="4" w:space="0"/>
              <w:right w:val="single" w:color="auto" w:sz="4" w:space="0"/>
            </w:tcBorders>
            <w:shd w:val="clear" w:color="auto" w:fill="auto"/>
            <w:vAlign w:val="center"/>
          </w:tcPr>
          <w:p w14:paraId="382503CC">
            <w:pPr>
              <w:widowControl/>
              <w:jc w:val="right"/>
              <w:rPr>
                <w:rFonts w:ascii="宋体" w:hAnsi="宋体" w:cs="宋体"/>
                <w:kern w:val="0"/>
                <w:szCs w:val="21"/>
              </w:rPr>
            </w:pPr>
            <w:r>
              <w:rPr>
                <w:rFonts w:hint="eastAsia" w:ascii="宋体" w:hAnsi="宋体" w:cs="宋体"/>
                <w:kern w:val="0"/>
                <w:szCs w:val="21"/>
              </w:rPr>
              <w:t xml:space="preserve">393.22 </w:t>
            </w:r>
          </w:p>
        </w:tc>
        <w:tc>
          <w:tcPr>
            <w:tcW w:w="1134" w:type="dxa"/>
            <w:tcBorders>
              <w:top w:val="nil"/>
              <w:left w:val="nil"/>
              <w:bottom w:val="single" w:color="auto" w:sz="4" w:space="0"/>
              <w:right w:val="single" w:color="auto" w:sz="4" w:space="0"/>
            </w:tcBorders>
            <w:shd w:val="clear" w:color="auto" w:fill="auto"/>
            <w:vAlign w:val="center"/>
          </w:tcPr>
          <w:p w14:paraId="46E0362C">
            <w:pPr>
              <w:widowControl/>
              <w:jc w:val="right"/>
              <w:rPr>
                <w:rFonts w:ascii="宋体" w:hAnsi="宋体" w:cs="宋体"/>
                <w:kern w:val="0"/>
                <w:szCs w:val="21"/>
              </w:rPr>
            </w:pPr>
            <w:r>
              <w:rPr>
                <w:rFonts w:hint="eastAsia" w:ascii="宋体" w:hAnsi="宋体" w:cs="宋体"/>
                <w:kern w:val="0"/>
                <w:szCs w:val="21"/>
              </w:rPr>
              <w:t xml:space="preserve">23.47 </w:t>
            </w:r>
          </w:p>
        </w:tc>
        <w:tc>
          <w:tcPr>
            <w:tcW w:w="1134" w:type="dxa"/>
            <w:tcBorders>
              <w:top w:val="nil"/>
              <w:left w:val="nil"/>
              <w:bottom w:val="single" w:color="auto" w:sz="4" w:space="0"/>
              <w:right w:val="single" w:color="auto" w:sz="4" w:space="0"/>
            </w:tcBorders>
            <w:shd w:val="clear" w:color="auto" w:fill="auto"/>
            <w:vAlign w:val="center"/>
          </w:tcPr>
          <w:p w14:paraId="7C37E8C3">
            <w:pPr>
              <w:widowControl/>
              <w:jc w:val="right"/>
              <w:rPr>
                <w:rFonts w:ascii="宋体" w:hAnsi="宋体" w:cs="宋体"/>
                <w:kern w:val="0"/>
                <w:szCs w:val="21"/>
              </w:rPr>
            </w:pPr>
            <w:r>
              <w:rPr>
                <w:rFonts w:hint="eastAsia" w:ascii="宋体" w:hAnsi="宋体" w:cs="宋体"/>
                <w:kern w:val="0"/>
                <w:szCs w:val="21"/>
              </w:rPr>
              <w:t xml:space="preserve">379.28 </w:t>
            </w:r>
          </w:p>
        </w:tc>
        <w:tc>
          <w:tcPr>
            <w:tcW w:w="1093" w:type="dxa"/>
            <w:tcBorders>
              <w:top w:val="nil"/>
              <w:left w:val="nil"/>
              <w:bottom w:val="single" w:color="auto" w:sz="4" w:space="0"/>
              <w:right w:val="single" w:color="auto" w:sz="4" w:space="0"/>
            </w:tcBorders>
            <w:shd w:val="clear" w:color="auto" w:fill="auto"/>
            <w:vAlign w:val="center"/>
          </w:tcPr>
          <w:p w14:paraId="49270BCB">
            <w:pPr>
              <w:widowControl/>
              <w:jc w:val="right"/>
              <w:rPr>
                <w:rFonts w:ascii="宋体" w:hAnsi="宋体" w:cs="宋体"/>
                <w:kern w:val="0"/>
                <w:szCs w:val="21"/>
              </w:rPr>
            </w:pPr>
            <w:r>
              <w:rPr>
                <w:rFonts w:hint="eastAsia" w:ascii="宋体" w:hAnsi="宋体" w:cs="宋体"/>
                <w:kern w:val="0"/>
                <w:szCs w:val="21"/>
              </w:rPr>
              <w:t xml:space="preserve">15.16 </w:t>
            </w:r>
          </w:p>
        </w:tc>
        <w:tc>
          <w:tcPr>
            <w:tcW w:w="1275" w:type="dxa"/>
            <w:tcBorders>
              <w:top w:val="nil"/>
              <w:left w:val="nil"/>
              <w:bottom w:val="single" w:color="auto" w:sz="4" w:space="0"/>
              <w:right w:val="single" w:color="auto" w:sz="4" w:space="0"/>
            </w:tcBorders>
            <w:shd w:val="clear" w:color="auto" w:fill="auto"/>
            <w:vAlign w:val="center"/>
          </w:tcPr>
          <w:p w14:paraId="5B30D5ED">
            <w:pPr>
              <w:widowControl/>
              <w:jc w:val="right"/>
              <w:rPr>
                <w:rFonts w:ascii="宋体" w:hAnsi="宋体" w:cs="宋体"/>
                <w:kern w:val="0"/>
                <w:szCs w:val="21"/>
              </w:rPr>
            </w:pPr>
            <w:r>
              <w:rPr>
                <w:rFonts w:hint="eastAsia" w:ascii="宋体" w:hAnsi="宋体" w:cs="宋体"/>
                <w:kern w:val="0"/>
                <w:szCs w:val="21"/>
              </w:rPr>
              <w:t xml:space="preserve">-13.94 </w:t>
            </w:r>
          </w:p>
        </w:tc>
        <w:tc>
          <w:tcPr>
            <w:tcW w:w="1134" w:type="dxa"/>
            <w:tcBorders>
              <w:top w:val="nil"/>
              <w:left w:val="nil"/>
              <w:bottom w:val="single" w:color="auto" w:sz="4" w:space="0"/>
              <w:right w:val="single" w:color="auto" w:sz="4" w:space="0"/>
            </w:tcBorders>
            <w:shd w:val="clear" w:color="auto" w:fill="auto"/>
            <w:vAlign w:val="center"/>
          </w:tcPr>
          <w:p w14:paraId="28467C47">
            <w:pPr>
              <w:widowControl/>
              <w:jc w:val="right"/>
              <w:rPr>
                <w:rFonts w:ascii="宋体" w:hAnsi="宋体" w:cs="宋体"/>
                <w:kern w:val="0"/>
                <w:szCs w:val="21"/>
              </w:rPr>
            </w:pPr>
            <w:r>
              <w:rPr>
                <w:rFonts w:hint="eastAsia" w:ascii="宋体" w:hAnsi="宋体" w:cs="宋体"/>
                <w:kern w:val="0"/>
                <w:szCs w:val="21"/>
              </w:rPr>
              <w:t xml:space="preserve">-3.55 </w:t>
            </w:r>
          </w:p>
        </w:tc>
      </w:tr>
      <w:tr w14:paraId="1D5EFA19">
        <w:tblPrEx>
          <w:tblCellMar>
            <w:top w:w="0" w:type="dxa"/>
            <w:left w:w="28" w:type="dxa"/>
            <w:bottom w:w="0" w:type="dxa"/>
            <w:right w:w="28" w:type="dxa"/>
          </w:tblCellMar>
        </w:tblPrEx>
        <w:trPr>
          <w:trHeight w:val="285"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14:paraId="14C27534">
            <w:pPr>
              <w:widowControl/>
              <w:jc w:val="left"/>
              <w:rPr>
                <w:rFonts w:ascii="宋体" w:hAnsi="宋体" w:cs="宋体"/>
                <w:kern w:val="0"/>
                <w:szCs w:val="21"/>
              </w:rPr>
            </w:pPr>
            <w:r>
              <w:rPr>
                <w:rFonts w:hint="eastAsia" w:ascii="宋体" w:hAnsi="宋体" w:cs="宋体"/>
                <w:kern w:val="0"/>
                <w:szCs w:val="21"/>
              </w:rPr>
              <w:t>商品和服务支出</w:t>
            </w:r>
          </w:p>
        </w:tc>
        <w:tc>
          <w:tcPr>
            <w:tcW w:w="993" w:type="dxa"/>
            <w:tcBorders>
              <w:top w:val="nil"/>
              <w:left w:val="nil"/>
              <w:bottom w:val="single" w:color="auto" w:sz="4" w:space="0"/>
              <w:right w:val="single" w:color="auto" w:sz="4" w:space="0"/>
            </w:tcBorders>
            <w:shd w:val="clear" w:color="auto" w:fill="auto"/>
            <w:vAlign w:val="center"/>
          </w:tcPr>
          <w:p w14:paraId="4C3442D3">
            <w:pPr>
              <w:widowControl/>
              <w:jc w:val="right"/>
              <w:rPr>
                <w:rFonts w:ascii="宋体" w:hAnsi="宋体" w:cs="宋体"/>
                <w:kern w:val="0"/>
                <w:szCs w:val="21"/>
              </w:rPr>
            </w:pPr>
            <w:r>
              <w:rPr>
                <w:rFonts w:hint="eastAsia" w:ascii="宋体" w:hAnsi="宋体" w:cs="宋体"/>
                <w:kern w:val="0"/>
                <w:szCs w:val="21"/>
              </w:rPr>
              <w:t xml:space="preserve">258.58 </w:t>
            </w:r>
          </w:p>
        </w:tc>
        <w:tc>
          <w:tcPr>
            <w:tcW w:w="1134" w:type="dxa"/>
            <w:tcBorders>
              <w:top w:val="nil"/>
              <w:left w:val="nil"/>
              <w:bottom w:val="single" w:color="auto" w:sz="4" w:space="0"/>
              <w:right w:val="single" w:color="auto" w:sz="4" w:space="0"/>
            </w:tcBorders>
            <w:shd w:val="clear" w:color="auto" w:fill="auto"/>
            <w:vAlign w:val="center"/>
          </w:tcPr>
          <w:p w14:paraId="6D5D966C">
            <w:pPr>
              <w:widowControl/>
              <w:jc w:val="right"/>
              <w:rPr>
                <w:rFonts w:ascii="宋体" w:hAnsi="宋体" w:cs="宋体"/>
                <w:kern w:val="0"/>
                <w:szCs w:val="21"/>
              </w:rPr>
            </w:pPr>
            <w:r>
              <w:rPr>
                <w:rFonts w:hint="eastAsia" w:ascii="宋体" w:hAnsi="宋体" w:cs="宋体"/>
                <w:kern w:val="0"/>
                <w:szCs w:val="21"/>
              </w:rPr>
              <w:t xml:space="preserve">15.43 </w:t>
            </w:r>
          </w:p>
        </w:tc>
        <w:tc>
          <w:tcPr>
            <w:tcW w:w="1134" w:type="dxa"/>
            <w:tcBorders>
              <w:top w:val="nil"/>
              <w:left w:val="nil"/>
              <w:bottom w:val="single" w:color="auto" w:sz="4" w:space="0"/>
              <w:right w:val="single" w:color="auto" w:sz="4" w:space="0"/>
            </w:tcBorders>
            <w:shd w:val="clear" w:color="auto" w:fill="auto"/>
            <w:vAlign w:val="center"/>
          </w:tcPr>
          <w:p w14:paraId="3B953067">
            <w:pPr>
              <w:widowControl/>
              <w:jc w:val="right"/>
              <w:rPr>
                <w:rFonts w:ascii="宋体" w:hAnsi="宋体" w:cs="宋体"/>
                <w:kern w:val="0"/>
                <w:szCs w:val="21"/>
              </w:rPr>
            </w:pPr>
            <w:r>
              <w:rPr>
                <w:rFonts w:hint="eastAsia" w:ascii="宋体" w:hAnsi="宋体" w:cs="宋体"/>
                <w:kern w:val="0"/>
                <w:szCs w:val="21"/>
              </w:rPr>
              <w:t xml:space="preserve">240.39 </w:t>
            </w:r>
          </w:p>
        </w:tc>
        <w:tc>
          <w:tcPr>
            <w:tcW w:w="1093" w:type="dxa"/>
            <w:tcBorders>
              <w:top w:val="nil"/>
              <w:left w:val="nil"/>
              <w:bottom w:val="single" w:color="auto" w:sz="4" w:space="0"/>
              <w:right w:val="single" w:color="auto" w:sz="4" w:space="0"/>
            </w:tcBorders>
            <w:shd w:val="clear" w:color="auto" w:fill="auto"/>
            <w:vAlign w:val="center"/>
          </w:tcPr>
          <w:p w14:paraId="7EC1A4D1">
            <w:pPr>
              <w:widowControl/>
              <w:jc w:val="right"/>
              <w:rPr>
                <w:rFonts w:ascii="宋体" w:hAnsi="宋体" w:cs="宋体"/>
                <w:kern w:val="0"/>
                <w:szCs w:val="21"/>
              </w:rPr>
            </w:pPr>
            <w:r>
              <w:rPr>
                <w:rFonts w:hint="eastAsia" w:ascii="宋体" w:hAnsi="宋体" w:cs="宋体"/>
                <w:kern w:val="0"/>
                <w:szCs w:val="21"/>
              </w:rPr>
              <w:t xml:space="preserve">9.61 </w:t>
            </w:r>
          </w:p>
        </w:tc>
        <w:tc>
          <w:tcPr>
            <w:tcW w:w="1275" w:type="dxa"/>
            <w:tcBorders>
              <w:top w:val="nil"/>
              <w:left w:val="nil"/>
              <w:bottom w:val="single" w:color="auto" w:sz="4" w:space="0"/>
              <w:right w:val="single" w:color="auto" w:sz="4" w:space="0"/>
            </w:tcBorders>
            <w:shd w:val="clear" w:color="auto" w:fill="auto"/>
            <w:vAlign w:val="center"/>
          </w:tcPr>
          <w:p w14:paraId="6EF1BBBE">
            <w:pPr>
              <w:widowControl/>
              <w:jc w:val="right"/>
              <w:rPr>
                <w:rFonts w:ascii="宋体" w:hAnsi="宋体" w:cs="宋体"/>
                <w:kern w:val="0"/>
                <w:szCs w:val="21"/>
              </w:rPr>
            </w:pPr>
            <w:r>
              <w:rPr>
                <w:rFonts w:hint="eastAsia" w:ascii="宋体" w:hAnsi="宋体" w:cs="宋体"/>
                <w:kern w:val="0"/>
                <w:szCs w:val="21"/>
              </w:rPr>
              <w:t xml:space="preserve">-18.19 </w:t>
            </w:r>
          </w:p>
        </w:tc>
        <w:tc>
          <w:tcPr>
            <w:tcW w:w="1134" w:type="dxa"/>
            <w:tcBorders>
              <w:top w:val="nil"/>
              <w:left w:val="nil"/>
              <w:bottom w:val="single" w:color="auto" w:sz="4" w:space="0"/>
              <w:right w:val="single" w:color="auto" w:sz="4" w:space="0"/>
            </w:tcBorders>
            <w:shd w:val="clear" w:color="auto" w:fill="auto"/>
            <w:vAlign w:val="center"/>
          </w:tcPr>
          <w:p w14:paraId="14308D19">
            <w:pPr>
              <w:widowControl/>
              <w:jc w:val="right"/>
              <w:rPr>
                <w:rFonts w:ascii="宋体" w:hAnsi="宋体" w:cs="宋体"/>
                <w:kern w:val="0"/>
                <w:szCs w:val="21"/>
              </w:rPr>
            </w:pPr>
            <w:r>
              <w:rPr>
                <w:rFonts w:hint="eastAsia" w:ascii="宋体" w:hAnsi="宋体" w:cs="宋体"/>
                <w:kern w:val="0"/>
                <w:szCs w:val="21"/>
              </w:rPr>
              <w:t xml:space="preserve">-7.03 </w:t>
            </w:r>
          </w:p>
        </w:tc>
      </w:tr>
      <w:tr w14:paraId="5CDBE899">
        <w:tblPrEx>
          <w:tblCellMar>
            <w:top w:w="0" w:type="dxa"/>
            <w:left w:w="28" w:type="dxa"/>
            <w:bottom w:w="0" w:type="dxa"/>
            <w:right w:w="28" w:type="dxa"/>
          </w:tblCellMar>
        </w:tblPrEx>
        <w:trPr>
          <w:trHeight w:val="285"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14:paraId="71C162EF">
            <w:pPr>
              <w:widowControl/>
              <w:jc w:val="left"/>
              <w:rPr>
                <w:rFonts w:ascii="宋体" w:hAnsi="宋体" w:cs="宋体"/>
                <w:kern w:val="0"/>
                <w:szCs w:val="21"/>
              </w:rPr>
            </w:pPr>
            <w:r>
              <w:rPr>
                <w:rFonts w:hint="eastAsia" w:ascii="宋体" w:hAnsi="宋体" w:cs="宋体"/>
                <w:kern w:val="0"/>
                <w:szCs w:val="21"/>
              </w:rPr>
              <w:t>其他资本性支出</w:t>
            </w:r>
          </w:p>
        </w:tc>
        <w:tc>
          <w:tcPr>
            <w:tcW w:w="993" w:type="dxa"/>
            <w:tcBorders>
              <w:top w:val="nil"/>
              <w:left w:val="nil"/>
              <w:bottom w:val="single" w:color="auto" w:sz="4" w:space="0"/>
              <w:right w:val="single" w:color="auto" w:sz="4" w:space="0"/>
            </w:tcBorders>
            <w:shd w:val="clear" w:color="auto" w:fill="auto"/>
            <w:vAlign w:val="center"/>
          </w:tcPr>
          <w:p w14:paraId="753CAB80">
            <w:pPr>
              <w:widowControl/>
              <w:jc w:val="right"/>
              <w:rPr>
                <w:rFonts w:ascii="宋体" w:hAnsi="宋体" w:cs="宋体"/>
                <w:kern w:val="0"/>
                <w:szCs w:val="21"/>
              </w:rPr>
            </w:pPr>
            <w:r>
              <w:rPr>
                <w:rFonts w:hint="eastAsia" w:ascii="宋体" w:hAnsi="宋体" w:cs="宋体"/>
                <w:kern w:val="0"/>
                <w:szCs w:val="21"/>
              </w:rPr>
              <w:t>　</w:t>
            </w:r>
          </w:p>
        </w:tc>
        <w:tc>
          <w:tcPr>
            <w:tcW w:w="1134" w:type="dxa"/>
            <w:tcBorders>
              <w:top w:val="nil"/>
              <w:left w:val="nil"/>
              <w:bottom w:val="single" w:color="auto" w:sz="4" w:space="0"/>
              <w:right w:val="single" w:color="auto" w:sz="4" w:space="0"/>
            </w:tcBorders>
            <w:shd w:val="clear" w:color="auto" w:fill="auto"/>
            <w:vAlign w:val="center"/>
          </w:tcPr>
          <w:p w14:paraId="18A55D41">
            <w:pPr>
              <w:widowControl/>
              <w:jc w:val="right"/>
              <w:rPr>
                <w:rFonts w:ascii="宋体" w:hAnsi="宋体" w:cs="宋体"/>
                <w:kern w:val="0"/>
                <w:szCs w:val="21"/>
              </w:rPr>
            </w:pPr>
            <w:r>
              <w:rPr>
                <w:rFonts w:hint="eastAsia" w:ascii="宋体" w:hAnsi="宋体" w:cs="宋体"/>
                <w:kern w:val="0"/>
                <w:szCs w:val="21"/>
              </w:rPr>
              <w:t xml:space="preserve">-   </w:t>
            </w:r>
          </w:p>
        </w:tc>
        <w:tc>
          <w:tcPr>
            <w:tcW w:w="1134" w:type="dxa"/>
            <w:tcBorders>
              <w:top w:val="nil"/>
              <w:left w:val="nil"/>
              <w:bottom w:val="single" w:color="auto" w:sz="4" w:space="0"/>
              <w:right w:val="single" w:color="auto" w:sz="4" w:space="0"/>
            </w:tcBorders>
            <w:shd w:val="clear" w:color="auto" w:fill="auto"/>
            <w:vAlign w:val="center"/>
          </w:tcPr>
          <w:p w14:paraId="281DF8A3">
            <w:pPr>
              <w:widowControl/>
              <w:jc w:val="right"/>
              <w:rPr>
                <w:rFonts w:ascii="宋体" w:hAnsi="宋体" w:cs="宋体"/>
                <w:kern w:val="0"/>
                <w:szCs w:val="21"/>
              </w:rPr>
            </w:pPr>
            <w:r>
              <w:rPr>
                <w:rFonts w:hint="eastAsia" w:ascii="宋体" w:hAnsi="宋体" w:cs="宋体"/>
                <w:kern w:val="0"/>
                <w:szCs w:val="21"/>
              </w:rPr>
              <w:t xml:space="preserve">1.15 </w:t>
            </w:r>
          </w:p>
        </w:tc>
        <w:tc>
          <w:tcPr>
            <w:tcW w:w="1093" w:type="dxa"/>
            <w:tcBorders>
              <w:top w:val="nil"/>
              <w:left w:val="nil"/>
              <w:bottom w:val="single" w:color="auto" w:sz="4" w:space="0"/>
              <w:right w:val="single" w:color="auto" w:sz="4" w:space="0"/>
            </w:tcBorders>
            <w:shd w:val="clear" w:color="auto" w:fill="auto"/>
            <w:vAlign w:val="center"/>
          </w:tcPr>
          <w:p w14:paraId="2E06B0D8">
            <w:pPr>
              <w:widowControl/>
              <w:jc w:val="right"/>
              <w:rPr>
                <w:rFonts w:ascii="宋体" w:hAnsi="宋体" w:cs="宋体"/>
                <w:kern w:val="0"/>
                <w:szCs w:val="21"/>
              </w:rPr>
            </w:pPr>
            <w:r>
              <w:rPr>
                <w:rFonts w:hint="eastAsia" w:ascii="宋体" w:hAnsi="宋体" w:cs="宋体"/>
                <w:kern w:val="0"/>
                <w:szCs w:val="21"/>
              </w:rPr>
              <w:t xml:space="preserve">0.05 </w:t>
            </w:r>
          </w:p>
        </w:tc>
        <w:tc>
          <w:tcPr>
            <w:tcW w:w="1275" w:type="dxa"/>
            <w:tcBorders>
              <w:top w:val="nil"/>
              <w:left w:val="nil"/>
              <w:bottom w:val="single" w:color="auto" w:sz="4" w:space="0"/>
              <w:right w:val="single" w:color="auto" w:sz="4" w:space="0"/>
            </w:tcBorders>
            <w:shd w:val="clear" w:color="auto" w:fill="auto"/>
            <w:vAlign w:val="center"/>
          </w:tcPr>
          <w:p w14:paraId="6AE013D9">
            <w:pPr>
              <w:widowControl/>
              <w:jc w:val="right"/>
              <w:rPr>
                <w:rFonts w:ascii="宋体" w:hAnsi="宋体" w:cs="宋体"/>
                <w:kern w:val="0"/>
                <w:szCs w:val="21"/>
              </w:rPr>
            </w:pPr>
            <w:r>
              <w:rPr>
                <w:rFonts w:hint="eastAsia" w:ascii="宋体" w:hAnsi="宋体" w:cs="宋体"/>
                <w:kern w:val="0"/>
                <w:szCs w:val="21"/>
              </w:rPr>
              <w:t xml:space="preserve">1.15 </w:t>
            </w:r>
          </w:p>
        </w:tc>
        <w:tc>
          <w:tcPr>
            <w:tcW w:w="1134" w:type="dxa"/>
            <w:tcBorders>
              <w:top w:val="nil"/>
              <w:left w:val="nil"/>
              <w:bottom w:val="single" w:color="auto" w:sz="4" w:space="0"/>
              <w:right w:val="single" w:color="auto" w:sz="4" w:space="0"/>
            </w:tcBorders>
            <w:shd w:val="clear" w:color="auto" w:fill="auto"/>
            <w:vAlign w:val="center"/>
          </w:tcPr>
          <w:p w14:paraId="190BBEF4">
            <w:pPr>
              <w:widowControl/>
              <w:jc w:val="right"/>
              <w:rPr>
                <w:rFonts w:ascii="宋体" w:hAnsi="宋体" w:cs="宋体"/>
                <w:kern w:val="0"/>
                <w:szCs w:val="21"/>
              </w:rPr>
            </w:pPr>
            <w:r>
              <w:rPr>
                <w:rFonts w:hint="eastAsia" w:ascii="宋体" w:hAnsi="宋体" w:cs="宋体"/>
                <w:kern w:val="0"/>
                <w:szCs w:val="21"/>
              </w:rPr>
              <w:t>　</w:t>
            </w:r>
          </w:p>
        </w:tc>
      </w:tr>
      <w:tr w14:paraId="736AE925">
        <w:tblPrEx>
          <w:tblCellMar>
            <w:top w:w="0" w:type="dxa"/>
            <w:left w:w="28" w:type="dxa"/>
            <w:bottom w:w="0" w:type="dxa"/>
            <w:right w:w="28" w:type="dxa"/>
          </w:tblCellMar>
        </w:tblPrEx>
        <w:trPr>
          <w:trHeight w:val="285" w:hRule="atLeast"/>
          <w:jc w:val="center"/>
        </w:trPr>
        <w:tc>
          <w:tcPr>
            <w:tcW w:w="1984" w:type="dxa"/>
            <w:tcBorders>
              <w:top w:val="nil"/>
              <w:left w:val="single" w:color="auto" w:sz="4" w:space="0"/>
              <w:bottom w:val="single" w:color="auto" w:sz="4" w:space="0"/>
              <w:right w:val="single" w:color="auto" w:sz="4" w:space="0"/>
            </w:tcBorders>
            <w:shd w:val="clear" w:color="auto" w:fill="auto"/>
            <w:vAlign w:val="center"/>
          </w:tcPr>
          <w:p w14:paraId="5C548F0F">
            <w:pPr>
              <w:widowControl/>
              <w:jc w:val="left"/>
              <w:rPr>
                <w:rFonts w:ascii="宋体" w:hAnsi="宋体" w:cs="宋体"/>
                <w:kern w:val="0"/>
                <w:szCs w:val="21"/>
              </w:rPr>
            </w:pPr>
            <w:r>
              <w:rPr>
                <w:rFonts w:hint="eastAsia" w:ascii="宋体" w:hAnsi="宋体" w:cs="宋体"/>
                <w:kern w:val="0"/>
                <w:szCs w:val="21"/>
              </w:rPr>
              <w:t>小计</w:t>
            </w:r>
          </w:p>
        </w:tc>
        <w:tc>
          <w:tcPr>
            <w:tcW w:w="993" w:type="dxa"/>
            <w:tcBorders>
              <w:top w:val="nil"/>
              <w:left w:val="nil"/>
              <w:bottom w:val="single" w:color="auto" w:sz="4" w:space="0"/>
              <w:right w:val="single" w:color="auto" w:sz="4" w:space="0"/>
            </w:tcBorders>
            <w:shd w:val="clear" w:color="auto" w:fill="auto"/>
            <w:vAlign w:val="center"/>
          </w:tcPr>
          <w:p w14:paraId="011743DE">
            <w:pPr>
              <w:widowControl/>
              <w:jc w:val="left"/>
              <w:rPr>
                <w:rFonts w:ascii="宋体" w:hAnsi="宋体" w:cs="宋体"/>
                <w:kern w:val="0"/>
                <w:szCs w:val="21"/>
              </w:rPr>
            </w:pPr>
            <w:r>
              <w:rPr>
                <w:rFonts w:hint="eastAsia" w:ascii="宋体" w:hAnsi="宋体" w:cs="宋体"/>
                <w:kern w:val="0"/>
                <w:szCs w:val="21"/>
              </w:rPr>
              <w:t xml:space="preserve">1,675.54 </w:t>
            </w:r>
          </w:p>
        </w:tc>
        <w:tc>
          <w:tcPr>
            <w:tcW w:w="1134" w:type="dxa"/>
            <w:tcBorders>
              <w:top w:val="nil"/>
              <w:left w:val="nil"/>
              <w:bottom w:val="single" w:color="auto" w:sz="4" w:space="0"/>
              <w:right w:val="single" w:color="auto" w:sz="4" w:space="0"/>
            </w:tcBorders>
            <w:shd w:val="clear" w:color="auto" w:fill="auto"/>
            <w:vAlign w:val="center"/>
          </w:tcPr>
          <w:p w14:paraId="3E31EE31">
            <w:pPr>
              <w:widowControl/>
              <w:jc w:val="left"/>
              <w:rPr>
                <w:rFonts w:ascii="宋体" w:hAnsi="宋体" w:cs="宋体"/>
                <w:kern w:val="0"/>
                <w:szCs w:val="21"/>
              </w:rPr>
            </w:pPr>
            <w:r>
              <w:rPr>
                <w:rFonts w:hint="eastAsia" w:ascii="宋体" w:hAnsi="宋体" w:cs="宋体"/>
                <w:kern w:val="0"/>
                <w:szCs w:val="21"/>
              </w:rPr>
              <w:t xml:space="preserve">    100.00 </w:t>
            </w:r>
          </w:p>
        </w:tc>
        <w:tc>
          <w:tcPr>
            <w:tcW w:w="1134" w:type="dxa"/>
            <w:tcBorders>
              <w:top w:val="nil"/>
              <w:left w:val="nil"/>
              <w:bottom w:val="single" w:color="auto" w:sz="4" w:space="0"/>
              <w:right w:val="single" w:color="auto" w:sz="4" w:space="0"/>
            </w:tcBorders>
            <w:shd w:val="clear" w:color="auto" w:fill="auto"/>
            <w:vAlign w:val="center"/>
          </w:tcPr>
          <w:p w14:paraId="7F874A34">
            <w:pPr>
              <w:widowControl/>
              <w:jc w:val="right"/>
              <w:rPr>
                <w:rFonts w:ascii="宋体" w:hAnsi="宋体" w:cs="宋体"/>
                <w:kern w:val="0"/>
                <w:szCs w:val="21"/>
              </w:rPr>
            </w:pPr>
            <w:r>
              <w:rPr>
                <w:rFonts w:hint="eastAsia" w:ascii="宋体" w:hAnsi="宋体" w:cs="宋体"/>
                <w:kern w:val="0"/>
                <w:szCs w:val="21"/>
              </w:rPr>
              <w:t xml:space="preserve">2,501.53 </w:t>
            </w:r>
          </w:p>
        </w:tc>
        <w:tc>
          <w:tcPr>
            <w:tcW w:w="1093" w:type="dxa"/>
            <w:tcBorders>
              <w:top w:val="nil"/>
              <w:left w:val="nil"/>
              <w:bottom w:val="single" w:color="auto" w:sz="4" w:space="0"/>
              <w:right w:val="single" w:color="auto" w:sz="4" w:space="0"/>
            </w:tcBorders>
            <w:shd w:val="clear" w:color="auto" w:fill="auto"/>
            <w:vAlign w:val="center"/>
          </w:tcPr>
          <w:p w14:paraId="16A192C9">
            <w:pPr>
              <w:widowControl/>
              <w:jc w:val="right"/>
              <w:rPr>
                <w:rFonts w:ascii="宋体" w:hAnsi="宋体" w:cs="宋体"/>
                <w:kern w:val="0"/>
                <w:szCs w:val="21"/>
              </w:rPr>
            </w:pPr>
            <w:r>
              <w:rPr>
                <w:rFonts w:hint="eastAsia" w:ascii="宋体" w:hAnsi="宋体" w:cs="宋体"/>
                <w:kern w:val="0"/>
                <w:szCs w:val="21"/>
              </w:rPr>
              <w:t xml:space="preserve">100.00 </w:t>
            </w:r>
          </w:p>
        </w:tc>
        <w:tc>
          <w:tcPr>
            <w:tcW w:w="1275" w:type="dxa"/>
            <w:tcBorders>
              <w:top w:val="nil"/>
              <w:left w:val="nil"/>
              <w:bottom w:val="single" w:color="auto" w:sz="4" w:space="0"/>
              <w:right w:val="single" w:color="auto" w:sz="4" w:space="0"/>
            </w:tcBorders>
            <w:shd w:val="clear" w:color="auto" w:fill="auto"/>
            <w:vAlign w:val="center"/>
          </w:tcPr>
          <w:p w14:paraId="29B15850">
            <w:pPr>
              <w:widowControl/>
              <w:jc w:val="right"/>
              <w:rPr>
                <w:rFonts w:ascii="宋体" w:hAnsi="宋体" w:cs="宋体"/>
                <w:kern w:val="0"/>
                <w:szCs w:val="21"/>
              </w:rPr>
            </w:pPr>
            <w:r>
              <w:rPr>
                <w:rFonts w:hint="eastAsia" w:ascii="宋体" w:hAnsi="宋体" w:cs="宋体"/>
                <w:kern w:val="0"/>
                <w:szCs w:val="21"/>
              </w:rPr>
              <w:t xml:space="preserve">825.99 </w:t>
            </w:r>
          </w:p>
        </w:tc>
        <w:tc>
          <w:tcPr>
            <w:tcW w:w="1134" w:type="dxa"/>
            <w:tcBorders>
              <w:top w:val="nil"/>
              <w:left w:val="nil"/>
              <w:bottom w:val="single" w:color="auto" w:sz="4" w:space="0"/>
              <w:right w:val="single" w:color="auto" w:sz="4" w:space="0"/>
            </w:tcBorders>
            <w:shd w:val="clear" w:color="auto" w:fill="auto"/>
            <w:vAlign w:val="center"/>
          </w:tcPr>
          <w:p w14:paraId="256CF68B">
            <w:pPr>
              <w:widowControl/>
              <w:jc w:val="right"/>
              <w:rPr>
                <w:rFonts w:ascii="宋体" w:hAnsi="宋体" w:cs="宋体"/>
                <w:kern w:val="0"/>
                <w:szCs w:val="21"/>
              </w:rPr>
            </w:pPr>
            <w:r>
              <w:rPr>
                <w:rFonts w:hint="eastAsia" w:ascii="宋体" w:hAnsi="宋体" w:cs="宋体"/>
                <w:kern w:val="0"/>
                <w:szCs w:val="21"/>
              </w:rPr>
              <w:t xml:space="preserve">49.30 </w:t>
            </w:r>
          </w:p>
        </w:tc>
      </w:tr>
    </w:tbl>
    <w:p w14:paraId="741EE285">
      <w:pPr>
        <w:spacing w:line="360" w:lineRule="auto"/>
        <w:ind w:firstLine="560" w:firstLineChars="200"/>
        <w:rPr>
          <w:sz w:val="28"/>
        </w:rPr>
      </w:pPr>
      <w:r>
        <w:rPr>
          <w:rFonts w:hint="eastAsia"/>
          <w:sz w:val="28"/>
        </w:rPr>
        <w:t>3．项目支出情况</w:t>
      </w:r>
    </w:p>
    <w:p w14:paraId="73350BD7">
      <w:pPr>
        <w:spacing w:line="360" w:lineRule="auto"/>
        <w:ind w:firstLine="560" w:firstLineChars="200"/>
        <w:rPr>
          <w:sz w:val="28"/>
        </w:rPr>
      </w:pPr>
      <w:r>
        <w:rPr>
          <w:rFonts w:hint="eastAsia"/>
          <w:sz w:val="28"/>
        </w:rPr>
        <w:t>2017年年初项目支出总计2,297.46万元，其中财政拨款1,794.46万元，往来户资金支出503万元，2017年度项目支出总计为2,228.43万元，其中财政拨款1,950.70万元，往来户资金支出277.73万元。其中：</w:t>
      </w:r>
    </w:p>
    <w:p w14:paraId="2E4C6747">
      <w:pPr>
        <w:pStyle w:val="9"/>
        <w:numPr>
          <w:ilvl w:val="0"/>
          <w:numId w:val="1"/>
        </w:numPr>
        <w:spacing w:line="360" w:lineRule="auto"/>
        <w:ind w:left="0" w:firstLine="560"/>
        <w:rPr>
          <w:sz w:val="28"/>
        </w:rPr>
      </w:pPr>
      <w:r>
        <w:rPr>
          <w:rFonts w:hint="eastAsia"/>
          <w:sz w:val="28"/>
        </w:rPr>
        <w:t>社会保障和就业事务经费年初预算为857.98万元，占项目总预算的37.34%，其中财政拨款673.98万元，往来资金184万元。2017年度实际支出为789.47万元，占项目决算支出总额的35.43%，比预算节约68.51万元，占预算金额的7.98%。主要往来资金户支出最低生活保障、退役士兵安置经费等社会保障支出比预算低。</w:t>
      </w:r>
    </w:p>
    <w:p w14:paraId="0B5A2C3A">
      <w:pPr>
        <w:pStyle w:val="9"/>
        <w:numPr>
          <w:ilvl w:val="0"/>
          <w:numId w:val="1"/>
        </w:numPr>
        <w:spacing w:line="360" w:lineRule="auto"/>
        <w:ind w:left="0" w:firstLine="560"/>
        <w:rPr>
          <w:sz w:val="28"/>
        </w:rPr>
      </w:pPr>
      <w:r>
        <w:rPr>
          <w:rFonts w:hint="eastAsia"/>
          <w:sz w:val="28"/>
        </w:rPr>
        <w:t>计生事业经费预算金额为147.04万元，占项目预算总额的6.40%，2017年度实际支出为147.47万元，占项目决算总额的6.62.58%，超出预算金额0.43万元，决算金额与预算金额基本一致。</w:t>
      </w:r>
    </w:p>
    <w:p w14:paraId="26A14A3C">
      <w:pPr>
        <w:pStyle w:val="9"/>
        <w:numPr>
          <w:ilvl w:val="0"/>
          <w:numId w:val="1"/>
        </w:numPr>
        <w:spacing w:line="360" w:lineRule="auto"/>
        <w:ind w:left="0" w:firstLine="560"/>
        <w:rPr>
          <w:sz w:val="28"/>
        </w:rPr>
      </w:pPr>
      <w:r>
        <w:rPr>
          <w:rFonts w:hint="eastAsia"/>
          <w:sz w:val="28"/>
        </w:rPr>
        <w:t>安全生产及维稳经费预算为125万元，占项目预算总额的5.44%，2017年度实际支出与预算一致，支出占项目决算总额的5.61%。</w:t>
      </w:r>
    </w:p>
    <w:p w14:paraId="46B486BE">
      <w:pPr>
        <w:pStyle w:val="9"/>
        <w:numPr>
          <w:ilvl w:val="0"/>
          <w:numId w:val="1"/>
        </w:numPr>
        <w:spacing w:line="360" w:lineRule="auto"/>
        <w:ind w:left="0" w:firstLine="560"/>
        <w:rPr>
          <w:sz w:val="28"/>
        </w:rPr>
      </w:pPr>
      <w:r>
        <w:rPr>
          <w:rFonts w:hint="eastAsia"/>
          <w:sz w:val="28"/>
        </w:rPr>
        <w:t>民兵训练及征兵经费预算为8万元，占项目预算总额的0.35%，2017年度实际支出5.23万，占项目决算总额的0.23%，比预算节约2.77万元，主要是民兵训练专项经费节约了2万元。</w:t>
      </w:r>
    </w:p>
    <w:p w14:paraId="2B9E0783">
      <w:pPr>
        <w:pStyle w:val="9"/>
        <w:numPr>
          <w:ilvl w:val="0"/>
          <w:numId w:val="1"/>
        </w:numPr>
        <w:spacing w:line="360" w:lineRule="auto"/>
        <w:ind w:left="0" w:firstLine="560"/>
        <w:rPr>
          <w:sz w:val="28"/>
        </w:rPr>
      </w:pPr>
      <w:r>
        <w:rPr>
          <w:rFonts w:hint="eastAsia"/>
          <w:sz w:val="28"/>
        </w:rPr>
        <w:t>农林水专项经费预算为91万元，为项目预算总额的3.96%，实际支出为113.28万元，占项目决算总额的5.08%，超出预算22.28万元，主要为森林生态效益补偿的支出20.25万。</w:t>
      </w:r>
    </w:p>
    <w:p w14:paraId="73C5A272">
      <w:pPr>
        <w:pStyle w:val="9"/>
        <w:numPr>
          <w:ilvl w:val="0"/>
          <w:numId w:val="1"/>
        </w:numPr>
        <w:spacing w:line="360" w:lineRule="auto"/>
        <w:ind w:left="0" w:firstLine="560"/>
        <w:rPr>
          <w:sz w:val="28"/>
        </w:rPr>
      </w:pPr>
      <w:r>
        <w:rPr>
          <w:rFonts w:hint="eastAsia"/>
          <w:sz w:val="28"/>
        </w:rPr>
        <w:t>农民社区管理补助经费预算金额为80.00万元，占项目预算总额的3.48%，2017年度实际支出与预算金额一致，占项目决算总额的3.59%。</w:t>
      </w:r>
    </w:p>
    <w:p w14:paraId="7586AA56">
      <w:pPr>
        <w:pStyle w:val="9"/>
        <w:numPr>
          <w:ilvl w:val="0"/>
          <w:numId w:val="1"/>
        </w:numPr>
        <w:spacing w:line="360" w:lineRule="auto"/>
        <w:ind w:left="0" w:firstLine="560"/>
        <w:rPr>
          <w:sz w:val="28"/>
        </w:rPr>
      </w:pPr>
      <w:r>
        <w:rPr>
          <w:rFonts w:hint="eastAsia"/>
          <w:sz w:val="28"/>
        </w:rPr>
        <w:t>村级正常运转经费预算金额为13.36万元，占项目预算总额的0.58%，2017年度实际支出与预算金额一致，占项目决算总额的0.60%。</w:t>
      </w:r>
    </w:p>
    <w:p w14:paraId="29A0317D">
      <w:pPr>
        <w:pStyle w:val="9"/>
        <w:numPr>
          <w:ilvl w:val="0"/>
          <w:numId w:val="1"/>
        </w:numPr>
        <w:spacing w:line="360" w:lineRule="auto"/>
        <w:ind w:left="0" w:firstLine="560"/>
        <w:rPr>
          <w:sz w:val="28"/>
        </w:rPr>
      </w:pPr>
      <w:r>
        <w:rPr>
          <w:rFonts w:hint="eastAsia"/>
          <w:sz w:val="28"/>
        </w:rPr>
        <w:t>以钱养民经费预算金额为193万元，占项目预算总额的8.40%，其中财政拨款149万元，往来资金44万元。2017年度实际支出192.83万元，占项目决算总额的8.65%，比预算节约0.17元，与预算金额基本一致。</w:t>
      </w:r>
    </w:p>
    <w:p w14:paraId="7854A591">
      <w:pPr>
        <w:pStyle w:val="9"/>
        <w:numPr>
          <w:ilvl w:val="0"/>
          <w:numId w:val="1"/>
        </w:numPr>
        <w:spacing w:line="360" w:lineRule="auto"/>
        <w:ind w:left="0" w:firstLine="560"/>
        <w:rPr>
          <w:sz w:val="28"/>
        </w:rPr>
      </w:pPr>
      <w:r>
        <w:rPr>
          <w:rFonts w:hint="eastAsia"/>
          <w:sz w:val="28"/>
        </w:rPr>
        <w:t>基层组织经费预算金额为106万元，占项目预算总额的4.61万元，2017年度实际支出为76.88万元，占项目决算总额的3.45%，比预算节约29.12万元。</w:t>
      </w:r>
      <w:r>
        <w:rPr>
          <w:rFonts w:hint="eastAsia" w:ascii="宋体" w:hAnsi="宋体" w:cs="宋体"/>
          <w:sz w:val="28"/>
          <w:szCs w:val="28"/>
        </w:rPr>
        <w:t>差异主要为基层财政工作经费，实际只占预算的26.80%，主要原因为预算编制的不科学性、过高的估计了基层财政工作经费的相关明细费用。</w:t>
      </w:r>
    </w:p>
    <w:p w14:paraId="03A018E3">
      <w:pPr>
        <w:pStyle w:val="9"/>
        <w:numPr>
          <w:ilvl w:val="0"/>
          <w:numId w:val="1"/>
        </w:numPr>
        <w:spacing w:line="360" w:lineRule="auto"/>
        <w:ind w:left="0" w:firstLine="560"/>
        <w:rPr>
          <w:rFonts w:ascii="宋体" w:hAnsi="宋体" w:cs="宋体"/>
          <w:sz w:val="28"/>
          <w:szCs w:val="28"/>
        </w:rPr>
      </w:pPr>
      <w:r>
        <w:rPr>
          <w:rFonts w:hint="eastAsia" w:ascii="宋体" w:hAnsi="宋体" w:cs="宋体"/>
          <w:sz w:val="28"/>
          <w:szCs w:val="28"/>
        </w:rPr>
        <w:t>其他经遇预算金额为594.10元，占项目预算总额的27.03%，其中财政拨款374.10万元，往来资金支出220万元（为城市维护建设经费），2017年实际支出为511.07万元，占项目决算总额的22.93%，比预算节约为83.03万元，主要为城市维护建设经费实际支出仅为134.70万元，比预算节约85.30万元。</w:t>
      </w:r>
    </w:p>
    <w:p w14:paraId="5A2E061A">
      <w:pPr>
        <w:pStyle w:val="9"/>
        <w:numPr>
          <w:ilvl w:val="0"/>
          <w:numId w:val="1"/>
        </w:numPr>
        <w:spacing w:line="360" w:lineRule="auto"/>
        <w:ind w:left="0" w:firstLine="560"/>
        <w:rPr>
          <w:rFonts w:ascii="宋体" w:hAnsi="宋体" w:cs="宋体"/>
          <w:sz w:val="28"/>
          <w:szCs w:val="28"/>
        </w:rPr>
      </w:pPr>
      <w:r>
        <w:rPr>
          <w:rFonts w:hint="eastAsia" w:ascii="宋体" w:hAnsi="宋体" w:cs="宋体"/>
          <w:sz w:val="28"/>
          <w:szCs w:val="28"/>
        </w:rPr>
        <w:t>机动经费的预算为26.98万元，占项目预算总额的1.17%，2017年度实际支出为26.77万元，占项目决算总额的1.20%，比预算节约0.21万元，与预算基本一致。</w:t>
      </w:r>
    </w:p>
    <w:p w14:paraId="6501C6FC">
      <w:pPr>
        <w:pStyle w:val="9"/>
        <w:numPr>
          <w:ilvl w:val="0"/>
          <w:numId w:val="1"/>
        </w:numPr>
        <w:spacing w:line="360" w:lineRule="auto"/>
        <w:ind w:left="0" w:firstLine="560"/>
        <w:rPr>
          <w:rFonts w:ascii="宋体" w:hAnsi="宋体" w:cs="宋体"/>
          <w:sz w:val="28"/>
          <w:szCs w:val="28"/>
        </w:rPr>
      </w:pPr>
      <w:r>
        <w:rPr>
          <w:rFonts w:hint="eastAsia" w:ascii="宋体" w:hAnsi="宋体" w:cs="宋体"/>
          <w:sz w:val="28"/>
          <w:szCs w:val="28"/>
        </w:rPr>
        <w:t>精神文明建设工作经费预算金额为55万元，从往来资金户中支出，占项目预算总额的2.39%，2017年度实际支出为28.36万元，占项目决算总额的1.27%，占预算金额的51.56%。</w:t>
      </w:r>
    </w:p>
    <w:p w14:paraId="1C1A0E5C">
      <w:pPr>
        <w:pStyle w:val="9"/>
        <w:numPr>
          <w:ilvl w:val="0"/>
          <w:numId w:val="1"/>
        </w:numPr>
        <w:spacing w:line="360" w:lineRule="auto"/>
        <w:ind w:left="0" w:firstLine="560"/>
        <w:rPr>
          <w:sz w:val="28"/>
        </w:rPr>
      </w:pPr>
      <w:r>
        <w:rPr>
          <w:rFonts w:hint="eastAsia" w:ascii="宋体" w:hAnsi="宋体" w:cs="宋体"/>
          <w:sz w:val="28"/>
          <w:szCs w:val="28"/>
        </w:rPr>
        <w:t>部分工作经费，如“卫生城市”复审工作经费、［2017］41号安全生产工作经费等2017年度从往来资金户支出        88.71万元，年初未做预算，支出占项目决算总额的3.98%。</w:t>
      </w:r>
    </w:p>
    <w:p w14:paraId="5640C3E9">
      <w:pPr>
        <w:pStyle w:val="9"/>
        <w:spacing w:line="360" w:lineRule="auto"/>
        <w:ind w:left="560" w:firstLine="0" w:firstLineChars="0"/>
        <w:rPr>
          <w:sz w:val="28"/>
        </w:rPr>
      </w:pPr>
      <w:r>
        <w:rPr>
          <w:rFonts w:hint="eastAsia" w:ascii="宋体" w:hAnsi="宋体" w:cs="宋体"/>
          <w:sz w:val="28"/>
          <w:szCs w:val="28"/>
        </w:rPr>
        <w:t>具体情况见下表：</w:t>
      </w:r>
    </w:p>
    <w:tbl>
      <w:tblPr>
        <w:tblStyle w:val="5"/>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9"/>
        <w:gridCol w:w="993"/>
        <w:gridCol w:w="850"/>
        <w:gridCol w:w="1038"/>
        <w:gridCol w:w="851"/>
        <w:gridCol w:w="1321"/>
        <w:gridCol w:w="1184"/>
      </w:tblGrid>
      <w:tr w14:paraId="04DA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tblHeader/>
          <w:jc w:val="center"/>
        </w:trPr>
        <w:tc>
          <w:tcPr>
            <w:tcW w:w="1829" w:type="dxa"/>
            <w:vMerge w:val="restart"/>
            <w:shd w:val="clear" w:color="auto" w:fill="auto"/>
            <w:vAlign w:val="center"/>
          </w:tcPr>
          <w:p w14:paraId="50651018">
            <w:pPr>
              <w:widowControl/>
              <w:jc w:val="center"/>
              <w:rPr>
                <w:rFonts w:ascii="宋体" w:hAnsi="宋体" w:cs="宋体"/>
                <w:b/>
                <w:kern w:val="0"/>
                <w:szCs w:val="21"/>
              </w:rPr>
            </w:pPr>
            <w:r>
              <w:rPr>
                <w:rFonts w:hint="eastAsia" w:ascii="宋体" w:hAnsi="宋体" w:cs="宋体"/>
                <w:b/>
                <w:kern w:val="0"/>
                <w:szCs w:val="21"/>
              </w:rPr>
              <w:t>项目</w:t>
            </w:r>
          </w:p>
        </w:tc>
        <w:tc>
          <w:tcPr>
            <w:tcW w:w="1843" w:type="dxa"/>
            <w:gridSpan w:val="2"/>
            <w:shd w:val="clear" w:color="auto" w:fill="auto"/>
            <w:vAlign w:val="center"/>
          </w:tcPr>
          <w:p w14:paraId="1C659F59">
            <w:pPr>
              <w:widowControl/>
              <w:jc w:val="center"/>
              <w:rPr>
                <w:rFonts w:ascii="宋体" w:hAnsi="宋体" w:cs="宋体"/>
                <w:b/>
                <w:kern w:val="0"/>
                <w:szCs w:val="21"/>
              </w:rPr>
            </w:pPr>
            <w:r>
              <w:rPr>
                <w:rFonts w:hint="eastAsia" w:ascii="宋体" w:hAnsi="宋体" w:cs="宋体"/>
                <w:b/>
                <w:kern w:val="0"/>
                <w:szCs w:val="21"/>
              </w:rPr>
              <w:t>预算</w:t>
            </w:r>
          </w:p>
        </w:tc>
        <w:tc>
          <w:tcPr>
            <w:tcW w:w="1889" w:type="dxa"/>
            <w:gridSpan w:val="2"/>
            <w:shd w:val="clear" w:color="auto" w:fill="auto"/>
            <w:vAlign w:val="center"/>
          </w:tcPr>
          <w:p w14:paraId="4E18DB43">
            <w:pPr>
              <w:widowControl/>
              <w:jc w:val="center"/>
              <w:rPr>
                <w:rFonts w:ascii="宋体" w:hAnsi="宋体" w:cs="宋体"/>
                <w:b/>
                <w:kern w:val="0"/>
                <w:szCs w:val="21"/>
              </w:rPr>
            </w:pPr>
            <w:r>
              <w:rPr>
                <w:rFonts w:hint="eastAsia" w:ascii="宋体" w:hAnsi="宋体" w:cs="宋体"/>
                <w:b/>
                <w:kern w:val="0"/>
                <w:szCs w:val="21"/>
              </w:rPr>
              <w:t>决算</w:t>
            </w:r>
          </w:p>
        </w:tc>
        <w:tc>
          <w:tcPr>
            <w:tcW w:w="2505" w:type="dxa"/>
            <w:gridSpan w:val="2"/>
          </w:tcPr>
          <w:p w14:paraId="4A74F52F">
            <w:pPr>
              <w:widowControl/>
              <w:jc w:val="center"/>
              <w:rPr>
                <w:rFonts w:ascii="宋体" w:hAnsi="宋体" w:cs="宋体"/>
                <w:b/>
                <w:kern w:val="0"/>
                <w:szCs w:val="21"/>
              </w:rPr>
            </w:pPr>
            <w:r>
              <w:rPr>
                <w:rFonts w:hint="eastAsia" w:ascii="宋体" w:hAnsi="宋体" w:cs="宋体"/>
                <w:b/>
                <w:kern w:val="0"/>
                <w:szCs w:val="21"/>
              </w:rPr>
              <w:t>与预算对比</w:t>
            </w:r>
          </w:p>
        </w:tc>
      </w:tr>
      <w:tr w14:paraId="1233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4" w:hRule="atLeast"/>
          <w:tblHeader/>
          <w:jc w:val="center"/>
        </w:trPr>
        <w:tc>
          <w:tcPr>
            <w:tcW w:w="1829" w:type="dxa"/>
            <w:vMerge w:val="continue"/>
            <w:vAlign w:val="center"/>
          </w:tcPr>
          <w:p w14:paraId="007808AD">
            <w:pPr>
              <w:widowControl/>
              <w:jc w:val="left"/>
              <w:rPr>
                <w:rFonts w:ascii="宋体" w:hAnsi="宋体" w:cs="宋体"/>
                <w:b/>
                <w:kern w:val="0"/>
                <w:szCs w:val="21"/>
              </w:rPr>
            </w:pPr>
          </w:p>
        </w:tc>
        <w:tc>
          <w:tcPr>
            <w:tcW w:w="993" w:type="dxa"/>
            <w:shd w:val="clear" w:color="auto" w:fill="auto"/>
            <w:vAlign w:val="center"/>
          </w:tcPr>
          <w:p w14:paraId="56BDA06E">
            <w:pPr>
              <w:widowControl/>
              <w:jc w:val="center"/>
              <w:rPr>
                <w:rFonts w:ascii="宋体" w:hAnsi="宋体" w:cs="宋体"/>
                <w:b/>
                <w:kern w:val="0"/>
                <w:szCs w:val="21"/>
              </w:rPr>
            </w:pPr>
            <w:r>
              <w:rPr>
                <w:rFonts w:hint="eastAsia" w:ascii="宋体" w:hAnsi="宋体" w:cs="宋体"/>
                <w:b/>
                <w:kern w:val="0"/>
                <w:szCs w:val="21"/>
              </w:rPr>
              <w:t>金额</w:t>
            </w:r>
          </w:p>
          <w:p w14:paraId="3AEEF4A4">
            <w:pPr>
              <w:widowControl/>
              <w:jc w:val="center"/>
              <w:rPr>
                <w:rFonts w:ascii="宋体" w:hAnsi="宋体" w:cs="宋体"/>
                <w:b/>
                <w:kern w:val="0"/>
                <w:szCs w:val="21"/>
              </w:rPr>
            </w:pPr>
            <w:r>
              <w:rPr>
                <w:rFonts w:hint="eastAsia" w:ascii="宋体" w:hAnsi="宋体" w:cs="宋体"/>
                <w:b/>
                <w:kern w:val="0"/>
                <w:szCs w:val="21"/>
              </w:rPr>
              <w:t>（万元）</w:t>
            </w:r>
          </w:p>
        </w:tc>
        <w:tc>
          <w:tcPr>
            <w:tcW w:w="850" w:type="dxa"/>
            <w:shd w:val="clear" w:color="auto" w:fill="auto"/>
            <w:vAlign w:val="center"/>
          </w:tcPr>
          <w:p w14:paraId="064878E6">
            <w:pPr>
              <w:widowControl/>
              <w:jc w:val="center"/>
              <w:rPr>
                <w:rFonts w:ascii="宋体" w:hAnsi="宋体" w:cs="宋体"/>
                <w:b/>
                <w:kern w:val="0"/>
                <w:szCs w:val="21"/>
              </w:rPr>
            </w:pPr>
            <w:r>
              <w:rPr>
                <w:rFonts w:hint="eastAsia" w:ascii="宋体" w:hAnsi="宋体" w:cs="宋体"/>
                <w:b/>
                <w:kern w:val="0"/>
                <w:szCs w:val="21"/>
              </w:rPr>
              <w:t>结构比</w:t>
            </w:r>
          </w:p>
          <w:p w14:paraId="2C9DE717">
            <w:pPr>
              <w:widowControl/>
              <w:jc w:val="center"/>
              <w:rPr>
                <w:rFonts w:ascii="宋体" w:hAnsi="宋体" w:cs="宋体"/>
                <w:b/>
                <w:kern w:val="0"/>
                <w:szCs w:val="21"/>
              </w:rPr>
            </w:pPr>
            <w:r>
              <w:rPr>
                <w:rFonts w:hint="eastAsia" w:ascii="宋体" w:hAnsi="宋体" w:cs="宋体"/>
                <w:b/>
                <w:kern w:val="0"/>
                <w:szCs w:val="21"/>
              </w:rPr>
              <w:t>（%）</w:t>
            </w:r>
          </w:p>
        </w:tc>
        <w:tc>
          <w:tcPr>
            <w:tcW w:w="1038" w:type="dxa"/>
            <w:shd w:val="clear" w:color="auto" w:fill="auto"/>
            <w:vAlign w:val="center"/>
          </w:tcPr>
          <w:p w14:paraId="1FE31398">
            <w:pPr>
              <w:widowControl/>
              <w:jc w:val="center"/>
              <w:rPr>
                <w:rFonts w:ascii="宋体" w:hAnsi="宋体" w:cs="宋体"/>
                <w:b/>
                <w:kern w:val="0"/>
                <w:szCs w:val="21"/>
              </w:rPr>
            </w:pPr>
            <w:r>
              <w:rPr>
                <w:rFonts w:hint="eastAsia" w:ascii="宋体" w:hAnsi="宋体" w:cs="宋体"/>
                <w:b/>
                <w:kern w:val="0"/>
                <w:szCs w:val="21"/>
              </w:rPr>
              <w:t>金额</w:t>
            </w:r>
          </w:p>
          <w:p w14:paraId="7861A23F">
            <w:pPr>
              <w:widowControl/>
              <w:jc w:val="center"/>
              <w:rPr>
                <w:rFonts w:ascii="宋体" w:hAnsi="宋体" w:cs="宋体"/>
                <w:b/>
                <w:kern w:val="0"/>
                <w:szCs w:val="21"/>
              </w:rPr>
            </w:pPr>
            <w:r>
              <w:rPr>
                <w:rFonts w:hint="eastAsia" w:ascii="宋体" w:hAnsi="宋体" w:cs="宋体"/>
                <w:b/>
                <w:kern w:val="0"/>
                <w:szCs w:val="21"/>
              </w:rPr>
              <w:t>（万元）</w:t>
            </w:r>
          </w:p>
        </w:tc>
        <w:tc>
          <w:tcPr>
            <w:tcW w:w="851" w:type="dxa"/>
            <w:shd w:val="clear" w:color="auto" w:fill="auto"/>
            <w:vAlign w:val="center"/>
          </w:tcPr>
          <w:p w14:paraId="311E2961">
            <w:pPr>
              <w:widowControl/>
              <w:jc w:val="center"/>
              <w:rPr>
                <w:rFonts w:ascii="宋体" w:hAnsi="宋体" w:cs="宋体"/>
                <w:b/>
                <w:kern w:val="0"/>
                <w:szCs w:val="21"/>
              </w:rPr>
            </w:pPr>
            <w:r>
              <w:rPr>
                <w:rFonts w:hint="eastAsia" w:ascii="宋体" w:hAnsi="宋体" w:cs="宋体"/>
                <w:b/>
                <w:kern w:val="0"/>
                <w:szCs w:val="21"/>
              </w:rPr>
              <w:t>结构比</w:t>
            </w:r>
          </w:p>
          <w:p w14:paraId="0F89F9DE">
            <w:pPr>
              <w:widowControl/>
              <w:jc w:val="center"/>
              <w:rPr>
                <w:rFonts w:ascii="宋体" w:hAnsi="宋体" w:cs="宋体"/>
                <w:b/>
                <w:kern w:val="0"/>
                <w:szCs w:val="21"/>
              </w:rPr>
            </w:pPr>
            <w:r>
              <w:rPr>
                <w:rFonts w:hint="eastAsia" w:ascii="宋体" w:hAnsi="宋体" w:cs="宋体"/>
                <w:b/>
                <w:kern w:val="0"/>
                <w:szCs w:val="21"/>
              </w:rPr>
              <w:t>（%）</w:t>
            </w:r>
          </w:p>
        </w:tc>
        <w:tc>
          <w:tcPr>
            <w:tcW w:w="1321" w:type="dxa"/>
            <w:shd w:val="clear" w:color="auto" w:fill="auto"/>
            <w:vAlign w:val="center"/>
          </w:tcPr>
          <w:p w14:paraId="2C7A5B0B">
            <w:pPr>
              <w:jc w:val="center"/>
              <w:rPr>
                <w:rFonts w:ascii="宋体" w:hAnsi="宋体" w:cs="宋体"/>
                <w:b/>
                <w:kern w:val="0"/>
                <w:szCs w:val="21"/>
              </w:rPr>
            </w:pPr>
            <w:r>
              <w:rPr>
                <w:rFonts w:hint="eastAsia" w:ascii="宋体" w:hAnsi="宋体" w:cs="宋体"/>
                <w:b/>
                <w:kern w:val="0"/>
                <w:szCs w:val="21"/>
              </w:rPr>
              <w:t>超出（或节约）金额（万元）</w:t>
            </w:r>
          </w:p>
        </w:tc>
        <w:tc>
          <w:tcPr>
            <w:tcW w:w="1184" w:type="dxa"/>
            <w:shd w:val="clear" w:color="auto" w:fill="auto"/>
            <w:vAlign w:val="center"/>
          </w:tcPr>
          <w:p w14:paraId="52D27F23">
            <w:pPr>
              <w:jc w:val="center"/>
              <w:rPr>
                <w:rFonts w:ascii="宋体" w:hAnsi="宋体" w:cs="宋体"/>
                <w:b/>
                <w:kern w:val="0"/>
                <w:szCs w:val="21"/>
              </w:rPr>
            </w:pPr>
            <w:r>
              <w:rPr>
                <w:rFonts w:hint="eastAsia" w:ascii="宋体" w:hAnsi="宋体" w:cs="宋体"/>
                <w:b/>
                <w:kern w:val="0"/>
                <w:szCs w:val="21"/>
              </w:rPr>
              <w:t>超出（或节约）比（%）</w:t>
            </w:r>
          </w:p>
        </w:tc>
      </w:tr>
      <w:tr w14:paraId="241D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31A36752">
            <w:pPr>
              <w:widowControl/>
              <w:jc w:val="left"/>
              <w:rPr>
                <w:rFonts w:ascii="宋体" w:hAnsi="宋体" w:cs="宋体"/>
                <w:kern w:val="0"/>
                <w:szCs w:val="21"/>
              </w:rPr>
            </w:pPr>
            <w:r>
              <w:rPr>
                <w:rFonts w:hint="eastAsia" w:ascii="宋体" w:hAnsi="宋体" w:cs="宋体"/>
                <w:kern w:val="0"/>
                <w:szCs w:val="21"/>
              </w:rPr>
              <w:t>社会保障和就业事务经费</w:t>
            </w:r>
          </w:p>
        </w:tc>
        <w:tc>
          <w:tcPr>
            <w:tcW w:w="993" w:type="dxa"/>
            <w:shd w:val="clear" w:color="auto" w:fill="auto"/>
            <w:vAlign w:val="center"/>
          </w:tcPr>
          <w:p w14:paraId="4352DE48">
            <w:pPr>
              <w:widowControl/>
              <w:jc w:val="right"/>
              <w:rPr>
                <w:rFonts w:ascii="宋体" w:hAnsi="宋体" w:cs="宋体"/>
                <w:kern w:val="0"/>
                <w:szCs w:val="21"/>
              </w:rPr>
            </w:pPr>
            <w:r>
              <w:rPr>
                <w:rFonts w:hint="eastAsia" w:ascii="宋体" w:hAnsi="宋体" w:cs="宋体"/>
                <w:kern w:val="0"/>
                <w:szCs w:val="21"/>
              </w:rPr>
              <w:t xml:space="preserve">857.98 </w:t>
            </w:r>
          </w:p>
        </w:tc>
        <w:tc>
          <w:tcPr>
            <w:tcW w:w="850" w:type="dxa"/>
            <w:shd w:val="clear" w:color="auto" w:fill="auto"/>
            <w:vAlign w:val="center"/>
          </w:tcPr>
          <w:p w14:paraId="7C3A515E">
            <w:pPr>
              <w:widowControl/>
              <w:jc w:val="right"/>
              <w:rPr>
                <w:rFonts w:ascii="宋体" w:hAnsi="宋体" w:cs="宋体"/>
                <w:kern w:val="0"/>
                <w:szCs w:val="21"/>
              </w:rPr>
            </w:pPr>
            <w:r>
              <w:rPr>
                <w:rFonts w:hint="eastAsia" w:ascii="宋体" w:hAnsi="宋体" w:cs="宋体"/>
                <w:kern w:val="0"/>
                <w:szCs w:val="21"/>
              </w:rPr>
              <w:t xml:space="preserve">37.34 </w:t>
            </w:r>
          </w:p>
        </w:tc>
        <w:tc>
          <w:tcPr>
            <w:tcW w:w="1038" w:type="dxa"/>
            <w:shd w:val="clear" w:color="auto" w:fill="auto"/>
            <w:vAlign w:val="center"/>
          </w:tcPr>
          <w:p w14:paraId="494BD3F8">
            <w:pPr>
              <w:widowControl/>
              <w:jc w:val="right"/>
              <w:rPr>
                <w:rFonts w:ascii="宋体" w:hAnsi="宋体" w:cs="宋体"/>
                <w:kern w:val="0"/>
                <w:szCs w:val="21"/>
              </w:rPr>
            </w:pPr>
            <w:r>
              <w:rPr>
                <w:rFonts w:hint="eastAsia" w:ascii="宋体" w:hAnsi="宋体" w:cs="宋体"/>
                <w:kern w:val="0"/>
                <w:szCs w:val="21"/>
              </w:rPr>
              <w:t xml:space="preserve">789.47 </w:t>
            </w:r>
          </w:p>
        </w:tc>
        <w:tc>
          <w:tcPr>
            <w:tcW w:w="851" w:type="dxa"/>
            <w:shd w:val="clear" w:color="auto" w:fill="auto"/>
            <w:vAlign w:val="center"/>
          </w:tcPr>
          <w:p w14:paraId="6BF44690">
            <w:pPr>
              <w:widowControl/>
              <w:jc w:val="right"/>
              <w:rPr>
                <w:rFonts w:ascii="宋体" w:hAnsi="宋体" w:cs="宋体"/>
                <w:kern w:val="0"/>
                <w:szCs w:val="21"/>
              </w:rPr>
            </w:pPr>
            <w:r>
              <w:rPr>
                <w:rFonts w:hint="eastAsia" w:ascii="宋体" w:hAnsi="宋体" w:cs="宋体"/>
                <w:kern w:val="0"/>
                <w:szCs w:val="21"/>
              </w:rPr>
              <w:t xml:space="preserve">35.43 </w:t>
            </w:r>
          </w:p>
        </w:tc>
        <w:tc>
          <w:tcPr>
            <w:tcW w:w="1321" w:type="dxa"/>
            <w:shd w:val="clear" w:color="auto" w:fill="auto"/>
            <w:vAlign w:val="center"/>
          </w:tcPr>
          <w:p w14:paraId="363017BC">
            <w:pPr>
              <w:widowControl/>
              <w:jc w:val="right"/>
              <w:rPr>
                <w:rFonts w:ascii="宋体" w:hAnsi="宋体" w:cs="宋体"/>
                <w:kern w:val="0"/>
                <w:szCs w:val="21"/>
              </w:rPr>
            </w:pPr>
            <w:r>
              <w:rPr>
                <w:rFonts w:hint="eastAsia" w:ascii="宋体" w:hAnsi="宋体" w:cs="宋体"/>
                <w:kern w:val="0"/>
                <w:szCs w:val="21"/>
              </w:rPr>
              <w:t xml:space="preserve">-68.51 </w:t>
            </w:r>
          </w:p>
        </w:tc>
        <w:tc>
          <w:tcPr>
            <w:tcW w:w="1184" w:type="dxa"/>
            <w:vAlign w:val="center"/>
          </w:tcPr>
          <w:p w14:paraId="2035E555">
            <w:pPr>
              <w:widowControl/>
              <w:jc w:val="right"/>
              <w:rPr>
                <w:rFonts w:ascii="宋体" w:hAnsi="宋体" w:cs="宋体"/>
                <w:kern w:val="0"/>
                <w:szCs w:val="21"/>
              </w:rPr>
            </w:pPr>
            <w:r>
              <w:rPr>
                <w:rFonts w:hint="eastAsia" w:ascii="宋体" w:hAnsi="宋体" w:cs="宋体"/>
                <w:kern w:val="0"/>
                <w:szCs w:val="21"/>
              </w:rPr>
              <w:t xml:space="preserve">-7.98 </w:t>
            </w:r>
          </w:p>
        </w:tc>
      </w:tr>
      <w:tr w14:paraId="6FC0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25E9B12A">
            <w:pPr>
              <w:widowControl/>
              <w:jc w:val="left"/>
              <w:rPr>
                <w:rFonts w:ascii="宋体" w:hAnsi="宋体" w:cs="宋体"/>
                <w:kern w:val="0"/>
                <w:szCs w:val="21"/>
              </w:rPr>
            </w:pPr>
            <w:r>
              <w:rPr>
                <w:rFonts w:hint="eastAsia" w:ascii="宋体" w:hAnsi="宋体" w:cs="宋体"/>
                <w:kern w:val="0"/>
                <w:szCs w:val="21"/>
              </w:rPr>
              <w:t>计生事业经费</w:t>
            </w:r>
          </w:p>
        </w:tc>
        <w:tc>
          <w:tcPr>
            <w:tcW w:w="993" w:type="dxa"/>
            <w:shd w:val="clear" w:color="auto" w:fill="auto"/>
            <w:vAlign w:val="center"/>
          </w:tcPr>
          <w:p w14:paraId="275D2AE0">
            <w:pPr>
              <w:widowControl/>
              <w:jc w:val="right"/>
              <w:rPr>
                <w:rFonts w:ascii="宋体" w:hAnsi="宋体" w:cs="宋体"/>
                <w:kern w:val="0"/>
                <w:szCs w:val="21"/>
              </w:rPr>
            </w:pPr>
            <w:r>
              <w:rPr>
                <w:rFonts w:hint="eastAsia" w:ascii="宋体" w:hAnsi="宋体" w:cs="宋体"/>
                <w:kern w:val="0"/>
                <w:szCs w:val="21"/>
              </w:rPr>
              <w:t xml:space="preserve">147.04 </w:t>
            </w:r>
          </w:p>
        </w:tc>
        <w:tc>
          <w:tcPr>
            <w:tcW w:w="850" w:type="dxa"/>
            <w:shd w:val="clear" w:color="auto" w:fill="auto"/>
            <w:vAlign w:val="center"/>
          </w:tcPr>
          <w:p w14:paraId="626C0217">
            <w:pPr>
              <w:widowControl/>
              <w:jc w:val="right"/>
              <w:rPr>
                <w:rFonts w:ascii="宋体" w:hAnsi="宋体" w:cs="宋体"/>
                <w:kern w:val="0"/>
                <w:szCs w:val="21"/>
              </w:rPr>
            </w:pPr>
            <w:r>
              <w:rPr>
                <w:rFonts w:hint="eastAsia" w:ascii="宋体" w:hAnsi="宋体" w:cs="宋体"/>
                <w:kern w:val="0"/>
                <w:szCs w:val="21"/>
              </w:rPr>
              <w:t xml:space="preserve">6.40 </w:t>
            </w:r>
          </w:p>
        </w:tc>
        <w:tc>
          <w:tcPr>
            <w:tcW w:w="1038" w:type="dxa"/>
            <w:shd w:val="clear" w:color="auto" w:fill="auto"/>
            <w:vAlign w:val="center"/>
          </w:tcPr>
          <w:p w14:paraId="5AB2E8E6">
            <w:pPr>
              <w:widowControl/>
              <w:jc w:val="right"/>
              <w:rPr>
                <w:rFonts w:ascii="宋体" w:hAnsi="宋体" w:cs="宋体"/>
                <w:kern w:val="0"/>
                <w:szCs w:val="21"/>
              </w:rPr>
            </w:pPr>
            <w:r>
              <w:rPr>
                <w:rFonts w:hint="eastAsia" w:ascii="宋体" w:hAnsi="宋体" w:cs="宋体"/>
                <w:kern w:val="0"/>
                <w:szCs w:val="21"/>
              </w:rPr>
              <w:t xml:space="preserve">147.47 </w:t>
            </w:r>
          </w:p>
        </w:tc>
        <w:tc>
          <w:tcPr>
            <w:tcW w:w="851" w:type="dxa"/>
            <w:shd w:val="clear" w:color="auto" w:fill="auto"/>
            <w:vAlign w:val="center"/>
          </w:tcPr>
          <w:p w14:paraId="46BF0194">
            <w:pPr>
              <w:widowControl/>
              <w:jc w:val="right"/>
              <w:rPr>
                <w:rFonts w:ascii="宋体" w:hAnsi="宋体" w:cs="宋体"/>
                <w:kern w:val="0"/>
                <w:szCs w:val="21"/>
              </w:rPr>
            </w:pPr>
            <w:r>
              <w:rPr>
                <w:rFonts w:hint="eastAsia" w:ascii="宋体" w:hAnsi="宋体" w:cs="宋体"/>
                <w:kern w:val="0"/>
                <w:szCs w:val="21"/>
              </w:rPr>
              <w:t xml:space="preserve">6.62 </w:t>
            </w:r>
          </w:p>
        </w:tc>
        <w:tc>
          <w:tcPr>
            <w:tcW w:w="1321" w:type="dxa"/>
            <w:shd w:val="clear" w:color="auto" w:fill="auto"/>
            <w:vAlign w:val="center"/>
          </w:tcPr>
          <w:p w14:paraId="6559A286">
            <w:pPr>
              <w:widowControl/>
              <w:jc w:val="right"/>
              <w:rPr>
                <w:rFonts w:ascii="宋体" w:hAnsi="宋体" w:cs="宋体"/>
                <w:kern w:val="0"/>
                <w:szCs w:val="21"/>
              </w:rPr>
            </w:pPr>
            <w:r>
              <w:rPr>
                <w:rFonts w:hint="eastAsia" w:ascii="宋体" w:hAnsi="宋体" w:cs="宋体"/>
                <w:kern w:val="0"/>
                <w:szCs w:val="21"/>
              </w:rPr>
              <w:t xml:space="preserve">      0.43 </w:t>
            </w:r>
          </w:p>
        </w:tc>
        <w:tc>
          <w:tcPr>
            <w:tcW w:w="1184" w:type="dxa"/>
            <w:vAlign w:val="center"/>
          </w:tcPr>
          <w:p w14:paraId="0C98CCA0">
            <w:pPr>
              <w:widowControl/>
              <w:jc w:val="right"/>
              <w:rPr>
                <w:rFonts w:ascii="宋体" w:hAnsi="宋体" w:cs="宋体"/>
                <w:kern w:val="0"/>
                <w:szCs w:val="21"/>
              </w:rPr>
            </w:pPr>
            <w:r>
              <w:rPr>
                <w:rFonts w:hint="eastAsia" w:ascii="宋体" w:hAnsi="宋体" w:cs="宋体"/>
                <w:kern w:val="0"/>
                <w:szCs w:val="21"/>
              </w:rPr>
              <w:t xml:space="preserve">0.29 </w:t>
            </w:r>
          </w:p>
        </w:tc>
      </w:tr>
      <w:tr w14:paraId="3BBD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06394A4B">
            <w:pPr>
              <w:widowControl/>
              <w:jc w:val="left"/>
              <w:rPr>
                <w:rFonts w:ascii="宋体" w:hAnsi="宋体" w:cs="宋体"/>
                <w:kern w:val="0"/>
                <w:szCs w:val="21"/>
              </w:rPr>
            </w:pPr>
            <w:r>
              <w:rPr>
                <w:rFonts w:hint="eastAsia" w:ascii="宋体" w:hAnsi="宋体" w:cs="宋体"/>
                <w:kern w:val="0"/>
                <w:szCs w:val="21"/>
              </w:rPr>
              <w:t>安全生产及维稳经费</w:t>
            </w:r>
          </w:p>
        </w:tc>
        <w:tc>
          <w:tcPr>
            <w:tcW w:w="993" w:type="dxa"/>
            <w:shd w:val="clear" w:color="auto" w:fill="auto"/>
            <w:vAlign w:val="center"/>
          </w:tcPr>
          <w:p w14:paraId="38A56136">
            <w:pPr>
              <w:widowControl/>
              <w:jc w:val="right"/>
              <w:rPr>
                <w:rFonts w:ascii="宋体" w:hAnsi="宋体" w:cs="宋体"/>
                <w:kern w:val="0"/>
                <w:szCs w:val="21"/>
              </w:rPr>
            </w:pPr>
            <w:r>
              <w:rPr>
                <w:rFonts w:hint="eastAsia" w:ascii="宋体" w:hAnsi="宋体" w:cs="宋体"/>
                <w:kern w:val="0"/>
                <w:szCs w:val="21"/>
              </w:rPr>
              <w:t xml:space="preserve">125.00 </w:t>
            </w:r>
          </w:p>
        </w:tc>
        <w:tc>
          <w:tcPr>
            <w:tcW w:w="850" w:type="dxa"/>
            <w:shd w:val="clear" w:color="auto" w:fill="auto"/>
            <w:vAlign w:val="center"/>
          </w:tcPr>
          <w:p w14:paraId="67FF854B">
            <w:pPr>
              <w:widowControl/>
              <w:jc w:val="right"/>
              <w:rPr>
                <w:rFonts w:ascii="宋体" w:hAnsi="宋体" w:cs="宋体"/>
                <w:kern w:val="0"/>
                <w:szCs w:val="21"/>
              </w:rPr>
            </w:pPr>
            <w:r>
              <w:rPr>
                <w:rFonts w:hint="eastAsia" w:ascii="宋体" w:hAnsi="宋体" w:cs="宋体"/>
                <w:kern w:val="0"/>
                <w:szCs w:val="21"/>
              </w:rPr>
              <w:t xml:space="preserve">5.44 </w:t>
            </w:r>
          </w:p>
        </w:tc>
        <w:tc>
          <w:tcPr>
            <w:tcW w:w="1038" w:type="dxa"/>
            <w:shd w:val="clear" w:color="auto" w:fill="auto"/>
            <w:vAlign w:val="center"/>
          </w:tcPr>
          <w:p w14:paraId="26521158">
            <w:pPr>
              <w:widowControl/>
              <w:jc w:val="right"/>
              <w:rPr>
                <w:rFonts w:ascii="宋体" w:hAnsi="宋体" w:cs="宋体"/>
                <w:kern w:val="0"/>
                <w:szCs w:val="21"/>
              </w:rPr>
            </w:pPr>
            <w:r>
              <w:rPr>
                <w:rFonts w:hint="eastAsia" w:ascii="宋体" w:hAnsi="宋体" w:cs="宋体"/>
                <w:kern w:val="0"/>
                <w:szCs w:val="21"/>
              </w:rPr>
              <w:t xml:space="preserve">125.00 </w:t>
            </w:r>
          </w:p>
        </w:tc>
        <w:tc>
          <w:tcPr>
            <w:tcW w:w="851" w:type="dxa"/>
            <w:shd w:val="clear" w:color="auto" w:fill="auto"/>
            <w:vAlign w:val="center"/>
          </w:tcPr>
          <w:p w14:paraId="44DF49DE">
            <w:pPr>
              <w:widowControl/>
              <w:jc w:val="right"/>
              <w:rPr>
                <w:rFonts w:ascii="宋体" w:hAnsi="宋体" w:cs="宋体"/>
                <w:kern w:val="0"/>
                <w:szCs w:val="21"/>
              </w:rPr>
            </w:pPr>
            <w:r>
              <w:rPr>
                <w:rFonts w:hint="eastAsia" w:ascii="宋体" w:hAnsi="宋体" w:cs="宋体"/>
                <w:kern w:val="0"/>
                <w:szCs w:val="21"/>
              </w:rPr>
              <w:t xml:space="preserve">5.61 </w:t>
            </w:r>
          </w:p>
        </w:tc>
        <w:tc>
          <w:tcPr>
            <w:tcW w:w="1321" w:type="dxa"/>
            <w:shd w:val="clear" w:color="auto" w:fill="auto"/>
            <w:vAlign w:val="center"/>
          </w:tcPr>
          <w:p w14:paraId="6C2AF2FB">
            <w:pPr>
              <w:widowControl/>
              <w:jc w:val="right"/>
              <w:rPr>
                <w:rFonts w:ascii="宋体" w:hAnsi="宋体" w:cs="宋体"/>
                <w:kern w:val="0"/>
                <w:szCs w:val="21"/>
              </w:rPr>
            </w:pPr>
            <w:r>
              <w:rPr>
                <w:rFonts w:hint="eastAsia" w:ascii="宋体" w:hAnsi="宋体" w:cs="宋体"/>
                <w:kern w:val="0"/>
                <w:szCs w:val="21"/>
              </w:rPr>
              <w:t xml:space="preserve">-   </w:t>
            </w:r>
          </w:p>
        </w:tc>
        <w:tc>
          <w:tcPr>
            <w:tcW w:w="1184" w:type="dxa"/>
            <w:vAlign w:val="center"/>
          </w:tcPr>
          <w:p w14:paraId="064937DA">
            <w:pPr>
              <w:widowControl/>
              <w:jc w:val="right"/>
              <w:rPr>
                <w:rFonts w:ascii="宋体" w:hAnsi="宋体" w:cs="宋体"/>
                <w:kern w:val="0"/>
                <w:szCs w:val="21"/>
              </w:rPr>
            </w:pPr>
            <w:r>
              <w:rPr>
                <w:rFonts w:hint="eastAsia" w:ascii="宋体" w:hAnsi="宋体" w:cs="宋体"/>
                <w:kern w:val="0"/>
                <w:szCs w:val="21"/>
              </w:rPr>
              <w:t xml:space="preserve">-   </w:t>
            </w:r>
          </w:p>
        </w:tc>
      </w:tr>
      <w:tr w14:paraId="6DC8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4063AEDB">
            <w:pPr>
              <w:widowControl/>
              <w:jc w:val="left"/>
              <w:rPr>
                <w:rFonts w:ascii="宋体" w:hAnsi="宋体" w:cs="宋体"/>
                <w:kern w:val="0"/>
                <w:szCs w:val="21"/>
              </w:rPr>
            </w:pPr>
            <w:r>
              <w:rPr>
                <w:rFonts w:hint="eastAsia" w:ascii="宋体" w:hAnsi="宋体" w:cs="宋体"/>
                <w:kern w:val="0"/>
                <w:szCs w:val="21"/>
              </w:rPr>
              <w:t>民兵训练及征兵经费</w:t>
            </w:r>
          </w:p>
        </w:tc>
        <w:tc>
          <w:tcPr>
            <w:tcW w:w="993" w:type="dxa"/>
            <w:shd w:val="clear" w:color="auto" w:fill="auto"/>
            <w:vAlign w:val="center"/>
          </w:tcPr>
          <w:p w14:paraId="62FC2A79">
            <w:pPr>
              <w:widowControl/>
              <w:jc w:val="right"/>
              <w:rPr>
                <w:rFonts w:ascii="宋体" w:hAnsi="宋体" w:cs="宋体"/>
                <w:kern w:val="0"/>
                <w:szCs w:val="21"/>
              </w:rPr>
            </w:pPr>
            <w:r>
              <w:rPr>
                <w:rFonts w:hint="eastAsia" w:ascii="宋体" w:hAnsi="宋体" w:cs="宋体"/>
                <w:kern w:val="0"/>
                <w:szCs w:val="21"/>
              </w:rPr>
              <w:t xml:space="preserve">8.00 </w:t>
            </w:r>
          </w:p>
        </w:tc>
        <w:tc>
          <w:tcPr>
            <w:tcW w:w="850" w:type="dxa"/>
            <w:shd w:val="clear" w:color="auto" w:fill="auto"/>
            <w:vAlign w:val="center"/>
          </w:tcPr>
          <w:p w14:paraId="2458D574">
            <w:pPr>
              <w:widowControl/>
              <w:jc w:val="right"/>
              <w:rPr>
                <w:rFonts w:ascii="宋体" w:hAnsi="宋体" w:cs="宋体"/>
                <w:kern w:val="0"/>
                <w:szCs w:val="21"/>
              </w:rPr>
            </w:pPr>
            <w:r>
              <w:rPr>
                <w:rFonts w:hint="eastAsia" w:ascii="宋体" w:hAnsi="宋体" w:cs="宋体"/>
                <w:kern w:val="0"/>
                <w:szCs w:val="21"/>
              </w:rPr>
              <w:t xml:space="preserve">0.35 </w:t>
            </w:r>
          </w:p>
        </w:tc>
        <w:tc>
          <w:tcPr>
            <w:tcW w:w="1038" w:type="dxa"/>
            <w:shd w:val="clear" w:color="auto" w:fill="auto"/>
            <w:vAlign w:val="center"/>
          </w:tcPr>
          <w:p w14:paraId="1A7603FF">
            <w:pPr>
              <w:widowControl/>
              <w:jc w:val="right"/>
              <w:rPr>
                <w:rFonts w:ascii="宋体" w:hAnsi="宋体" w:cs="宋体"/>
                <w:kern w:val="0"/>
                <w:szCs w:val="21"/>
              </w:rPr>
            </w:pPr>
            <w:r>
              <w:rPr>
                <w:rFonts w:hint="eastAsia" w:ascii="宋体" w:hAnsi="宋体" w:cs="宋体"/>
                <w:kern w:val="0"/>
                <w:szCs w:val="21"/>
              </w:rPr>
              <w:t xml:space="preserve">5.23 </w:t>
            </w:r>
          </w:p>
        </w:tc>
        <w:tc>
          <w:tcPr>
            <w:tcW w:w="851" w:type="dxa"/>
            <w:shd w:val="clear" w:color="auto" w:fill="auto"/>
            <w:vAlign w:val="center"/>
          </w:tcPr>
          <w:p w14:paraId="620FDBC1">
            <w:pPr>
              <w:widowControl/>
              <w:jc w:val="right"/>
              <w:rPr>
                <w:rFonts w:ascii="宋体" w:hAnsi="宋体" w:cs="宋体"/>
                <w:kern w:val="0"/>
                <w:szCs w:val="21"/>
              </w:rPr>
            </w:pPr>
            <w:r>
              <w:rPr>
                <w:rFonts w:hint="eastAsia" w:ascii="宋体" w:hAnsi="宋体" w:cs="宋体"/>
                <w:kern w:val="0"/>
                <w:szCs w:val="21"/>
              </w:rPr>
              <w:t xml:space="preserve">0.23 </w:t>
            </w:r>
          </w:p>
        </w:tc>
        <w:tc>
          <w:tcPr>
            <w:tcW w:w="1321" w:type="dxa"/>
            <w:shd w:val="clear" w:color="auto" w:fill="auto"/>
            <w:vAlign w:val="center"/>
          </w:tcPr>
          <w:p w14:paraId="158CDCA5">
            <w:pPr>
              <w:widowControl/>
              <w:jc w:val="right"/>
              <w:rPr>
                <w:rFonts w:ascii="宋体" w:hAnsi="宋体" w:cs="宋体"/>
                <w:kern w:val="0"/>
                <w:szCs w:val="21"/>
              </w:rPr>
            </w:pPr>
            <w:r>
              <w:rPr>
                <w:rFonts w:hint="eastAsia" w:ascii="宋体" w:hAnsi="宋体" w:cs="宋体"/>
                <w:kern w:val="0"/>
                <w:szCs w:val="21"/>
              </w:rPr>
              <w:t xml:space="preserve">     -2.77 </w:t>
            </w:r>
          </w:p>
        </w:tc>
        <w:tc>
          <w:tcPr>
            <w:tcW w:w="1184" w:type="dxa"/>
            <w:vAlign w:val="center"/>
          </w:tcPr>
          <w:p w14:paraId="06BC273D">
            <w:pPr>
              <w:widowControl/>
              <w:jc w:val="right"/>
              <w:rPr>
                <w:rFonts w:ascii="宋体" w:hAnsi="宋体" w:cs="宋体"/>
                <w:kern w:val="0"/>
                <w:szCs w:val="21"/>
              </w:rPr>
            </w:pPr>
            <w:r>
              <w:rPr>
                <w:rFonts w:hint="eastAsia" w:ascii="宋体" w:hAnsi="宋体" w:cs="宋体"/>
                <w:kern w:val="0"/>
                <w:szCs w:val="21"/>
              </w:rPr>
              <w:t xml:space="preserve">    -34.58 </w:t>
            </w:r>
          </w:p>
        </w:tc>
      </w:tr>
      <w:tr w14:paraId="1404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0CF34034">
            <w:pPr>
              <w:widowControl/>
              <w:jc w:val="left"/>
              <w:rPr>
                <w:rFonts w:ascii="宋体" w:hAnsi="宋体" w:cs="宋体"/>
                <w:kern w:val="0"/>
                <w:szCs w:val="21"/>
              </w:rPr>
            </w:pPr>
            <w:r>
              <w:rPr>
                <w:rFonts w:hint="eastAsia" w:ascii="宋体" w:hAnsi="宋体" w:cs="宋体"/>
                <w:kern w:val="0"/>
                <w:szCs w:val="21"/>
              </w:rPr>
              <w:t>农林水专项经费</w:t>
            </w:r>
          </w:p>
        </w:tc>
        <w:tc>
          <w:tcPr>
            <w:tcW w:w="993" w:type="dxa"/>
            <w:shd w:val="clear" w:color="auto" w:fill="auto"/>
            <w:vAlign w:val="center"/>
          </w:tcPr>
          <w:p w14:paraId="793BFD8A">
            <w:pPr>
              <w:widowControl/>
              <w:jc w:val="right"/>
              <w:rPr>
                <w:rFonts w:ascii="宋体" w:hAnsi="宋体" w:cs="宋体"/>
                <w:kern w:val="0"/>
                <w:szCs w:val="21"/>
              </w:rPr>
            </w:pPr>
            <w:r>
              <w:rPr>
                <w:rFonts w:hint="eastAsia" w:ascii="宋体" w:hAnsi="宋体" w:cs="宋体"/>
                <w:kern w:val="0"/>
                <w:szCs w:val="21"/>
              </w:rPr>
              <w:t xml:space="preserve">91.00 </w:t>
            </w:r>
          </w:p>
        </w:tc>
        <w:tc>
          <w:tcPr>
            <w:tcW w:w="850" w:type="dxa"/>
            <w:shd w:val="clear" w:color="auto" w:fill="auto"/>
            <w:vAlign w:val="center"/>
          </w:tcPr>
          <w:p w14:paraId="19CEE865">
            <w:pPr>
              <w:widowControl/>
              <w:jc w:val="right"/>
              <w:rPr>
                <w:rFonts w:ascii="宋体" w:hAnsi="宋体" w:cs="宋体"/>
                <w:kern w:val="0"/>
                <w:szCs w:val="21"/>
              </w:rPr>
            </w:pPr>
            <w:r>
              <w:rPr>
                <w:rFonts w:hint="eastAsia" w:ascii="宋体" w:hAnsi="宋体" w:cs="宋体"/>
                <w:kern w:val="0"/>
                <w:szCs w:val="21"/>
              </w:rPr>
              <w:t xml:space="preserve">3.96 </w:t>
            </w:r>
          </w:p>
        </w:tc>
        <w:tc>
          <w:tcPr>
            <w:tcW w:w="1038" w:type="dxa"/>
            <w:shd w:val="clear" w:color="auto" w:fill="auto"/>
            <w:vAlign w:val="center"/>
          </w:tcPr>
          <w:p w14:paraId="3F3ED0C4">
            <w:pPr>
              <w:widowControl/>
              <w:jc w:val="right"/>
              <w:rPr>
                <w:rFonts w:ascii="宋体" w:hAnsi="宋体" w:cs="宋体"/>
                <w:kern w:val="0"/>
                <w:szCs w:val="21"/>
              </w:rPr>
            </w:pPr>
            <w:r>
              <w:rPr>
                <w:rFonts w:hint="eastAsia" w:ascii="宋体" w:hAnsi="宋体" w:cs="宋体"/>
                <w:kern w:val="0"/>
                <w:szCs w:val="21"/>
              </w:rPr>
              <w:t xml:space="preserve">113.28 </w:t>
            </w:r>
          </w:p>
        </w:tc>
        <w:tc>
          <w:tcPr>
            <w:tcW w:w="851" w:type="dxa"/>
            <w:shd w:val="clear" w:color="auto" w:fill="auto"/>
            <w:vAlign w:val="center"/>
          </w:tcPr>
          <w:p w14:paraId="1C5D9C9C">
            <w:pPr>
              <w:widowControl/>
              <w:jc w:val="right"/>
              <w:rPr>
                <w:rFonts w:ascii="宋体" w:hAnsi="宋体" w:cs="宋体"/>
                <w:kern w:val="0"/>
                <w:szCs w:val="21"/>
              </w:rPr>
            </w:pPr>
            <w:r>
              <w:rPr>
                <w:rFonts w:hint="eastAsia" w:ascii="宋体" w:hAnsi="宋体" w:cs="宋体"/>
                <w:kern w:val="0"/>
                <w:szCs w:val="21"/>
              </w:rPr>
              <w:t xml:space="preserve">5.08 </w:t>
            </w:r>
          </w:p>
        </w:tc>
        <w:tc>
          <w:tcPr>
            <w:tcW w:w="1321" w:type="dxa"/>
            <w:shd w:val="clear" w:color="auto" w:fill="auto"/>
            <w:vAlign w:val="center"/>
          </w:tcPr>
          <w:p w14:paraId="0EF2810E">
            <w:pPr>
              <w:widowControl/>
              <w:jc w:val="right"/>
              <w:rPr>
                <w:rFonts w:ascii="宋体" w:hAnsi="宋体" w:cs="宋体"/>
                <w:kern w:val="0"/>
                <w:szCs w:val="21"/>
              </w:rPr>
            </w:pPr>
            <w:r>
              <w:rPr>
                <w:rFonts w:hint="eastAsia" w:ascii="宋体" w:hAnsi="宋体" w:cs="宋体"/>
                <w:kern w:val="0"/>
                <w:szCs w:val="21"/>
              </w:rPr>
              <w:t xml:space="preserve">     22.28 </w:t>
            </w:r>
          </w:p>
        </w:tc>
        <w:tc>
          <w:tcPr>
            <w:tcW w:w="1184" w:type="dxa"/>
            <w:vAlign w:val="center"/>
          </w:tcPr>
          <w:p w14:paraId="7712D5BC">
            <w:pPr>
              <w:widowControl/>
              <w:jc w:val="right"/>
              <w:rPr>
                <w:rFonts w:ascii="宋体" w:hAnsi="宋体" w:cs="宋体"/>
                <w:kern w:val="0"/>
                <w:szCs w:val="21"/>
              </w:rPr>
            </w:pPr>
            <w:r>
              <w:rPr>
                <w:rFonts w:hint="eastAsia" w:ascii="宋体" w:hAnsi="宋体" w:cs="宋体"/>
                <w:kern w:val="0"/>
                <w:szCs w:val="21"/>
              </w:rPr>
              <w:t xml:space="preserve">     24.49 </w:t>
            </w:r>
          </w:p>
        </w:tc>
      </w:tr>
      <w:tr w14:paraId="571C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79398D36">
            <w:pPr>
              <w:widowControl/>
              <w:jc w:val="left"/>
              <w:rPr>
                <w:rFonts w:ascii="宋体" w:hAnsi="宋体" w:cs="宋体"/>
                <w:kern w:val="0"/>
                <w:szCs w:val="21"/>
              </w:rPr>
            </w:pPr>
            <w:r>
              <w:rPr>
                <w:rFonts w:hint="eastAsia" w:ascii="宋体" w:hAnsi="宋体" w:cs="宋体"/>
                <w:kern w:val="0"/>
                <w:szCs w:val="21"/>
              </w:rPr>
              <w:t>农民社区管理补助经费</w:t>
            </w:r>
          </w:p>
        </w:tc>
        <w:tc>
          <w:tcPr>
            <w:tcW w:w="993" w:type="dxa"/>
            <w:shd w:val="clear" w:color="auto" w:fill="auto"/>
            <w:vAlign w:val="center"/>
          </w:tcPr>
          <w:p w14:paraId="50B859FD">
            <w:pPr>
              <w:widowControl/>
              <w:jc w:val="right"/>
              <w:rPr>
                <w:rFonts w:ascii="宋体" w:hAnsi="宋体" w:cs="宋体"/>
                <w:kern w:val="0"/>
                <w:szCs w:val="21"/>
              </w:rPr>
            </w:pPr>
            <w:r>
              <w:rPr>
                <w:rFonts w:hint="eastAsia" w:ascii="宋体" w:hAnsi="宋体" w:cs="宋体"/>
                <w:kern w:val="0"/>
                <w:szCs w:val="21"/>
              </w:rPr>
              <w:t xml:space="preserve">80.00 </w:t>
            </w:r>
          </w:p>
        </w:tc>
        <w:tc>
          <w:tcPr>
            <w:tcW w:w="850" w:type="dxa"/>
            <w:shd w:val="clear" w:color="auto" w:fill="auto"/>
            <w:vAlign w:val="center"/>
          </w:tcPr>
          <w:p w14:paraId="40A9D7CA">
            <w:pPr>
              <w:widowControl/>
              <w:jc w:val="right"/>
              <w:rPr>
                <w:rFonts w:ascii="宋体" w:hAnsi="宋体" w:cs="宋体"/>
                <w:kern w:val="0"/>
                <w:szCs w:val="21"/>
              </w:rPr>
            </w:pPr>
            <w:r>
              <w:rPr>
                <w:rFonts w:hint="eastAsia" w:ascii="宋体" w:hAnsi="宋体" w:cs="宋体"/>
                <w:kern w:val="0"/>
                <w:szCs w:val="21"/>
              </w:rPr>
              <w:t xml:space="preserve">3.48 </w:t>
            </w:r>
          </w:p>
        </w:tc>
        <w:tc>
          <w:tcPr>
            <w:tcW w:w="1038" w:type="dxa"/>
            <w:shd w:val="clear" w:color="auto" w:fill="auto"/>
            <w:vAlign w:val="center"/>
          </w:tcPr>
          <w:p w14:paraId="5CA6B0C9">
            <w:pPr>
              <w:widowControl/>
              <w:jc w:val="right"/>
              <w:rPr>
                <w:rFonts w:ascii="宋体" w:hAnsi="宋体" w:cs="宋体"/>
                <w:kern w:val="0"/>
                <w:szCs w:val="21"/>
              </w:rPr>
            </w:pPr>
            <w:r>
              <w:rPr>
                <w:rFonts w:hint="eastAsia" w:ascii="宋体" w:hAnsi="宋体" w:cs="宋体"/>
                <w:kern w:val="0"/>
                <w:szCs w:val="21"/>
              </w:rPr>
              <w:t xml:space="preserve">80.00 </w:t>
            </w:r>
          </w:p>
        </w:tc>
        <w:tc>
          <w:tcPr>
            <w:tcW w:w="851" w:type="dxa"/>
            <w:shd w:val="clear" w:color="auto" w:fill="auto"/>
            <w:vAlign w:val="center"/>
          </w:tcPr>
          <w:p w14:paraId="2FA10FC6">
            <w:pPr>
              <w:widowControl/>
              <w:jc w:val="right"/>
              <w:rPr>
                <w:rFonts w:ascii="宋体" w:hAnsi="宋体" w:cs="宋体"/>
                <w:kern w:val="0"/>
                <w:szCs w:val="21"/>
              </w:rPr>
            </w:pPr>
            <w:r>
              <w:rPr>
                <w:rFonts w:hint="eastAsia" w:ascii="宋体" w:hAnsi="宋体" w:cs="宋体"/>
                <w:kern w:val="0"/>
                <w:szCs w:val="21"/>
              </w:rPr>
              <w:t xml:space="preserve">3.59 </w:t>
            </w:r>
          </w:p>
        </w:tc>
        <w:tc>
          <w:tcPr>
            <w:tcW w:w="1321" w:type="dxa"/>
            <w:shd w:val="clear" w:color="auto" w:fill="auto"/>
            <w:vAlign w:val="center"/>
          </w:tcPr>
          <w:p w14:paraId="34D54579">
            <w:pPr>
              <w:widowControl/>
              <w:jc w:val="right"/>
              <w:rPr>
                <w:rFonts w:ascii="宋体" w:hAnsi="宋体" w:cs="宋体"/>
                <w:kern w:val="0"/>
                <w:szCs w:val="21"/>
              </w:rPr>
            </w:pPr>
            <w:r>
              <w:rPr>
                <w:rFonts w:hint="eastAsia" w:ascii="宋体" w:hAnsi="宋体" w:cs="宋体"/>
                <w:kern w:val="0"/>
                <w:szCs w:val="21"/>
              </w:rPr>
              <w:t xml:space="preserve">-   </w:t>
            </w:r>
          </w:p>
        </w:tc>
        <w:tc>
          <w:tcPr>
            <w:tcW w:w="1184" w:type="dxa"/>
            <w:vAlign w:val="center"/>
          </w:tcPr>
          <w:p w14:paraId="15392C6B">
            <w:pPr>
              <w:widowControl/>
              <w:jc w:val="right"/>
              <w:rPr>
                <w:rFonts w:ascii="宋体" w:hAnsi="宋体" w:cs="宋体"/>
                <w:kern w:val="0"/>
                <w:szCs w:val="21"/>
              </w:rPr>
            </w:pPr>
            <w:r>
              <w:rPr>
                <w:rFonts w:hint="eastAsia" w:ascii="宋体" w:hAnsi="宋体" w:cs="宋体"/>
                <w:kern w:val="0"/>
                <w:szCs w:val="21"/>
              </w:rPr>
              <w:t xml:space="preserve">       -   </w:t>
            </w:r>
          </w:p>
        </w:tc>
      </w:tr>
      <w:tr w14:paraId="175E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6D65C8F1">
            <w:pPr>
              <w:widowControl/>
              <w:jc w:val="left"/>
              <w:rPr>
                <w:rFonts w:ascii="宋体" w:hAnsi="宋体" w:cs="宋体"/>
                <w:kern w:val="0"/>
                <w:szCs w:val="21"/>
              </w:rPr>
            </w:pPr>
            <w:r>
              <w:rPr>
                <w:rFonts w:hint="eastAsia" w:ascii="宋体" w:hAnsi="宋体" w:cs="宋体"/>
                <w:kern w:val="0"/>
                <w:szCs w:val="21"/>
              </w:rPr>
              <w:t>村级正常运转经费</w:t>
            </w:r>
          </w:p>
        </w:tc>
        <w:tc>
          <w:tcPr>
            <w:tcW w:w="993" w:type="dxa"/>
            <w:shd w:val="clear" w:color="auto" w:fill="auto"/>
            <w:vAlign w:val="center"/>
          </w:tcPr>
          <w:p w14:paraId="7BD7E7EF">
            <w:pPr>
              <w:widowControl/>
              <w:jc w:val="right"/>
              <w:rPr>
                <w:rFonts w:ascii="宋体" w:hAnsi="宋体" w:cs="宋体"/>
                <w:kern w:val="0"/>
                <w:szCs w:val="21"/>
              </w:rPr>
            </w:pPr>
            <w:r>
              <w:rPr>
                <w:rFonts w:hint="eastAsia" w:ascii="宋体" w:hAnsi="宋体" w:cs="宋体"/>
                <w:kern w:val="0"/>
                <w:szCs w:val="21"/>
              </w:rPr>
              <w:t xml:space="preserve">13.36 </w:t>
            </w:r>
          </w:p>
        </w:tc>
        <w:tc>
          <w:tcPr>
            <w:tcW w:w="850" w:type="dxa"/>
            <w:shd w:val="clear" w:color="auto" w:fill="auto"/>
            <w:vAlign w:val="center"/>
          </w:tcPr>
          <w:p w14:paraId="3B02EC39">
            <w:pPr>
              <w:widowControl/>
              <w:jc w:val="right"/>
              <w:rPr>
                <w:rFonts w:ascii="宋体" w:hAnsi="宋体" w:cs="宋体"/>
                <w:kern w:val="0"/>
                <w:szCs w:val="21"/>
              </w:rPr>
            </w:pPr>
            <w:r>
              <w:rPr>
                <w:rFonts w:hint="eastAsia" w:ascii="宋体" w:hAnsi="宋体" w:cs="宋体"/>
                <w:kern w:val="0"/>
                <w:szCs w:val="21"/>
              </w:rPr>
              <w:t xml:space="preserve">0.58 </w:t>
            </w:r>
          </w:p>
        </w:tc>
        <w:tc>
          <w:tcPr>
            <w:tcW w:w="1038" w:type="dxa"/>
            <w:shd w:val="clear" w:color="auto" w:fill="auto"/>
            <w:vAlign w:val="center"/>
          </w:tcPr>
          <w:p w14:paraId="4D2120EB">
            <w:pPr>
              <w:widowControl/>
              <w:jc w:val="right"/>
              <w:rPr>
                <w:rFonts w:ascii="宋体" w:hAnsi="宋体" w:cs="宋体"/>
                <w:kern w:val="0"/>
                <w:szCs w:val="21"/>
              </w:rPr>
            </w:pPr>
            <w:r>
              <w:rPr>
                <w:rFonts w:hint="eastAsia" w:ascii="宋体" w:hAnsi="宋体" w:cs="宋体"/>
                <w:kern w:val="0"/>
                <w:szCs w:val="21"/>
              </w:rPr>
              <w:t xml:space="preserve">13.36 </w:t>
            </w:r>
          </w:p>
        </w:tc>
        <w:tc>
          <w:tcPr>
            <w:tcW w:w="851" w:type="dxa"/>
            <w:shd w:val="clear" w:color="auto" w:fill="auto"/>
            <w:vAlign w:val="center"/>
          </w:tcPr>
          <w:p w14:paraId="4B3FCB91">
            <w:pPr>
              <w:widowControl/>
              <w:jc w:val="right"/>
              <w:rPr>
                <w:rFonts w:ascii="宋体" w:hAnsi="宋体" w:cs="宋体"/>
                <w:kern w:val="0"/>
                <w:szCs w:val="21"/>
              </w:rPr>
            </w:pPr>
            <w:r>
              <w:rPr>
                <w:rFonts w:hint="eastAsia" w:ascii="宋体" w:hAnsi="宋体" w:cs="宋体"/>
                <w:kern w:val="0"/>
                <w:szCs w:val="21"/>
              </w:rPr>
              <w:t xml:space="preserve">0.60 </w:t>
            </w:r>
          </w:p>
        </w:tc>
        <w:tc>
          <w:tcPr>
            <w:tcW w:w="1321" w:type="dxa"/>
            <w:shd w:val="clear" w:color="auto" w:fill="auto"/>
            <w:vAlign w:val="center"/>
          </w:tcPr>
          <w:p w14:paraId="318A6A5A">
            <w:pPr>
              <w:widowControl/>
              <w:jc w:val="right"/>
              <w:rPr>
                <w:rFonts w:ascii="宋体" w:hAnsi="宋体" w:cs="宋体"/>
                <w:kern w:val="0"/>
                <w:szCs w:val="21"/>
              </w:rPr>
            </w:pPr>
            <w:r>
              <w:rPr>
                <w:rFonts w:hint="eastAsia" w:ascii="宋体" w:hAnsi="宋体" w:cs="宋体"/>
                <w:kern w:val="0"/>
                <w:szCs w:val="21"/>
              </w:rPr>
              <w:t xml:space="preserve">-   </w:t>
            </w:r>
          </w:p>
        </w:tc>
        <w:tc>
          <w:tcPr>
            <w:tcW w:w="1184" w:type="dxa"/>
            <w:vAlign w:val="center"/>
          </w:tcPr>
          <w:p w14:paraId="18761DC7">
            <w:pPr>
              <w:widowControl/>
              <w:jc w:val="right"/>
              <w:rPr>
                <w:rFonts w:ascii="宋体" w:hAnsi="宋体" w:cs="宋体"/>
                <w:kern w:val="0"/>
                <w:szCs w:val="21"/>
              </w:rPr>
            </w:pPr>
            <w:r>
              <w:rPr>
                <w:rFonts w:hint="eastAsia" w:ascii="宋体" w:hAnsi="宋体" w:cs="宋体"/>
                <w:kern w:val="0"/>
                <w:szCs w:val="21"/>
              </w:rPr>
              <w:t xml:space="preserve">-   </w:t>
            </w:r>
          </w:p>
        </w:tc>
      </w:tr>
      <w:tr w14:paraId="13B3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1E232D9A">
            <w:pPr>
              <w:widowControl/>
              <w:jc w:val="left"/>
              <w:rPr>
                <w:rFonts w:ascii="宋体" w:hAnsi="宋体" w:cs="宋体"/>
                <w:kern w:val="0"/>
                <w:szCs w:val="21"/>
              </w:rPr>
            </w:pPr>
            <w:r>
              <w:rPr>
                <w:rFonts w:hint="eastAsia" w:ascii="宋体" w:hAnsi="宋体" w:cs="宋体"/>
                <w:kern w:val="0"/>
                <w:szCs w:val="21"/>
              </w:rPr>
              <w:t>以钱养事经费</w:t>
            </w:r>
          </w:p>
        </w:tc>
        <w:tc>
          <w:tcPr>
            <w:tcW w:w="993" w:type="dxa"/>
            <w:shd w:val="clear" w:color="auto" w:fill="auto"/>
            <w:vAlign w:val="center"/>
          </w:tcPr>
          <w:p w14:paraId="6840C1B9">
            <w:pPr>
              <w:widowControl/>
              <w:jc w:val="right"/>
              <w:rPr>
                <w:rFonts w:ascii="宋体" w:hAnsi="宋体" w:cs="宋体"/>
                <w:kern w:val="0"/>
                <w:szCs w:val="21"/>
              </w:rPr>
            </w:pPr>
            <w:r>
              <w:rPr>
                <w:rFonts w:hint="eastAsia" w:ascii="宋体" w:hAnsi="宋体" w:cs="宋体"/>
                <w:kern w:val="0"/>
                <w:szCs w:val="21"/>
              </w:rPr>
              <w:t xml:space="preserve">193.00 </w:t>
            </w:r>
          </w:p>
        </w:tc>
        <w:tc>
          <w:tcPr>
            <w:tcW w:w="850" w:type="dxa"/>
            <w:shd w:val="clear" w:color="auto" w:fill="auto"/>
            <w:vAlign w:val="center"/>
          </w:tcPr>
          <w:p w14:paraId="3C63A2D3">
            <w:pPr>
              <w:widowControl/>
              <w:jc w:val="right"/>
              <w:rPr>
                <w:rFonts w:ascii="宋体" w:hAnsi="宋体" w:cs="宋体"/>
                <w:kern w:val="0"/>
                <w:szCs w:val="21"/>
              </w:rPr>
            </w:pPr>
            <w:r>
              <w:rPr>
                <w:rFonts w:hint="eastAsia" w:ascii="宋体" w:hAnsi="宋体" w:cs="宋体"/>
                <w:kern w:val="0"/>
                <w:szCs w:val="21"/>
              </w:rPr>
              <w:t xml:space="preserve">8.40 </w:t>
            </w:r>
          </w:p>
        </w:tc>
        <w:tc>
          <w:tcPr>
            <w:tcW w:w="1038" w:type="dxa"/>
            <w:shd w:val="clear" w:color="auto" w:fill="auto"/>
            <w:vAlign w:val="center"/>
          </w:tcPr>
          <w:p w14:paraId="61BBEECE">
            <w:pPr>
              <w:widowControl/>
              <w:jc w:val="right"/>
              <w:rPr>
                <w:rFonts w:ascii="宋体" w:hAnsi="宋体" w:cs="宋体"/>
                <w:kern w:val="0"/>
                <w:szCs w:val="21"/>
              </w:rPr>
            </w:pPr>
            <w:r>
              <w:rPr>
                <w:rFonts w:hint="eastAsia" w:ascii="宋体" w:hAnsi="宋体" w:cs="宋体"/>
                <w:kern w:val="0"/>
                <w:szCs w:val="21"/>
              </w:rPr>
              <w:t xml:space="preserve">192.83 </w:t>
            </w:r>
          </w:p>
        </w:tc>
        <w:tc>
          <w:tcPr>
            <w:tcW w:w="851" w:type="dxa"/>
            <w:shd w:val="clear" w:color="auto" w:fill="auto"/>
            <w:vAlign w:val="center"/>
          </w:tcPr>
          <w:p w14:paraId="03925216">
            <w:pPr>
              <w:widowControl/>
              <w:jc w:val="right"/>
              <w:rPr>
                <w:rFonts w:ascii="宋体" w:hAnsi="宋体" w:cs="宋体"/>
                <w:kern w:val="0"/>
                <w:szCs w:val="21"/>
              </w:rPr>
            </w:pPr>
            <w:r>
              <w:rPr>
                <w:rFonts w:hint="eastAsia" w:ascii="宋体" w:hAnsi="宋体" w:cs="宋体"/>
                <w:kern w:val="0"/>
                <w:szCs w:val="21"/>
              </w:rPr>
              <w:t xml:space="preserve">8.65 </w:t>
            </w:r>
          </w:p>
        </w:tc>
        <w:tc>
          <w:tcPr>
            <w:tcW w:w="1321" w:type="dxa"/>
            <w:shd w:val="clear" w:color="auto" w:fill="auto"/>
            <w:vAlign w:val="center"/>
          </w:tcPr>
          <w:p w14:paraId="5F679C51">
            <w:pPr>
              <w:widowControl/>
              <w:jc w:val="right"/>
              <w:rPr>
                <w:rFonts w:ascii="宋体" w:hAnsi="宋体" w:cs="宋体"/>
                <w:kern w:val="0"/>
                <w:szCs w:val="21"/>
              </w:rPr>
            </w:pPr>
            <w:r>
              <w:rPr>
                <w:rFonts w:hint="eastAsia" w:ascii="宋体" w:hAnsi="宋体" w:cs="宋体"/>
                <w:kern w:val="0"/>
                <w:szCs w:val="21"/>
              </w:rPr>
              <w:t xml:space="preserve">-0.17 </w:t>
            </w:r>
          </w:p>
        </w:tc>
        <w:tc>
          <w:tcPr>
            <w:tcW w:w="1184" w:type="dxa"/>
            <w:vAlign w:val="center"/>
          </w:tcPr>
          <w:p w14:paraId="03E938A4">
            <w:pPr>
              <w:widowControl/>
              <w:jc w:val="right"/>
              <w:rPr>
                <w:rFonts w:ascii="宋体" w:hAnsi="宋体" w:cs="宋体"/>
                <w:kern w:val="0"/>
                <w:szCs w:val="21"/>
              </w:rPr>
            </w:pPr>
            <w:r>
              <w:rPr>
                <w:rFonts w:hint="eastAsia" w:ascii="宋体" w:hAnsi="宋体" w:cs="宋体"/>
                <w:kern w:val="0"/>
                <w:szCs w:val="21"/>
              </w:rPr>
              <w:t xml:space="preserve">-0.09 </w:t>
            </w:r>
          </w:p>
        </w:tc>
      </w:tr>
      <w:tr w14:paraId="79A6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568D7E40">
            <w:pPr>
              <w:widowControl/>
              <w:jc w:val="left"/>
              <w:rPr>
                <w:rFonts w:ascii="宋体" w:hAnsi="宋体" w:cs="宋体"/>
                <w:kern w:val="0"/>
                <w:szCs w:val="21"/>
              </w:rPr>
            </w:pPr>
            <w:r>
              <w:rPr>
                <w:rFonts w:hint="eastAsia" w:ascii="宋体" w:hAnsi="宋体" w:cs="宋体"/>
                <w:kern w:val="0"/>
                <w:szCs w:val="21"/>
              </w:rPr>
              <w:t>基层组织经费</w:t>
            </w:r>
          </w:p>
        </w:tc>
        <w:tc>
          <w:tcPr>
            <w:tcW w:w="993" w:type="dxa"/>
            <w:shd w:val="clear" w:color="auto" w:fill="auto"/>
            <w:vAlign w:val="center"/>
          </w:tcPr>
          <w:p w14:paraId="52965693">
            <w:pPr>
              <w:widowControl/>
              <w:jc w:val="right"/>
              <w:rPr>
                <w:rFonts w:ascii="宋体" w:hAnsi="宋体" w:cs="宋体"/>
                <w:kern w:val="0"/>
                <w:szCs w:val="21"/>
              </w:rPr>
            </w:pPr>
            <w:r>
              <w:rPr>
                <w:rFonts w:hint="eastAsia" w:ascii="宋体" w:hAnsi="宋体" w:cs="宋体"/>
                <w:kern w:val="0"/>
                <w:szCs w:val="21"/>
              </w:rPr>
              <w:t xml:space="preserve">106.00 </w:t>
            </w:r>
          </w:p>
        </w:tc>
        <w:tc>
          <w:tcPr>
            <w:tcW w:w="850" w:type="dxa"/>
            <w:shd w:val="clear" w:color="auto" w:fill="auto"/>
            <w:vAlign w:val="center"/>
          </w:tcPr>
          <w:p w14:paraId="3EC548A6">
            <w:pPr>
              <w:widowControl/>
              <w:jc w:val="right"/>
              <w:rPr>
                <w:rFonts w:ascii="宋体" w:hAnsi="宋体" w:cs="宋体"/>
                <w:kern w:val="0"/>
                <w:szCs w:val="21"/>
              </w:rPr>
            </w:pPr>
            <w:r>
              <w:rPr>
                <w:rFonts w:hint="eastAsia" w:ascii="宋体" w:hAnsi="宋体" w:cs="宋体"/>
                <w:kern w:val="0"/>
                <w:szCs w:val="21"/>
              </w:rPr>
              <w:t xml:space="preserve">4.61 </w:t>
            </w:r>
          </w:p>
        </w:tc>
        <w:tc>
          <w:tcPr>
            <w:tcW w:w="1038" w:type="dxa"/>
            <w:shd w:val="clear" w:color="auto" w:fill="auto"/>
            <w:vAlign w:val="center"/>
          </w:tcPr>
          <w:p w14:paraId="52B04276">
            <w:pPr>
              <w:widowControl/>
              <w:jc w:val="right"/>
              <w:rPr>
                <w:rFonts w:ascii="宋体" w:hAnsi="宋体" w:cs="宋体"/>
                <w:kern w:val="0"/>
                <w:szCs w:val="21"/>
              </w:rPr>
            </w:pPr>
            <w:r>
              <w:rPr>
                <w:rFonts w:hint="eastAsia" w:ascii="宋体" w:hAnsi="宋体" w:cs="宋体"/>
                <w:kern w:val="0"/>
                <w:szCs w:val="21"/>
              </w:rPr>
              <w:t xml:space="preserve">76.88 </w:t>
            </w:r>
          </w:p>
        </w:tc>
        <w:tc>
          <w:tcPr>
            <w:tcW w:w="851" w:type="dxa"/>
            <w:shd w:val="clear" w:color="auto" w:fill="auto"/>
            <w:vAlign w:val="center"/>
          </w:tcPr>
          <w:p w14:paraId="398A8A84">
            <w:pPr>
              <w:widowControl/>
              <w:jc w:val="right"/>
              <w:rPr>
                <w:rFonts w:ascii="宋体" w:hAnsi="宋体" w:cs="宋体"/>
                <w:kern w:val="0"/>
                <w:szCs w:val="21"/>
              </w:rPr>
            </w:pPr>
            <w:r>
              <w:rPr>
                <w:rFonts w:hint="eastAsia" w:ascii="宋体" w:hAnsi="宋体" w:cs="宋体"/>
                <w:kern w:val="0"/>
                <w:szCs w:val="21"/>
              </w:rPr>
              <w:t xml:space="preserve">3.45 </w:t>
            </w:r>
          </w:p>
        </w:tc>
        <w:tc>
          <w:tcPr>
            <w:tcW w:w="1321" w:type="dxa"/>
            <w:shd w:val="clear" w:color="auto" w:fill="auto"/>
            <w:vAlign w:val="center"/>
          </w:tcPr>
          <w:p w14:paraId="0FFCF898">
            <w:pPr>
              <w:widowControl/>
              <w:jc w:val="right"/>
              <w:rPr>
                <w:rFonts w:ascii="宋体" w:hAnsi="宋体" w:cs="宋体"/>
                <w:kern w:val="0"/>
                <w:szCs w:val="21"/>
              </w:rPr>
            </w:pPr>
            <w:r>
              <w:rPr>
                <w:rFonts w:hint="eastAsia" w:ascii="宋体" w:hAnsi="宋体" w:cs="宋体"/>
                <w:kern w:val="0"/>
                <w:szCs w:val="21"/>
              </w:rPr>
              <w:t xml:space="preserve">-29.12 </w:t>
            </w:r>
          </w:p>
        </w:tc>
        <w:tc>
          <w:tcPr>
            <w:tcW w:w="1184" w:type="dxa"/>
            <w:vAlign w:val="center"/>
          </w:tcPr>
          <w:p w14:paraId="1C30F9D7">
            <w:pPr>
              <w:widowControl/>
              <w:jc w:val="right"/>
              <w:rPr>
                <w:rFonts w:ascii="宋体" w:hAnsi="宋体" w:cs="宋体"/>
                <w:kern w:val="0"/>
                <w:szCs w:val="21"/>
              </w:rPr>
            </w:pPr>
            <w:r>
              <w:rPr>
                <w:rFonts w:hint="eastAsia" w:ascii="宋体" w:hAnsi="宋体" w:cs="宋体"/>
                <w:kern w:val="0"/>
                <w:szCs w:val="21"/>
              </w:rPr>
              <w:t xml:space="preserve">-27.47 </w:t>
            </w:r>
          </w:p>
        </w:tc>
      </w:tr>
      <w:tr w14:paraId="00B9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0C77401D">
            <w:pPr>
              <w:widowControl/>
              <w:jc w:val="left"/>
              <w:rPr>
                <w:rFonts w:ascii="宋体" w:hAnsi="宋体" w:cs="宋体"/>
                <w:kern w:val="0"/>
                <w:szCs w:val="21"/>
              </w:rPr>
            </w:pPr>
            <w:r>
              <w:rPr>
                <w:rFonts w:hint="eastAsia" w:ascii="宋体" w:hAnsi="宋体" w:cs="宋体"/>
                <w:kern w:val="0"/>
                <w:szCs w:val="21"/>
              </w:rPr>
              <w:t>其他经费</w:t>
            </w:r>
          </w:p>
        </w:tc>
        <w:tc>
          <w:tcPr>
            <w:tcW w:w="993" w:type="dxa"/>
            <w:shd w:val="clear" w:color="auto" w:fill="auto"/>
            <w:vAlign w:val="center"/>
          </w:tcPr>
          <w:p w14:paraId="1B7B778F">
            <w:pPr>
              <w:widowControl/>
              <w:jc w:val="right"/>
              <w:rPr>
                <w:rFonts w:ascii="宋体" w:hAnsi="宋体" w:cs="宋体"/>
                <w:kern w:val="0"/>
                <w:szCs w:val="21"/>
              </w:rPr>
            </w:pPr>
            <w:r>
              <w:rPr>
                <w:rFonts w:hint="eastAsia" w:ascii="宋体" w:hAnsi="宋体" w:cs="宋体"/>
                <w:kern w:val="0"/>
                <w:szCs w:val="21"/>
              </w:rPr>
              <w:t xml:space="preserve">594.10 </w:t>
            </w:r>
          </w:p>
        </w:tc>
        <w:tc>
          <w:tcPr>
            <w:tcW w:w="850" w:type="dxa"/>
            <w:shd w:val="clear" w:color="auto" w:fill="auto"/>
            <w:vAlign w:val="center"/>
          </w:tcPr>
          <w:p w14:paraId="1D0A1085">
            <w:pPr>
              <w:widowControl/>
              <w:jc w:val="right"/>
              <w:rPr>
                <w:rFonts w:ascii="宋体" w:hAnsi="宋体" w:cs="宋体"/>
                <w:kern w:val="0"/>
                <w:szCs w:val="21"/>
              </w:rPr>
            </w:pPr>
            <w:r>
              <w:rPr>
                <w:rFonts w:hint="eastAsia" w:ascii="宋体" w:hAnsi="宋体" w:cs="宋体"/>
                <w:kern w:val="0"/>
                <w:szCs w:val="21"/>
              </w:rPr>
              <w:t xml:space="preserve">25.86 </w:t>
            </w:r>
          </w:p>
        </w:tc>
        <w:tc>
          <w:tcPr>
            <w:tcW w:w="1038" w:type="dxa"/>
            <w:shd w:val="clear" w:color="auto" w:fill="auto"/>
            <w:vAlign w:val="center"/>
          </w:tcPr>
          <w:p w14:paraId="2083936E">
            <w:pPr>
              <w:widowControl/>
              <w:jc w:val="right"/>
              <w:rPr>
                <w:rFonts w:ascii="宋体" w:hAnsi="宋体" w:cs="宋体"/>
                <w:kern w:val="0"/>
                <w:szCs w:val="21"/>
              </w:rPr>
            </w:pPr>
            <w:r>
              <w:rPr>
                <w:rFonts w:hint="eastAsia" w:ascii="宋体" w:hAnsi="宋体" w:cs="宋体"/>
                <w:kern w:val="0"/>
                <w:szCs w:val="21"/>
              </w:rPr>
              <w:t xml:space="preserve">511.07 </w:t>
            </w:r>
          </w:p>
        </w:tc>
        <w:tc>
          <w:tcPr>
            <w:tcW w:w="851" w:type="dxa"/>
            <w:shd w:val="clear" w:color="auto" w:fill="auto"/>
            <w:vAlign w:val="center"/>
          </w:tcPr>
          <w:p w14:paraId="6B7C4C77">
            <w:pPr>
              <w:widowControl/>
              <w:jc w:val="right"/>
              <w:rPr>
                <w:rFonts w:ascii="宋体" w:hAnsi="宋体" w:cs="宋体"/>
                <w:kern w:val="0"/>
                <w:szCs w:val="21"/>
              </w:rPr>
            </w:pPr>
            <w:r>
              <w:rPr>
                <w:rFonts w:hint="eastAsia" w:ascii="宋体" w:hAnsi="宋体" w:cs="宋体"/>
                <w:kern w:val="0"/>
                <w:szCs w:val="21"/>
              </w:rPr>
              <w:t xml:space="preserve">22.93 </w:t>
            </w:r>
          </w:p>
        </w:tc>
        <w:tc>
          <w:tcPr>
            <w:tcW w:w="1321" w:type="dxa"/>
            <w:shd w:val="clear" w:color="auto" w:fill="auto"/>
            <w:vAlign w:val="center"/>
          </w:tcPr>
          <w:p w14:paraId="7E49F493">
            <w:pPr>
              <w:widowControl/>
              <w:jc w:val="right"/>
              <w:rPr>
                <w:rFonts w:ascii="宋体" w:hAnsi="宋体" w:cs="宋体"/>
                <w:kern w:val="0"/>
                <w:szCs w:val="21"/>
              </w:rPr>
            </w:pPr>
            <w:r>
              <w:rPr>
                <w:rFonts w:hint="eastAsia" w:ascii="宋体" w:hAnsi="宋体" w:cs="宋体"/>
                <w:kern w:val="0"/>
                <w:szCs w:val="21"/>
              </w:rPr>
              <w:t xml:space="preserve">-83.03 </w:t>
            </w:r>
          </w:p>
        </w:tc>
        <w:tc>
          <w:tcPr>
            <w:tcW w:w="1184" w:type="dxa"/>
            <w:vAlign w:val="center"/>
          </w:tcPr>
          <w:p w14:paraId="0A2D76DA">
            <w:pPr>
              <w:widowControl/>
              <w:jc w:val="right"/>
              <w:rPr>
                <w:rFonts w:ascii="宋体" w:hAnsi="宋体" w:cs="宋体"/>
                <w:kern w:val="0"/>
                <w:szCs w:val="21"/>
              </w:rPr>
            </w:pPr>
            <w:r>
              <w:rPr>
                <w:rFonts w:hint="eastAsia" w:ascii="宋体" w:hAnsi="宋体" w:cs="宋体"/>
                <w:kern w:val="0"/>
                <w:szCs w:val="21"/>
              </w:rPr>
              <w:t xml:space="preserve">-13.98 </w:t>
            </w:r>
          </w:p>
        </w:tc>
      </w:tr>
      <w:tr w14:paraId="616D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562D9CA1">
            <w:pPr>
              <w:widowControl/>
              <w:jc w:val="left"/>
              <w:rPr>
                <w:rFonts w:ascii="宋体" w:hAnsi="宋体" w:cs="宋体"/>
                <w:kern w:val="0"/>
                <w:szCs w:val="21"/>
              </w:rPr>
            </w:pPr>
            <w:r>
              <w:rPr>
                <w:rFonts w:hint="eastAsia" w:ascii="宋体" w:hAnsi="宋体" w:cs="宋体"/>
                <w:kern w:val="0"/>
                <w:szCs w:val="21"/>
              </w:rPr>
              <w:t>机动经费</w:t>
            </w:r>
          </w:p>
        </w:tc>
        <w:tc>
          <w:tcPr>
            <w:tcW w:w="993" w:type="dxa"/>
            <w:shd w:val="clear" w:color="auto" w:fill="auto"/>
            <w:vAlign w:val="center"/>
          </w:tcPr>
          <w:p w14:paraId="7FD15E26">
            <w:pPr>
              <w:widowControl/>
              <w:jc w:val="right"/>
              <w:rPr>
                <w:rFonts w:ascii="宋体" w:hAnsi="宋体" w:cs="宋体"/>
                <w:kern w:val="0"/>
                <w:szCs w:val="21"/>
              </w:rPr>
            </w:pPr>
            <w:r>
              <w:rPr>
                <w:rFonts w:hint="eastAsia" w:ascii="宋体" w:hAnsi="宋体" w:cs="宋体"/>
                <w:kern w:val="0"/>
                <w:szCs w:val="21"/>
              </w:rPr>
              <w:t xml:space="preserve">26.98 </w:t>
            </w:r>
          </w:p>
        </w:tc>
        <w:tc>
          <w:tcPr>
            <w:tcW w:w="850" w:type="dxa"/>
            <w:shd w:val="clear" w:color="auto" w:fill="auto"/>
            <w:vAlign w:val="center"/>
          </w:tcPr>
          <w:p w14:paraId="31F7CC23">
            <w:pPr>
              <w:widowControl/>
              <w:jc w:val="right"/>
              <w:rPr>
                <w:rFonts w:ascii="宋体" w:hAnsi="宋体" w:cs="宋体"/>
                <w:kern w:val="0"/>
                <w:szCs w:val="21"/>
              </w:rPr>
            </w:pPr>
            <w:r>
              <w:rPr>
                <w:rFonts w:hint="eastAsia" w:ascii="宋体" w:hAnsi="宋体" w:cs="宋体"/>
                <w:kern w:val="0"/>
                <w:szCs w:val="21"/>
              </w:rPr>
              <w:t xml:space="preserve">1.17 </w:t>
            </w:r>
          </w:p>
        </w:tc>
        <w:tc>
          <w:tcPr>
            <w:tcW w:w="1038" w:type="dxa"/>
            <w:shd w:val="clear" w:color="auto" w:fill="auto"/>
            <w:vAlign w:val="center"/>
          </w:tcPr>
          <w:p w14:paraId="54F6C4E8">
            <w:pPr>
              <w:widowControl/>
              <w:jc w:val="right"/>
              <w:rPr>
                <w:rFonts w:ascii="宋体" w:hAnsi="宋体" w:cs="宋体"/>
                <w:kern w:val="0"/>
                <w:szCs w:val="21"/>
              </w:rPr>
            </w:pPr>
            <w:r>
              <w:rPr>
                <w:rFonts w:hint="eastAsia" w:ascii="宋体" w:hAnsi="宋体" w:cs="宋体"/>
                <w:kern w:val="0"/>
                <w:szCs w:val="21"/>
              </w:rPr>
              <w:t xml:space="preserve">26.77 </w:t>
            </w:r>
          </w:p>
        </w:tc>
        <w:tc>
          <w:tcPr>
            <w:tcW w:w="851" w:type="dxa"/>
            <w:shd w:val="clear" w:color="auto" w:fill="auto"/>
            <w:vAlign w:val="center"/>
          </w:tcPr>
          <w:p w14:paraId="10EE3838">
            <w:pPr>
              <w:widowControl/>
              <w:jc w:val="right"/>
              <w:rPr>
                <w:rFonts w:ascii="宋体" w:hAnsi="宋体" w:cs="宋体"/>
                <w:kern w:val="0"/>
                <w:szCs w:val="21"/>
              </w:rPr>
            </w:pPr>
            <w:r>
              <w:rPr>
                <w:rFonts w:hint="eastAsia" w:ascii="宋体" w:hAnsi="宋体" w:cs="宋体"/>
                <w:kern w:val="0"/>
                <w:szCs w:val="21"/>
              </w:rPr>
              <w:t xml:space="preserve">1.20 </w:t>
            </w:r>
          </w:p>
        </w:tc>
        <w:tc>
          <w:tcPr>
            <w:tcW w:w="1321" w:type="dxa"/>
            <w:shd w:val="clear" w:color="auto" w:fill="auto"/>
            <w:vAlign w:val="center"/>
          </w:tcPr>
          <w:p w14:paraId="2B6A4EBE">
            <w:pPr>
              <w:widowControl/>
              <w:jc w:val="right"/>
              <w:rPr>
                <w:rFonts w:ascii="宋体" w:hAnsi="宋体" w:cs="宋体"/>
                <w:kern w:val="0"/>
                <w:szCs w:val="21"/>
              </w:rPr>
            </w:pPr>
            <w:r>
              <w:rPr>
                <w:rFonts w:hint="eastAsia" w:ascii="宋体" w:hAnsi="宋体" w:cs="宋体"/>
                <w:kern w:val="0"/>
                <w:szCs w:val="21"/>
              </w:rPr>
              <w:t xml:space="preserve">-0.21 </w:t>
            </w:r>
          </w:p>
        </w:tc>
        <w:tc>
          <w:tcPr>
            <w:tcW w:w="1184" w:type="dxa"/>
            <w:vAlign w:val="center"/>
          </w:tcPr>
          <w:p w14:paraId="5D77A8E4">
            <w:pPr>
              <w:widowControl/>
              <w:jc w:val="right"/>
              <w:rPr>
                <w:rFonts w:ascii="宋体" w:hAnsi="宋体" w:cs="宋体"/>
                <w:kern w:val="0"/>
                <w:szCs w:val="21"/>
              </w:rPr>
            </w:pPr>
            <w:r>
              <w:rPr>
                <w:rFonts w:hint="eastAsia" w:ascii="宋体" w:hAnsi="宋体" w:cs="宋体"/>
                <w:kern w:val="0"/>
                <w:szCs w:val="21"/>
              </w:rPr>
              <w:t xml:space="preserve">-0.78 </w:t>
            </w:r>
          </w:p>
        </w:tc>
      </w:tr>
      <w:tr w14:paraId="300F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7E0E9A9E">
            <w:pPr>
              <w:rPr>
                <w:rFonts w:ascii="宋体" w:hAnsi="宋体" w:cs="宋体"/>
                <w:kern w:val="0"/>
                <w:szCs w:val="21"/>
              </w:rPr>
            </w:pPr>
            <w:r>
              <w:rPr>
                <w:rFonts w:hint="eastAsia" w:ascii="宋体" w:hAnsi="宋体" w:cs="宋体"/>
                <w:kern w:val="0"/>
                <w:szCs w:val="21"/>
              </w:rPr>
              <w:t>彩票公益金用于老年宜居社区建设</w:t>
            </w:r>
          </w:p>
        </w:tc>
        <w:tc>
          <w:tcPr>
            <w:tcW w:w="993" w:type="dxa"/>
            <w:shd w:val="clear" w:color="auto" w:fill="auto"/>
            <w:vAlign w:val="center"/>
          </w:tcPr>
          <w:p w14:paraId="5486F101">
            <w:pPr>
              <w:widowControl/>
              <w:jc w:val="right"/>
              <w:rPr>
                <w:rFonts w:ascii="宋体" w:hAnsi="宋体" w:cs="宋体"/>
                <w:kern w:val="0"/>
                <w:szCs w:val="21"/>
              </w:rPr>
            </w:pPr>
            <w:r>
              <w:rPr>
                <w:rFonts w:hint="eastAsia" w:ascii="宋体" w:hAnsi="宋体" w:cs="宋体"/>
                <w:kern w:val="0"/>
                <w:szCs w:val="21"/>
              </w:rPr>
              <w:t xml:space="preserve">-   </w:t>
            </w:r>
          </w:p>
        </w:tc>
        <w:tc>
          <w:tcPr>
            <w:tcW w:w="850" w:type="dxa"/>
            <w:shd w:val="clear" w:color="auto" w:fill="auto"/>
            <w:vAlign w:val="center"/>
          </w:tcPr>
          <w:p w14:paraId="0E054BC1">
            <w:pPr>
              <w:widowControl/>
              <w:jc w:val="right"/>
              <w:rPr>
                <w:rFonts w:ascii="宋体" w:hAnsi="宋体" w:cs="宋体"/>
                <w:kern w:val="0"/>
                <w:szCs w:val="21"/>
              </w:rPr>
            </w:pPr>
            <w:r>
              <w:rPr>
                <w:rFonts w:hint="eastAsia" w:ascii="宋体" w:hAnsi="宋体" w:cs="宋体"/>
                <w:kern w:val="0"/>
                <w:szCs w:val="21"/>
              </w:rPr>
              <w:t xml:space="preserve">-   </w:t>
            </w:r>
          </w:p>
        </w:tc>
        <w:tc>
          <w:tcPr>
            <w:tcW w:w="1038" w:type="dxa"/>
            <w:shd w:val="clear" w:color="auto" w:fill="auto"/>
            <w:vAlign w:val="center"/>
          </w:tcPr>
          <w:p w14:paraId="0F5998A1">
            <w:pPr>
              <w:widowControl/>
              <w:jc w:val="right"/>
              <w:rPr>
                <w:rFonts w:ascii="宋体" w:hAnsi="宋体" w:cs="宋体"/>
                <w:kern w:val="0"/>
                <w:szCs w:val="21"/>
              </w:rPr>
            </w:pPr>
            <w:r>
              <w:rPr>
                <w:rFonts w:hint="eastAsia" w:ascii="宋体" w:hAnsi="宋体" w:cs="宋体"/>
                <w:kern w:val="0"/>
                <w:szCs w:val="21"/>
              </w:rPr>
              <w:t xml:space="preserve">30.00 </w:t>
            </w:r>
          </w:p>
        </w:tc>
        <w:tc>
          <w:tcPr>
            <w:tcW w:w="851" w:type="dxa"/>
            <w:shd w:val="clear" w:color="auto" w:fill="auto"/>
            <w:vAlign w:val="center"/>
          </w:tcPr>
          <w:p w14:paraId="1E653045">
            <w:pPr>
              <w:widowControl/>
              <w:jc w:val="right"/>
              <w:rPr>
                <w:rFonts w:ascii="宋体" w:hAnsi="宋体" w:cs="宋体"/>
                <w:kern w:val="0"/>
                <w:szCs w:val="21"/>
              </w:rPr>
            </w:pPr>
            <w:r>
              <w:rPr>
                <w:rFonts w:hint="eastAsia" w:ascii="宋体" w:hAnsi="宋体" w:cs="宋体"/>
                <w:kern w:val="0"/>
                <w:szCs w:val="21"/>
              </w:rPr>
              <w:t xml:space="preserve">1.35 </w:t>
            </w:r>
          </w:p>
        </w:tc>
        <w:tc>
          <w:tcPr>
            <w:tcW w:w="1321" w:type="dxa"/>
            <w:shd w:val="clear" w:color="auto" w:fill="auto"/>
            <w:vAlign w:val="center"/>
          </w:tcPr>
          <w:p w14:paraId="328A8216">
            <w:pPr>
              <w:widowControl/>
              <w:jc w:val="right"/>
              <w:rPr>
                <w:rFonts w:ascii="宋体" w:hAnsi="宋体" w:cs="宋体"/>
                <w:kern w:val="0"/>
                <w:szCs w:val="21"/>
              </w:rPr>
            </w:pPr>
            <w:r>
              <w:rPr>
                <w:rFonts w:hint="eastAsia" w:ascii="宋体" w:hAnsi="宋体" w:cs="宋体"/>
                <w:kern w:val="0"/>
                <w:szCs w:val="21"/>
              </w:rPr>
              <w:t xml:space="preserve">     30.00 </w:t>
            </w:r>
          </w:p>
        </w:tc>
        <w:tc>
          <w:tcPr>
            <w:tcW w:w="1184" w:type="dxa"/>
            <w:vAlign w:val="center"/>
          </w:tcPr>
          <w:p w14:paraId="55D9960C">
            <w:pPr>
              <w:widowControl/>
              <w:jc w:val="right"/>
              <w:rPr>
                <w:rFonts w:ascii="宋体" w:hAnsi="宋体" w:cs="宋体"/>
                <w:kern w:val="0"/>
                <w:szCs w:val="21"/>
              </w:rPr>
            </w:pPr>
          </w:p>
        </w:tc>
      </w:tr>
      <w:tr w14:paraId="2E04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39F00EA3">
            <w:pPr>
              <w:rPr>
                <w:rFonts w:ascii="宋体" w:hAnsi="宋体" w:cs="宋体"/>
                <w:kern w:val="0"/>
                <w:szCs w:val="21"/>
              </w:rPr>
            </w:pPr>
            <w:r>
              <w:rPr>
                <w:rFonts w:hint="eastAsia"/>
                <w:bCs/>
                <w:szCs w:val="32"/>
              </w:rPr>
              <w:t>精神文明建设工作</w:t>
            </w:r>
          </w:p>
        </w:tc>
        <w:tc>
          <w:tcPr>
            <w:tcW w:w="993" w:type="dxa"/>
            <w:shd w:val="clear" w:color="auto" w:fill="auto"/>
            <w:vAlign w:val="center"/>
          </w:tcPr>
          <w:p w14:paraId="73BE3ED0">
            <w:pPr>
              <w:widowControl/>
              <w:jc w:val="right"/>
              <w:rPr>
                <w:rFonts w:ascii="宋体" w:hAnsi="宋体" w:cs="宋体"/>
                <w:kern w:val="0"/>
                <w:szCs w:val="21"/>
              </w:rPr>
            </w:pPr>
            <w:r>
              <w:rPr>
                <w:rFonts w:hint="eastAsia" w:ascii="宋体" w:hAnsi="宋体" w:cs="宋体"/>
                <w:kern w:val="0"/>
                <w:szCs w:val="21"/>
              </w:rPr>
              <w:t xml:space="preserve">55.00 </w:t>
            </w:r>
          </w:p>
        </w:tc>
        <w:tc>
          <w:tcPr>
            <w:tcW w:w="850" w:type="dxa"/>
            <w:shd w:val="clear" w:color="auto" w:fill="auto"/>
            <w:vAlign w:val="center"/>
          </w:tcPr>
          <w:p w14:paraId="68F30544">
            <w:pPr>
              <w:widowControl/>
              <w:jc w:val="right"/>
              <w:rPr>
                <w:rFonts w:ascii="宋体" w:hAnsi="宋体" w:cs="宋体"/>
                <w:kern w:val="0"/>
                <w:szCs w:val="21"/>
              </w:rPr>
            </w:pPr>
            <w:r>
              <w:rPr>
                <w:rFonts w:hint="eastAsia" w:ascii="宋体" w:hAnsi="宋体" w:cs="宋体"/>
                <w:kern w:val="0"/>
                <w:szCs w:val="21"/>
              </w:rPr>
              <w:t xml:space="preserve">2.39 </w:t>
            </w:r>
          </w:p>
        </w:tc>
        <w:tc>
          <w:tcPr>
            <w:tcW w:w="1038" w:type="dxa"/>
            <w:shd w:val="clear" w:color="auto" w:fill="auto"/>
            <w:vAlign w:val="center"/>
          </w:tcPr>
          <w:p w14:paraId="4772F58D">
            <w:pPr>
              <w:widowControl/>
              <w:jc w:val="right"/>
              <w:rPr>
                <w:rFonts w:ascii="宋体" w:hAnsi="宋体" w:cs="宋体"/>
                <w:kern w:val="0"/>
                <w:szCs w:val="21"/>
              </w:rPr>
            </w:pPr>
            <w:r>
              <w:rPr>
                <w:rFonts w:hint="eastAsia" w:ascii="宋体" w:hAnsi="宋体" w:cs="宋体"/>
                <w:kern w:val="0"/>
                <w:szCs w:val="21"/>
              </w:rPr>
              <w:t xml:space="preserve">28.36 </w:t>
            </w:r>
          </w:p>
        </w:tc>
        <w:tc>
          <w:tcPr>
            <w:tcW w:w="851" w:type="dxa"/>
            <w:shd w:val="clear" w:color="auto" w:fill="auto"/>
            <w:vAlign w:val="center"/>
          </w:tcPr>
          <w:p w14:paraId="435B9A53">
            <w:pPr>
              <w:widowControl/>
              <w:jc w:val="right"/>
              <w:rPr>
                <w:rFonts w:ascii="宋体" w:hAnsi="宋体" w:cs="宋体"/>
                <w:kern w:val="0"/>
                <w:szCs w:val="21"/>
              </w:rPr>
            </w:pPr>
            <w:r>
              <w:rPr>
                <w:rFonts w:hint="eastAsia" w:ascii="宋体" w:hAnsi="宋体" w:cs="宋体"/>
                <w:kern w:val="0"/>
                <w:szCs w:val="21"/>
              </w:rPr>
              <w:t xml:space="preserve">1.27 </w:t>
            </w:r>
          </w:p>
        </w:tc>
        <w:tc>
          <w:tcPr>
            <w:tcW w:w="1321" w:type="dxa"/>
            <w:shd w:val="clear" w:color="auto" w:fill="auto"/>
            <w:vAlign w:val="center"/>
          </w:tcPr>
          <w:p w14:paraId="0AFF97EA">
            <w:pPr>
              <w:widowControl/>
              <w:jc w:val="right"/>
              <w:rPr>
                <w:rFonts w:ascii="宋体" w:hAnsi="宋体" w:cs="宋体"/>
                <w:kern w:val="0"/>
                <w:szCs w:val="21"/>
              </w:rPr>
            </w:pPr>
            <w:r>
              <w:rPr>
                <w:rFonts w:hint="eastAsia" w:ascii="宋体" w:hAnsi="宋体" w:cs="宋体"/>
                <w:kern w:val="0"/>
                <w:szCs w:val="21"/>
              </w:rPr>
              <w:t xml:space="preserve">-26.64 </w:t>
            </w:r>
          </w:p>
        </w:tc>
        <w:tc>
          <w:tcPr>
            <w:tcW w:w="1184" w:type="dxa"/>
            <w:vAlign w:val="center"/>
          </w:tcPr>
          <w:p w14:paraId="2C2EAED9">
            <w:pPr>
              <w:widowControl/>
              <w:jc w:val="right"/>
              <w:rPr>
                <w:rFonts w:ascii="宋体" w:hAnsi="宋体" w:cs="宋体"/>
                <w:kern w:val="0"/>
                <w:szCs w:val="21"/>
              </w:rPr>
            </w:pPr>
            <w:r>
              <w:rPr>
                <w:rFonts w:hint="eastAsia" w:ascii="宋体" w:hAnsi="宋体" w:cs="宋体"/>
                <w:kern w:val="0"/>
                <w:szCs w:val="21"/>
              </w:rPr>
              <w:t>－48.44</w:t>
            </w:r>
          </w:p>
        </w:tc>
      </w:tr>
      <w:tr w14:paraId="5585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47634EC4">
            <w:pPr>
              <w:rPr>
                <w:bCs/>
                <w:szCs w:val="32"/>
              </w:rPr>
            </w:pPr>
            <w:r>
              <w:rPr>
                <w:rFonts w:hint="eastAsia"/>
                <w:bCs/>
                <w:szCs w:val="32"/>
              </w:rPr>
              <w:t>其他支出</w:t>
            </w:r>
          </w:p>
        </w:tc>
        <w:tc>
          <w:tcPr>
            <w:tcW w:w="993" w:type="dxa"/>
            <w:shd w:val="clear" w:color="auto" w:fill="auto"/>
            <w:vAlign w:val="center"/>
          </w:tcPr>
          <w:p w14:paraId="5CD2E3C3">
            <w:pPr>
              <w:widowControl/>
              <w:jc w:val="right"/>
              <w:rPr>
                <w:rFonts w:ascii="宋体" w:hAnsi="宋体" w:cs="宋体"/>
                <w:kern w:val="0"/>
                <w:szCs w:val="21"/>
              </w:rPr>
            </w:pPr>
          </w:p>
        </w:tc>
        <w:tc>
          <w:tcPr>
            <w:tcW w:w="850" w:type="dxa"/>
            <w:shd w:val="clear" w:color="auto" w:fill="auto"/>
            <w:vAlign w:val="center"/>
          </w:tcPr>
          <w:p w14:paraId="0F135802">
            <w:pPr>
              <w:widowControl/>
              <w:jc w:val="right"/>
              <w:rPr>
                <w:rFonts w:ascii="宋体" w:hAnsi="宋体" w:cs="宋体"/>
                <w:kern w:val="0"/>
                <w:szCs w:val="21"/>
              </w:rPr>
            </w:pPr>
          </w:p>
        </w:tc>
        <w:tc>
          <w:tcPr>
            <w:tcW w:w="1038" w:type="dxa"/>
            <w:shd w:val="clear" w:color="auto" w:fill="auto"/>
            <w:vAlign w:val="center"/>
          </w:tcPr>
          <w:p w14:paraId="2CD97661">
            <w:pPr>
              <w:widowControl/>
              <w:jc w:val="right"/>
              <w:rPr>
                <w:rFonts w:ascii="宋体" w:hAnsi="宋体" w:cs="宋体"/>
                <w:kern w:val="0"/>
                <w:szCs w:val="21"/>
              </w:rPr>
            </w:pPr>
            <w:r>
              <w:rPr>
                <w:rFonts w:hint="eastAsia" w:ascii="宋体" w:hAnsi="宋体" w:cs="宋体"/>
                <w:kern w:val="0"/>
                <w:szCs w:val="21"/>
              </w:rPr>
              <w:t xml:space="preserve">88.71 </w:t>
            </w:r>
          </w:p>
        </w:tc>
        <w:tc>
          <w:tcPr>
            <w:tcW w:w="851" w:type="dxa"/>
            <w:shd w:val="clear" w:color="auto" w:fill="auto"/>
            <w:vAlign w:val="center"/>
          </w:tcPr>
          <w:p w14:paraId="1D939BA3">
            <w:pPr>
              <w:widowControl/>
              <w:jc w:val="right"/>
              <w:rPr>
                <w:rFonts w:ascii="宋体" w:hAnsi="宋体" w:cs="宋体"/>
                <w:kern w:val="0"/>
                <w:szCs w:val="21"/>
              </w:rPr>
            </w:pPr>
            <w:r>
              <w:rPr>
                <w:rFonts w:hint="eastAsia" w:ascii="宋体" w:hAnsi="宋体" w:cs="宋体"/>
                <w:kern w:val="0"/>
                <w:szCs w:val="21"/>
              </w:rPr>
              <w:t xml:space="preserve">3.98 </w:t>
            </w:r>
          </w:p>
        </w:tc>
        <w:tc>
          <w:tcPr>
            <w:tcW w:w="1321" w:type="dxa"/>
            <w:shd w:val="clear" w:color="auto" w:fill="auto"/>
            <w:vAlign w:val="center"/>
          </w:tcPr>
          <w:p w14:paraId="71C6538F">
            <w:pPr>
              <w:widowControl/>
              <w:jc w:val="right"/>
              <w:rPr>
                <w:rFonts w:ascii="宋体" w:hAnsi="宋体" w:cs="宋体"/>
                <w:kern w:val="0"/>
                <w:szCs w:val="21"/>
              </w:rPr>
            </w:pPr>
            <w:r>
              <w:rPr>
                <w:rFonts w:hint="eastAsia" w:ascii="宋体" w:hAnsi="宋体" w:cs="宋体"/>
                <w:kern w:val="0"/>
                <w:szCs w:val="21"/>
              </w:rPr>
              <w:t xml:space="preserve">88.71 </w:t>
            </w:r>
          </w:p>
        </w:tc>
        <w:tc>
          <w:tcPr>
            <w:tcW w:w="1184" w:type="dxa"/>
            <w:vAlign w:val="center"/>
          </w:tcPr>
          <w:p w14:paraId="4F03BDFF">
            <w:pPr>
              <w:widowControl/>
              <w:jc w:val="right"/>
              <w:rPr>
                <w:rFonts w:ascii="宋体" w:hAnsi="宋体" w:cs="宋体"/>
                <w:kern w:val="0"/>
                <w:szCs w:val="21"/>
              </w:rPr>
            </w:pPr>
          </w:p>
        </w:tc>
      </w:tr>
      <w:tr w14:paraId="036D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829" w:type="dxa"/>
            <w:shd w:val="clear" w:color="auto" w:fill="auto"/>
            <w:vAlign w:val="center"/>
          </w:tcPr>
          <w:p w14:paraId="171B9E3E">
            <w:pPr>
              <w:widowControl/>
              <w:jc w:val="left"/>
              <w:rPr>
                <w:rFonts w:ascii="宋体" w:hAnsi="宋体" w:cs="宋体"/>
                <w:kern w:val="0"/>
                <w:szCs w:val="21"/>
              </w:rPr>
            </w:pPr>
            <w:r>
              <w:rPr>
                <w:rFonts w:hint="eastAsia" w:ascii="宋体" w:hAnsi="宋体" w:cs="宋体"/>
                <w:kern w:val="0"/>
                <w:szCs w:val="21"/>
              </w:rPr>
              <w:t>　小计</w:t>
            </w:r>
          </w:p>
        </w:tc>
        <w:tc>
          <w:tcPr>
            <w:tcW w:w="993" w:type="dxa"/>
            <w:shd w:val="clear" w:color="auto" w:fill="auto"/>
            <w:vAlign w:val="center"/>
          </w:tcPr>
          <w:p w14:paraId="1A5FC132">
            <w:pPr>
              <w:widowControl/>
              <w:jc w:val="right"/>
              <w:rPr>
                <w:rFonts w:ascii="宋体" w:hAnsi="宋体" w:cs="宋体"/>
                <w:kern w:val="0"/>
                <w:szCs w:val="21"/>
              </w:rPr>
            </w:pPr>
            <w:r>
              <w:rPr>
                <w:rFonts w:hint="eastAsia" w:ascii="宋体" w:hAnsi="宋体" w:cs="宋体"/>
                <w:kern w:val="0"/>
                <w:szCs w:val="21"/>
              </w:rPr>
              <w:t xml:space="preserve">2,297.46 </w:t>
            </w:r>
          </w:p>
        </w:tc>
        <w:tc>
          <w:tcPr>
            <w:tcW w:w="850" w:type="dxa"/>
            <w:shd w:val="clear" w:color="auto" w:fill="auto"/>
            <w:vAlign w:val="center"/>
          </w:tcPr>
          <w:p w14:paraId="088EB653">
            <w:pPr>
              <w:widowControl/>
              <w:jc w:val="right"/>
              <w:rPr>
                <w:rFonts w:ascii="宋体" w:hAnsi="宋体" w:cs="宋体"/>
                <w:kern w:val="0"/>
                <w:szCs w:val="21"/>
              </w:rPr>
            </w:pPr>
            <w:r>
              <w:rPr>
                <w:rFonts w:hint="eastAsia" w:ascii="宋体" w:hAnsi="宋体" w:cs="宋体"/>
                <w:kern w:val="0"/>
                <w:szCs w:val="21"/>
              </w:rPr>
              <w:t xml:space="preserve">100.00 </w:t>
            </w:r>
          </w:p>
        </w:tc>
        <w:tc>
          <w:tcPr>
            <w:tcW w:w="1038" w:type="dxa"/>
            <w:shd w:val="clear" w:color="auto" w:fill="auto"/>
            <w:vAlign w:val="center"/>
          </w:tcPr>
          <w:p w14:paraId="1D9C0E9B">
            <w:pPr>
              <w:widowControl/>
              <w:jc w:val="right"/>
              <w:rPr>
                <w:rFonts w:ascii="宋体" w:hAnsi="宋体" w:cs="宋体"/>
                <w:kern w:val="0"/>
                <w:szCs w:val="21"/>
              </w:rPr>
            </w:pPr>
            <w:r>
              <w:rPr>
                <w:rFonts w:hint="eastAsia" w:ascii="宋体" w:hAnsi="宋体" w:cs="宋体"/>
                <w:kern w:val="0"/>
                <w:szCs w:val="21"/>
              </w:rPr>
              <w:t xml:space="preserve">2,228.43 </w:t>
            </w:r>
          </w:p>
        </w:tc>
        <w:tc>
          <w:tcPr>
            <w:tcW w:w="851" w:type="dxa"/>
            <w:shd w:val="clear" w:color="auto" w:fill="auto"/>
            <w:vAlign w:val="center"/>
          </w:tcPr>
          <w:p w14:paraId="44EAC8DB">
            <w:pPr>
              <w:widowControl/>
              <w:jc w:val="right"/>
              <w:rPr>
                <w:rFonts w:ascii="宋体" w:hAnsi="宋体" w:cs="宋体"/>
                <w:kern w:val="0"/>
                <w:szCs w:val="21"/>
              </w:rPr>
            </w:pPr>
            <w:r>
              <w:rPr>
                <w:rFonts w:hint="eastAsia" w:ascii="宋体" w:hAnsi="宋体" w:cs="宋体"/>
                <w:kern w:val="0"/>
                <w:szCs w:val="21"/>
              </w:rPr>
              <w:t xml:space="preserve">100.00 </w:t>
            </w:r>
          </w:p>
        </w:tc>
        <w:tc>
          <w:tcPr>
            <w:tcW w:w="1321" w:type="dxa"/>
            <w:shd w:val="clear" w:color="auto" w:fill="auto"/>
            <w:vAlign w:val="center"/>
          </w:tcPr>
          <w:p w14:paraId="7D6FC079">
            <w:pPr>
              <w:widowControl/>
              <w:jc w:val="right"/>
              <w:rPr>
                <w:rFonts w:ascii="宋体" w:hAnsi="宋体" w:cs="宋体"/>
                <w:kern w:val="0"/>
                <w:szCs w:val="21"/>
              </w:rPr>
            </w:pPr>
            <w:r>
              <w:rPr>
                <w:rFonts w:hint="eastAsia" w:ascii="宋体" w:hAnsi="宋体" w:cs="宋体"/>
                <w:kern w:val="0"/>
                <w:szCs w:val="21"/>
              </w:rPr>
              <w:t xml:space="preserve">    -69.03 </w:t>
            </w:r>
          </w:p>
        </w:tc>
        <w:tc>
          <w:tcPr>
            <w:tcW w:w="1184" w:type="dxa"/>
            <w:vAlign w:val="center"/>
          </w:tcPr>
          <w:p w14:paraId="770B05ED">
            <w:pPr>
              <w:widowControl/>
              <w:jc w:val="right"/>
              <w:rPr>
                <w:rFonts w:ascii="宋体" w:hAnsi="宋体" w:cs="宋体"/>
                <w:kern w:val="0"/>
                <w:szCs w:val="21"/>
              </w:rPr>
            </w:pPr>
            <w:r>
              <w:rPr>
                <w:rFonts w:hint="eastAsia" w:ascii="宋体" w:hAnsi="宋体" w:cs="宋体"/>
                <w:kern w:val="0"/>
                <w:szCs w:val="21"/>
              </w:rPr>
              <w:t xml:space="preserve">     -0.04 </w:t>
            </w:r>
          </w:p>
        </w:tc>
      </w:tr>
    </w:tbl>
    <w:p w14:paraId="052A6F17">
      <w:pPr>
        <w:spacing w:line="360" w:lineRule="auto"/>
        <w:ind w:firstLine="560" w:firstLineChars="200"/>
        <w:rPr>
          <w:rFonts w:ascii="楷体_GB2312" w:eastAsia="楷体_GB2312"/>
          <w:sz w:val="28"/>
        </w:rPr>
      </w:pPr>
      <w:r>
        <w:rPr>
          <w:rFonts w:hint="eastAsia" w:ascii="楷体_GB2312" w:eastAsia="楷体_GB2312"/>
          <w:sz w:val="28"/>
        </w:rPr>
        <w:t>（二）部门整体支出预算绩效目标的完成情况</w:t>
      </w:r>
    </w:p>
    <w:p w14:paraId="689B85FC">
      <w:pPr>
        <w:spacing w:line="360" w:lineRule="auto"/>
        <w:ind w:firstLine="560" w:firstLineChars="200"/>
        <w:rPr>
          <w:sz w:val="28"/>
        </w:rPr>
      </w:pPr>
      <w:r>
        <w:rPr>
          <w:rFonts w:hint="eastAsia"/>
          <w:sz w:val="28"/>
        </w:rPr>
        <w:t>依据年初《项目绩效目标编制说明》，结合2017年度项目实际实施情况，对部分绩效指标做出相应的调整，以期更准确、更有效地反映本项目的绩效情况，具体情况如下表《项目预算绩效评价表》。</w:t>
      </w:r>
    </w:p>
    <w:p w14:paraId="2E27037D">
      <w:pPr>
        <w:spacing w:line="360" w:lineRule="auto"/>
        <w:ind w:firstLine="560" w:firstLineChars="200"/>
        <w:rPr>
          <w:sz w:val="28"/>
        </w:rPr>
      </w:pPr>
      <w:r>
        <w:rPr>
          <w:rFonts w:hint="eastAsia"/>
          <w:sz w:val="28"/>
        </w:rPr>
        <w:t>根据项目特点，分四个方面综合评价“九峰街道办事处计生事业经费”绩效，并采用百分制予以量化，四个方面及其分值权重如下：</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E645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4" w:type="dxa"/>
            <w:shd w:val="clear" w:color="auto" w:fill="auto"/>
            <w:vAlign w:val="center"/>
          </w:tcPr>
          <w:p w14:paraId="0A22152C">
            <w:pPr>
              <w:spacing w:line="360" w:lineRule="auto"/>
              <w:jc w:val="center"/>
              <w:rPr>
                <w:sz w:val="22"/>
              </w:rPr>
            </w:pPr>
            <w:bookmarkStart w:id="0" w:name="_Hlk515279956"/>
            <w:r>
              <w:rPr>
                <w:rFonts w:hint="eastAsia"/>
                <w:sz w:val="22"/>
              </w:rPr>
              <w:t>项目投入</w:t>
            </w:r>
          </w:p>
        </w:tc>
        <w:tc>
          <w:tcPr>
            <w:tcW w:w="1704" w:type="dxa"/>
            <w:shd w:val="clear" w:color="auto" w:fill="auto"/>
            <w:vAlign w:val="center"/>
          </w:tcPr>
          <w:p w14:paraId="2E6E09EC">
            <w:pPr>
              <w:spacing w:line="360" w:lineRule="auto"/>
              <w:jc w:val="center"/>
              <w:rPr>
                <w:sz w:val="22"/>
              </w:rPr>
            </w:pPr>
            <w:r>
              <w:rPr>
                <w:rFonts w:hint="eastAsia"/>
                <w:sz w:val="22"/>
              </w:rPr>
              <w:t>过程管理</w:t>
            </w:r>
          </w:p>
        </w:tc>
        <w:tc>
          <w:tcPr>
            <w:tcW w:w="1704" w:type="dxa"/>
            <w:shd w:val="clear" w:color="auto" w:fill="auto"/>
            <w:vAlign w:val="center"/>
          </w:tcPr>
          <w:p w14:paraId="2CF7B58A">
            <w:pPr>
              <w:spacing w:line="360" w:lineRule="auto"/>
              <w:jc w:val="center"/>
              <w:rPr>
                <w:sz w:val="22"/>
              </w:rPr>
            </w:pPr>
            <w:r>
              <w:rPr>
                <w:rFonts w:hint="eastAsia"/>
                <w:sz w:val="22"/>
              </w:rPr>
              <w:t>项目产出</w:t>
            </w:r>
          </w:p>
        </w:tc>
        <w:tc>
          <w:tcPr>
            <w:tcW w:w="1705" w:type="dxa"/>
            <w:shd w:val="clear" w:color="auto" w:fill="auto"/>
            <w:vAlign w:val="center"/>
          </w:tcPr>
          <w:p w14:paraId="2B0869FD">
            <w:pPr>
              <w:spacing w:line="360" w:lineRule="auto"/>
              <w:jc w:val="center"/>
              <w:rPr>
                <w:sz w:val="22"/>
              </w:rPr>
            </w:pPr>
            <w:r>
              <w:rPr>
                <w:rFonts w:hint="eastAsia"/>
                <w:sz w:val="22"/>
              </w:rPr>
              <w:t>项目效果</w:t>
            </w:r>
          </w:p>
        </w:tc>
        <w:tc>
          <w:tcPr>
            <w:tcW w:w="1705" w:type="dxa"/>
            <w:shd w:val="clear" w:color="auto" w:fill="auto"/>
            <w:vAlign w:val="center"/>
          </w:tcPr>
          <w:p w14:paraId="282D6372">
            <w:pPr>
              <w:spacing w:line="360" w:lineRule="auto"/>
              <w:jc w:val="center"/>
              <w:rPr>
                <w:sz w:val="22"/>
              </w:rPr>
            </w:pPr>
            <w:r>
              <w:rPr>
                <w:rFonts w:hint="eastAsia"/>
                <w:sz w:val="22"/>
              </w:rPr>
              <w:t>合计</w:t>
            </w:r>
          </w:p>
        </w:tc>
      </w:tr>
      <w:tr w14:paraId="3FBC9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4" w:type="dxa"/>
            <w:shd w:val="clear" w:color="auto" w:fill="auto"/>
            <w:vAlign w:val="center"/>
          </w:tcPr>
          <w:p w14:paraId="714439DE">
            <w:pPr>
              <w:spacing w:line="360" w:lineRule="auto"/>
              <w:jc w:val="center"/>
              <w:rPr>
                <w:sz w:val="22"/>
              </w:rPr>
            </w:pPr>
            <w:r>
              <w:rPr>
                <w:rFonts w:hint="eastAsia"/>
                <w:sz w:val="22"/>
              </w:rPr>
              <w:t>2</w:t>
            </w:r>
            <w:r>
              <w:rPr>
                <w:sz w:val="22"/>
              </w:rPr>
              <w:t>0</w:t>
            </w:r>
          </w:p>
        </w:tc>
        <w:tc>
          <w:tcPr>
            <w:tcW w:w="1704" w:type="dxa"/>
            <w:shd w:val="clear" w:color="auto" w:fill="auto"/>
            <w:vAlign w:val="center"/>
          </w:tcPr>
          <w:p w14:paraId="508E8F7F">
            <w:pPr>
              <w:spacing w:line="360" w:lineRule="auto"/>
              <w:jc w:val="center"/>
              <w:rPr>
                <w:sz w:val="22"/>
              </w:rPr>
            </w:pPr>
            <w:r>
              <w:rPr>
                <w:rFonts w:hint="eastAsia"/>
                <w:sz w:val="22"/>
              </w:rPr>
              <w:t>2</w:t>
            </w:r>
            <w:r>
              <w:rPr>
                <w:sz w:val="22"/>
              </w:rPr>
              <w:t>0</w:t>
            </w:r>
          </w:p>
        </w:tc>
        <w:tc>
          <w:tcPr>
            <w:tcW w:w="1704" w:type="dxa"/>
            <w:shd w:val="clear" w:color="auto" w:fill="auto"/>
            <w:vAlign w:val="center"/>
          </w:tcPr>
          <w:p w14:paraId="604AFE5D">
            <w:pPr>
              <w:spacing w:line="360" w:lineRule="auto"/>
              <w:jc w:val="center"/>
              <w:rPr>
                <w:sz w:val="22"/>
              </w:rPr>
            </w:pPr>
            <w:r>
              <w:rPr>
                <w:rFonts w:hint="eastAsia"/>
                <w:sz w:val="22"/>
              </w:rPr>
              <w:t>3</w:t>
            </w:r>
            <w:r>
              <w:rPr>
                <w:sz w:val="22"/>
              </w:rPr>
              <w:t>0</w:t>
            </w:r>
          </w:p>
        </w:tc>
        <w:tc>
          <w:tcPr>
            <w:tcW w:w="1705" w:type="dxa"/>
            <w:shd w:val="clear" w:color="auto" w:fill="auto"/>
            <w:vAlign w:val="center"/>
          </w:tcPr>
          <w:p w14:paraId="25A84C98">
            <w:pPr>
              <w:spacing w:line="360" w:lineRule="auto"/>
              <w:jc w:val="center"/>
              <w:rPr>
                <w:sz w:val="22"/>
              </w:rPr>
            </w:pPr>
            <w:r>
              <w:rPr>
                <w:rFonts w:hint="eastAsia"/>
                <w:sz w:val="22"/>
              </w:rPr>
              <w:t>3</w:t>
            </w:r>
            <w:r>
              <w:rPr>
                <w:sz w:val="22"/>
              </w:rPr>
              <w:t>0</w:t>
            </w:r>
          </w:p>
        </w:tc>
        <w:tc>
          <w:tcPr>
            <w:tcW w:w="1705" w:type="dxa"/>
            <w:shd w:val="clear" w:color="auto" w:fill="auto"/>
            <w:vAlign w:val="center"/>
          </w:tcPr>
          <w:p w14:paraId="6E0EBD09">
            <w:pPr>
              <w:spacing w:line="360" w:lineRule="auto"/>
              <w:jc w:val="center"/>
              <w:rPr>
                <w:sz w:val="22"/>
              </w:rPr>
            </w:pPr>
            <w:r>
              <w:rPr>
                <w:rFonts w:hint="eastAsia"/>
                <w:sz w:val="22"/>
              </w:rPr>
              <w:t>1</w:t>
            </w:r>
            <w:r>
              <w:rPr>
                <w:sz w:val="22"/>
              </w:rPr>
              <w:t>00</w:t>
            </w:r>
          </w:p>
        </w:tc>
      </w:tr>
      <w:bookmarkEnd w:id="0"/>
    </w:tbl>
    <w:p w14:paraId="78AF15AE">
      <w:pPr>
        <w:spacing w:line="360" w:lineRule="auto"/>
        <w:ind w:firstLine="560" w:firstLineChars="200"/>
        <w:rPr>
          <w:sz w:val="28"/>
        </w:rPr>
      </w:pPr>
      <w:r>
        <w:rPr>
          <w:rFonts w:hint="eastAsia"/>
          <w:sz w:val="28"/>
        </w:rPr>
        <w:t>根据分值将评价结果分为以下几个等级：</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670CB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4" w:type="dxa"/>
            <w:shd w:val="clear" w:color="auto" w:fill="auto"/>
            <w:vAlign w:val="center"/>
          </w:tcPr>
          <w:p w14:paraId="5D4ABF80">
            <w:pPr>
              <w:spacing w:line="360" w:lineRule="auto"/>
              <w:jc w:val="center"/>
              <w:rPr>
                <w:sz w:val="22"/>
              </w:rPr>
            </w:pPr>
            <w:r>
              <w:rPr>
                <w:rFonts w:hint="eastAsia"/>
                <w:sz w:val="22"/>
              </w:rPr>
              <w:t>分值区间</w:t>
            </w:r>
          </w:p>
        </w:tc>
        <w:tc>
          <w:tcPr>
            <w:tcW w:w="1704" w:type="dxa"/>
            <w:shd w:val="clear" w:color="auto" w:fill="auto"/>
            <w:vAlign w:val="center"/>
          </w:tcPr>
          <w:p w14:paraId="7EBBE8E9">
            <w:pPr>
              <w:spacing w:line="360" w:lineRule="auto"/>
              <w:jc w:val="center"/>
              <w:rPr>
                <w:sz w:val="22"/>
              </w:rPr>
            </w:pPr>
            <w:r>
              <w:rPr>
                <w:rFonts w:hint="eastAsia"/>
                <w:sz w:val="22"/>
              </w:rPr>
              <w:t>【1</w:t>
            </w:r>
            <w:r>
              <w:rPr>
                <w:sz w:val="22"/>
              </w:rPr>
              <w:t>00</w:t>
            </w:r>
            <w:r>
              <w:rPr>
                <w:rFonts w:hint="eastAsia"/>
                <w:sz w:val="22"/>
              </w:rPr>
              <w:t>，9</w:t>
            </w:r>
            <w:r>
              <w:rPr>
                <w:sz w:val="22"/>
              </w:rPr>
              <w:t>0</w:t>
            </w:r>
            <w:r>
              <w:rPr>
                <w:rFonts w:hint="eastAsia"/>
                <w:sz w:val="22"/>
              </w:rPr>
              <w:t>】</w:t>
            </w:r>
          </w:p>
        </w:tc>
        <w:tc>
          <w:tcPr>
            <w:tcW w:w="1704" w:type="dxa"/>
            <w:shd w:val="clear" w:color="auto" w:fill="auto"/>
            <w:vAlign w:val="center"/>
          </w:tcPr>
          <w:p w14:paraId="62862648">
            <w:pPr>
              <w:spacing w:line="360" w:lineRule="auto"/>
              <w:jc w:val="center"/>
              <w:rPr>
                <w:sz w:val="22"/>
              </w:rPr>
            </w:pPr>
            <w:r>
              <w:rPr>
                <w:rFonts w:hint="eastAsia"/>
                <w:sz w:val="22"/>
              </w:rPr>
              <w:t>（9</w:t>
            </w:r>
            <w:r>
              <w:rPr>
                <w:sz w:val="22"/>
              </w:rPr>
              <w:t>0</w:t>
            </w:r>
            <w:r>
              <w:rPr>
                <w:rFonts w:hint="eastAsia"/>
                <w:sz w:val="22"/>
              </w:rPr>
              <w:t>，8</w:t>
            </w:r>
            <w:r>
              <w:rPr>
                <w:sz w:val="22"/>
              </w:rPr>
              <w:t>0</w:t>
            </w:r>
            <w:r>
              <w:rPr>
                <w:rFonts w:hint="eastAsia"/>
                <w:sz w:val="22"/>
              </w:rPr>
              <w:t>】</w:t>
            </w:r>
          </w:p>
        </w:tc>
        <w:tc>
          <w:tcPr>
            <w:tcW w:w="1705" w:type="dxa"/>
            <w:shd w:val="clear" w:color="auto" w:fill="auto"/>
            <w:vAlign w:val="center"/>
          </w:tcPr>
          <w:p w14:paraId="391A870B">
            <w:pPr>
              <w:spacing w:line="360" w:lineRule="auto"/>
              <w:jc w:val="center"/>
              <w:rPr>
                <w:sz w:val="22"/>
              </w:rPr>
            </w:pPr>
            <w:r>
              <w:rPr>
                <w:rFonts w:hint="eastAsia"/>
                <w:sz w:val="22"/>
              </w:rPr>
              <w:t>（8</w:t>
            </w:r>
            <w:r>
              <w:rPr>
                <w:sz w:val="22"/>
              </w:rPr>
              <w:t>0</w:t>
            </w:r>
            <w:r>
              <w:rPr>
                <w:rFonts w:hint="eastAsia"/>
                <w:sz w:val="22"/>
              </w:rPr>
              <w:t>，6</w:t>
            </w:r>
            <w:r>
              <w:rPr>
                <w:sz w:val="22"/>
              </w:rPr>
              <w:t>0</w:t>
            </w:r>
            <w:r>
              <w:rPr>
                <w:rFonts w:hint="eastAsia"/>
                <w:sz w:val="22"/>
              </w:rPr>
              <w:t>】</w:t>
            </w:r>
          </w:p>
        </w:tc>
        <w:tc>
          <w:tcPr>
            <w:tcW w:w="1705" w:type="dxa"/>
            <w:shd w:val="clear" w:color="auto" w:fill="auto"/>
            <w:vAlign w:val="center"/>
          </w:tcPr>
          <w:p w14:paraId="511B1424">
            <w:pPr>
              <w:spacing w:line="360" w:lineRule="auto"/>
              <w:jc w:val="center"/>
              <w:rPr>
                <w:sz w:val="22"/>
              </w:rPr>
            </w:pPr>
            <w:r>
              <w:rPr>
                <w:rFonts w:hint="eastAsia"/>
                <w:sz w:val="22"/>
              </w:rPr>
              <w:t>（</w:t>
            </w:r>
            <w:r>
              <w:rPr>
                <w:sz w:val="22"/>
              </w:rPr>
              <w:t>60</w:t>
            </w:r>
            <w:r>
              <w:rPr>
                <w:rFonts w:hint="eastAsia"/>
                <w:sz w:val="22"/>
              </w:rPr>
              <w:t>，</w:t>
            </w:r>
            <w:r>
              <w:rPr>
                <w:sz w:val="22"/>
              </w:rPr>
              <w:t>0</w:t>
            </w:r>
            <w:r>
              <w:rPr>
                <w:rFonts w:hint="eastAsia"/>
                <w:sz w:val="22"/>
              </w:rPr>
              <w:t>】</w:t>
            </w:r>
          </w:p>
        </w:tc>
      </w:tr>
      <w:tr w14:paraId="22435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4" w:type="dxa"/>
            <w:shd w:val="clear" w:color="auto" w:fill="auto"/>
            <w:vAlign w:val="center"/>
          </w:tcPr>
          <w:p w14:paraId="566DF97B">
            <w:pPr>
              <w:spacing w:line="360" w:lineRule="auto"/>
              <w:jc w:val="center"/>
              <w:rPr>
                <w:sz w:val="22"/>
              </w:rPr>
            </w:pPr>
            <w:r>
              <w:rPr>
                <w:rFonts w:hint="eastAsia"/>
                <w:sz w:val="22"/>
              </w:rPr>
              <w:t>等级</w:t>
            </w:r>
          </w:p>
        </w:tc>
        <w:tc>
          <w:tcPr>
            <w:tcW w:w="1704" w:type="dxa"/>
            <w:shd w:val="clear" w:color="auto" w:fill="auto"/>
            <w:vAlign w:val="center"/>
          </w:tcPr>
          <w:p w14:paraId="0F1F8DFC">
            <w:pPr>
              <w:spacing w:line="360" w:lineRule="auto"/>
              <w:jc w:val="center"/>
              <w:rPr>
                <w:sz w:val="22"/>
              </w:rPr>
            </w:pPr>
            <w:r>
              <w:rPr>
                <w:rFonts w:hint="eastAsia"/>
                <w:sz w:val="22"/>
              </w:rPr>
              <w:t>优秀</w:t>
            </w:r>
          </w:p>
        </w:tc>
        <w:tc>
          <w:tcPr>
            <w:tcW w:w="1704" w:type="dxa"/>
            <w:shd w:val="clear" w:color="auto" w:fill="auto"/>
            <w:vAlign w:val="center"/>
          </w:tcPr>
          <w:p w14:paraId="2F1761FB">
            <w:pPr>
              <w:spacing w:line="360" w:lineRule="auto"/>
              <w:jc w:val="center"/>
              <w:rPr>
                <w:sz w:val="22"/>
              </w:rPr>
            </w:pPr>
            <w:r>
              <w:rPr>
                <w:rFonts w:hint="eastAsia"/>
                <w:sz w:val="22"/>
              </w:rPr>
              <w:t>良好</w:t>
            </w:r>
          </w:p>
        </w:tc>
        <w:tc>
          <w:tcPr>
            <w:tcW w:w="1705" w:type="dxa"/>
            <w:shd w:val="clear" w:color="auto" w:fill="auto"/>
            <w:vAlign w:val="center"/>
          </w:tcPr>
          <w:p w14:paraId="5868F320">
            <w:pPr>
              <w:spacing w:line="360" w:lineRule="auto"/>
              <w:jc w:val="center"/>
              <w:rPr>
                <w:sz w:val="22"/>
              </w:rPr>
            </w:pPr>
            <w:r>
              <w:rPr>
                <w:rFonts w:hint="eastAsia"/>
                <w:sz w:val="22"/>
              </w:rPr>
              <w:t>一般</w:t>
            </w:r>
          </w:p>
        </w:tc>
        <w:tc>
          <w:tcPr>
            <w:tcW w:w="1705" w:type="dxa"/>
            <w:shd w:val="clear" w:color="auto" w:fill="auto"/>
            <w:vAlign w:val="center"/>
          </w:tcPr>
          <w:p w14:paraId="5DAE9D0C">
            <w:pPr>
              <w:spacing w:line="360" w:lineRule="auto"/>
              <w:jc w:val="center"/>
              <w:rPr>
                <w:sz w:val="22"/>
              </w:rPr>
            </w:pPr>
            <w:r>
              <w:rPr>
                <w:rFonts w:hint="eastAsia"/>
                <w:sz w:val="22"/>
              </w:rPr>
              <w:t>不合格</w:t>
            </w:r>
          </w:p>
        </w:tc>
      </w:tr>
    </w:tbl>
    <w:p w14:paraId="4BC59766">
      <w:pPr>
        <w:spacing w:line="360" w:lineRule="auto"/>
        <w:rPr>
          <w:rFonts w:hint="eastAsia"/>
          <w:sz w:val="28"/>
        </w:rPr>
        <w:sectPr>
          <w:pgSz w:w="11906" w:h="16838"/>
          <w:pgMar w:top="1440" w:right="1800" w:bottom="1440" w:left="1800" w:header="851" w:footer="992" w:gutter="0"/>
          <w:cols w:space="425" w:num="1"/>
          <w:docGrid w:type="lines" w:linePitch="312" w:charSpace="0"/>
        </w:sectPr>
      </w:pPr>
    </w:p>
    <w:p w14:paraId="636D799A">
      <w:pPr>
        <w:rPr>
          <w:rFonts w:ascii="Calibri" w:hAnsi="Calibri"/>
          <w:sz w:val="28"/>
        </w:rPr>
      </w:pPr>
      <w:r>
        <w:rPr>
          <w:rFonts w:hint="eastAsia" w:ascii="Calibri" w:hAnsi="Calibri"/>
          <w:sz w:val="28"/>
        </w:rPr>
        <w:t>表：项目预算绩效评价表</w:t>
      </w:r>
    </w:p>
    <w:tbl>
      <w:tblPr>
        <w:tblStyle w:val="5"/>
        <w:tblW w:w="8197" w:type="dxa"/>
        <w:jc w:val="right"/>
        <w:tblLayout w:type="fixed"/>
        <w:tblCellMar>
          <w:top w:w="0" w:type="dxa"/>
          <w:left w:w="108" w:type="dxa"/>
          <w:bottom w:w="0" w:type="dxa"/>
          <w:right w:w="108" w:type="dxa"/>
        </w:tblCellMar>
      </w:tblPr>
      <w:tblGrid>
        <w:gridCol w:w="847"/>
        <w:gridCol w:w="779"/>
        <w:gridCol w:w="1105"/>
        <w:gridCol w:w="2372"/>
        <w:gridCol w:w="2333"/>
        <w:gridCol w:w="761"/>
      </w:tblGrid>
      <w:tr w14:paraId="09C79B13">
        <w:tblPrEx>
          <w:tblCellMar>
            <w:top w:w="0" w:type="dxa"/>
            <w:left w:w="108" w:type="dxa"/>
            <w:bottom w:w="0" w:type="dxa"/>
            <w:right w:w="108" w:type="dxa"/>
          </w:tblCellMar>
        </w:tblPrEx>
        <w:trPr>
          <w:trHeight w:val="440" w:hRule="atLeast"/>
          <w:tblHeader/>
          <w:jc w:val="right"/>
        </w:trPr>
        <w:tc>
          <w:tcPr>
            <w:tcW w:w="847" w:type="dxa"/>
            <w:tcBorders>
              <w:top w:val="single" w:color="auto" w:sz="12" w:space="0"/>
              <w:left w:val="single" w:color="auto" w:sz="12" w:space="0"/>
              <w:bottom w:val="single" w:color="auto" w:sz="4" w:space="0"/>
              <w:right w:val="single" w:color="auto" w:sz="4" w:space="0"/>
            </w:tcBorders>
            <w:shd w:val="clear" w:color="auto" w:fill="auto"/>
            <w:vAlign w:val="center"/>
          </w:tcPr>
          <w:p w14:paraId="12FFED2E">
            <w:pPr>
              <w:widowControl/>
              <w:jc w:val="center"/>
              <w:rPr>
                <w:rFonts w:ascii="宋体" w:hAnsi="宋体" w:cs="宋体"/>
                <w:b/>
                <w:bCs/>
                <w:color w:val="000000"/>
                <w:kern w:val="0"/>
                <w:sz w:val="22"/>
              </w:rPr>
            </w:pPr>
            <w:r>
              <w:rPr>
                <w:rFonts w:hint="eastAsia" w:ascii="宋体" w:hAnsi="宋体" w:cs="宋体"/>
                <w:b/>
                <w:bCs/>
                <w:color w:val="000000"/>
                <w:kern w:val="0"/>
                <w:sz w:val="22"/>
              </w:rPr>
              <w:t>一级</w:t>
            </w:r>
          </w:p>
          <w:p w14:paraId="6629BE63">
            <w:pPr>
              <w:widowControl/>
              <w:jc w:val="center"/>
              <w:rPr>
                <w:rFonts w:ascii="宋体" w:hAnsi="宋体" w:cs="宋体"/>
                <w:b/>
                <w:bCs/>
                <w:color w:val="000000"/>
                <w:kern w:val="0"/>
                <w:sz w:val="22"/>
              </w:rPr>
            </w:pPr>
            <w:r>
              <w:rPr>
                <w:rFonts w:hint="eastAsia" w:ascii="宋体" w:hAnsi="宋体" w:cs="宋体"/>
                <w:b/>
                <w:bCs/>
                <w:color w:val="000000"/>
                <w:kern w:val="0"/>
                <w:sz w:val="22"/>
              </w:rPr>
              <w:t>指标</w:t>
            </w:r>
          </w:p>
        </w:tc>
        <w:tc>
          <w:tcPr>
            <w:tcW w:w="779" w:type="dxa"/>
            <w:tcBorders>
              <w:top w:val="single" w:color="auto" w:sz="12" w:space="0"/>
              <w:left w:val="nil"/>
              <w:bottom w:val="single" w:color="auto" w:sz="4" w:space="0"/>
              <w:right w:val="single" w:color="auto" w:sz="4" w:space="0"/>
            </w:tcBorders>
            <w:shd w:val="clear" w:color="auto" w:fill="auto"/>
            <w:vAlign w:val="center"/>
          </w:tcPr>
          <w:p w14:paraId="27904408">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105" w:type="dxa"/>
            <w:tcBorders>
              <w:top w:val="single" w:color="auto" w:sz="12" w:space="0"/>
              <w:left w:val="nil"/>
              <w:bottom w:val="single" w:color="auto" w:sz="4" w:space="0"/>
              <w:right w:val="single" w:color="auto" w:sz="4" w:space="0"/>
            </w:tcBorders>
            <w:shd w:val="clear" w:color="auto" w:fill="auto"/>
            <w:vAlign w:val="center"/>
          </w:tcPr>
          <w:p w14:paraId="7974CE6E">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372" w:type="dxa"/>
            <w:tcBorders>
              <w:top w:val="single" w:color="auto" w:sz="12" w:space="0"/>
              <w:left w:val="nil"/>
              <w:bottom w:val="single" w:color="auto" w:sz="4" w:space="0"/>
              <w:right w:val="single" w:color="auto" w:sz="4" w:space="0"/>
            </w:tcBorders>
            <w:shd w:val="clear" w:color="auto" w:fill="auto"/>
            <w:vAlign w:val="center"/>
          </w:tcPr>
          <w:p w14:paraId="079E22D3">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333" w:type="dxa"/>
            <w:tcBorders>
              <w:top w:val="single" w:color="auto" w:sz="12" w:space="0"/>
              <w:left w:val="nil"/>
              <w:bottom w:val="single" w:color="auto" w:sz="4" w:space="0"/>
              <w:right w:val="single" w:color="auto" w:sz="4" w:space="0"/>
            </w:tcBorders>
            <w:shd w:val="clear" w:color="auto" w:fill="auto"/>
            <w:vAlign w:val="center"/>
          </w:tcPr>
          <w:p w14:paraId="7A08DB37">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61" w:type="dxa"/>
            <w:tcBorders>
              <w:top w:val="single" w:color="auto" w:sz="12" w:space="0"/>
              <w:left w:val="nil"/>
              <w:bottom w:val="single" w:color="auto" w:sz="4" w:space="0"/>
              <w:right w:val="single" w:color="auto" w:sz="12" w:space="0"/>
            </w:tcBorders>
            <w:shd w:val="clear" w:color="auto" w:fill="auto"/>
            <w:vAlign w:val="center"/>
          </w:tcPr>
          <w:p w14:paraId="07D4580C">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7E1FC35B">
        <w:tblPrEx>
          <w:tblCellMar>
            <w:top w:w="0" w:type="dxa"/>
            <w:left w:w="108" w:type="dxa"/>
            <w:bottom w:w="0" w:type="dxa"/>
            <w:right w:w="108" w:type="dxa"/>
          </w:tblCellMar>
        </w:tblPrEx>
        <w:trPr>
          <w:trHeight w:val="440" w:hRule="atLeast"/>
          <w:jc w:val="right"/>
        </w:trPr>
        <w:tc>
          <w:tcPr>
            <w:tcW w:w="847" w:type="dxa"/>
            <w:vMerge w:val="restart"/>
            <w:tcBorders>
              <w:top w:val="nil"/>
              <w:left w:val="single" w:color="auto" w:sz="12" w:space="0"/>
              <w:bottom w:val="single" w:color="auto" w:sz="4" w:space="0"/>
              <w:right w:val="single" w:color="auto" w:sz="4" w:space="0"/>
            </w:tcBorders>
            <w:shd w:val="clear" w:color="auto" w:fill="auto"/>
            <w:vAlign w:val="center"/>
          </w:tcPr>
          <w:p w14:paraId="460BAE0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14:paraId="2DC3A1A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1105" w:type="dxa"/>
            <w:tcBorders>
              <w:top w:val="nil"/>
              <w:left w:val="nil"/>
              <w:bottom w:val="single" w:color="auto" w:sz="4" w:space="0"/>
              <w:right w:val="single" w:color="auto" w:sz="4" w:space="0"/>
            </w:tcBorders>
            <w:shd w:val="clear" w:color="auto" w:fill="auto"/>
            <w:vAlign w:val="center"/>
          </w:tcPr>
          <w:p w14:paraId="4539F3C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2372" w:type="dxa"/>
            <w:tcBorders>
              <w:top w:val="nil"/>
              <w:left w:val="nil"/>
              <w:bottom w:val="single" w:color="auto" w:sz="4" w:space="0"/>
              <w:right w:val="single" w:color="auto" w:sz="4" w:space="0"/>
            </w:tcBorders>
            <w:shd w:val="clear" w:color="auto" w:fill="auto"/>
            <w:vAlign w:val="center"/>
          </w:tcPr>
          <w:p w14:paraId="385412F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2333" w:type="dxa"/>
            <w:tcBorders>
              <w:top w:val="nil"/>
              <w:left w:val="nil"/>
              <w:bottom w:val="single" w:color="auto" w:sz="4" w:space="0"/>
              <w:right w:val="single" w:color="auto" w:sz="4" w:space="0"/>
            </w:tcBorders>
            <w:shd w:val="clear" w:color="auto" w:fill="auto"/>
            <w:vAlign w:val="center"/>
          </w:tcPr>
          <w:p w14:paraId="69BE463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项目经费为持续性、常年性项目，项目立项规范，符合相关政策要求。但部分项目立项与预决算分类不一致。</w:t>
            </w:r>
          </w:p>
        </w:tc>
        <w:tc>
          <w:tcPr>
            <w:tcW w:w="761" w:type="dxa"/>
            <w:tcBorders>
              <w:top w:val="nil"/>
              <w:left w:val="nil"/>
              <w:bottom w:val="single" w:color="auto" w:sz="4" w:space="0"/>
              <w:right w:val="single" w:color="auto" w:sz="12" w:space="0"/>
            </w:tcBorders>
            <w:shd w:val="clear" w:color="auto" w:fill="auto"/>
            <w:vAlign w:val="center"/>
          </w:tcPr>
          <w:p w14:paraId="531C8C2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4286CC56">
        <w:tblPrEx>
          <w:tblCellMar>
            <w:top w:w="0" w:type="dxa"/>
            <w:left w:w="108" w:type="dxa"/>
            <w:bottom w:w="0" w:type="dxa"/>
            <w:right w:w="108" w:type="dxa"/>
          </w:tblCellMar>
        </w:tblPrEx>
        <w:trPr>
          <w:trHeight w:val="88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4B1627EB">
            <w:pPr>
              <w:widowControl/>
              <w:jc w:val="left"/>
              <w:rPr>
                <w:rFonts w:ascii="楷体_GB2312" w:hAnsi="宋体" w:eastAsia="楷体_GB2312" w:cs="宋体"/>
                <w:color w:val="000000"/>
                <w:kern w:val="0"/>
                <w:sz w:val="22"/>
              </w:rPr>
            </w:pPr>
          </w:p>
        </w:tc>
        <w:tc>
          <w:tcPr>
            <w:tcW w:w="779" w:type="dxa"/>
            <w:vMerge w:val="continue"/>
            <w:tcBorders>
              <w:top w:val="nil"/>
              <w:left w:val="single" w:color="auto" w:sz="4" w:space="0"/>
              <w:bottom w:val="single" w:color="000000" w:sz="4" w:space="0"/>
              <w:right w:val="single" w:color="auto" w:sz="4" w:space="0"/>
            </w:tcBorders>
            <w:vAlign w:val="center"/>
          </w:tcPr>
          <w:p w14:paraId="139378D9">
            <w:pPr>
              <w:widowControl/>
              <w:jc w:val="left"/>
              <w:rPr>
                <w:rFonts w:ascii="楷体_GB2312" w:hAnsi="宋体" w:eastAsia="楷体_GB2312" w:cs="宋体"/>
                <w:color w:val="000000"/>
                <w:kern w:val="0"/>
                <w:sz w:val="22"/>
              </w:rPr>
            </w:pPr>
          </w:p>
        </w:tc>
        <w:tc>
          <w:tcPr>
            <w:tcW w:w="1105" w:type="dxa"/>
            <w:tcBorders>
              <w:top w:val="nil"/>
              <w:left w:val="nil"/>
              <w:bottom w:val="single" w:color="auto" w:sz="4" w:space="0"/>
              <w:right w:val="single" w:color="auto" w:sz="4" w:space="0"/>
            </w:tcBorders>
            <w:shd w:val="clear" w:color="auto" w:fill="auto"/>
            <w:vAlign w:val="center"/>
          </w:tcPr>
          <w:p w14:paraId="3F10E56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2372" w:type="dxa"/>
            <w:tcBorders>
              <w:top w:val="nil"/>
              <w:left w:val="nil"/>
              <w:bottom w:val="single" w:color="auto" w:sz="4" w:space="0"/>
              <w:right w:val="single" w:color="auto" w:sz="4" w:space="0"/>
            </w:tcBorders>
            <w:shd w:val="clear" w:color="auto" w:fill="auto"/>
            <w:vAlign w:val="center"/>
          </w:tcPr>
          <w:p w14:paraId="45D341A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项目是否设定绩效目标和绩效指标，所设定的绩效目标和指标是否符合实际，以反映和考核项目绩效目标与项目实施的相符情况。</w:t>
            </w:r>
          </w:p>
        </w:tc>
        <w:tc>
          <w:tcPr>
            <w:tcW w:w="2333" w:type="dxa"/>
            <w:tcBorders>
              <w:top w:val="nil"/>
              <w:left w:val="nil"/>
              <w:bottom w:val="single" w:color="auto" w:sz="4" w:space="0"/>
              <w:right w:val="single" w:color="auto" w:sz="4" w:space="0"/>
            </w:tcBorders>
            <w:shd w:val="clear" w:color="auto" w:fill="auto"/>
            <w:vAlign w:val="center"/>
          </w:tcPr>
          <w:p w14:paraId="1432F96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项目设定了绩效目标和绩效指标，所设定的绩效目标和指标基本符合实际，能体现项目效果。</w:t>
            </w:r>
          </w:p>
        </w:tc>
        <w:tc>
          <w:tcPr>
            <w:tcW w:w="761" w:type="dxa"/>
            <w:tcBorders>
              <w:top w:val="nil"/>
              <w:left w:val="nil"/>
              <w:bottom w:val="single" w:color="auto" w:sz="4" w:space="0"/>
              <w:right w:val="single" w:color="auto" w:sz="12" w:space="0"/>
            </w:tcBorders>
            <w:shd w:val="clear" w:color="auto" w:fill="auto"/>
            <w:vAlign w:val="center"/>
          </w:tcPr>
          <w:p w14:paraId="5E8D961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73574E4A">
        <w:tblPrEx>
          <w:tblCellMar>
            <w:top w:w="0" w:type="dxa"/>
            <w:left w:w="108" w:type="dxa"/>
            <w:bottom w:w="0" w:type="dxa"/>
            <w:right w:w="108" w:type="dxa"/>
          </w:tblCellMar>
        </w:tblPrEx>
        <w:trPr>
          <w:trHeight w:val="66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2C49A19A">
            <w:pPr>
              <w:widowControl/>
              <w:jc w:val="left"/>
              <w:rPr>
                <w:rFonts w:ascii="楷体_GB2312" w:hAnsi="宋体" w:eastAsia="楷体_GB2312" w:cs="宋体"/>
                <w:color w:val="000000"/>
                <w:kern w:val="0"/>
                <w:sz w:val="22"/>
              </w:rPr>
            </w:pP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14:paraId="44637B3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1105" w:type="dxa"/>
            <w:tcBorders>
              <w:top w:val="nil"/>
              <w:left w:val="nil"/>
              <w:bottom w:val="single" w:color="auto" w:sz="4" w:space="0"/>
              <w:right w:val="single" w:color="auto" w:sz="4" w:space="0"/>
            </w:tcBorders>
            <w:shd w:val="clear" w:color="auto" w:fill="auto"/>
            <w:vAlign w:val="center"/>
          </w:tcPr>
          <w:p w14:paraId="03DDB4B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2372" w:type="dxa"/>
            <w:tcBorders>
              <w:top w:val="nil"/>
              <w:left w:val="nil"/>
              <w:bottom w:val="single" w:color="auto" w:sz="4" w:space="0"/>
              <w:right w:val="single" w:color="auto" w:sz="4" w:space="0"/>
            </w:tcBorders>
            <w:shd w:val="clear" w:color="auto" w:fill="auto"/>
            <w:vAlign w:val="center"/>
          </w:tcPr>
          <w:p w14:paraId="580EAB1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2333" w:type="dxa"/>
            <w:tcBorders>
              <w:top w:val="nil"/>
              <w:left w:val="nil"/>
              <w:bottom w:val="single" w:color="auto" w:sz="4" w:space="0"/>
              <w:right w:val="single" w:color="auto" w:sz="4" w:space="0"/>
            </w:tcBorders>
            <w:shd w:val="clear" w:color="auto" w:fill="auto"/>
            <w:vAlign w:val="center"/>
          </w:tcPr>
          <w:p w14:paraId="6C39E28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预算批复金额2,297.46万元，实际支出资金2,228.43万元，资金到位率</w:t>
            </w:r>
            <w:r>
              <w:rPr>
                <w:rFonts w:ascii="楷体_GB2312" w:hAnsi="宋体" w:eastAsia="楷体_GB2312" w:cs="宋体"/>
                <w:color w:val="000000"/>
                <w:kern w:val="0"/>
                <w:sz w:val="22"/>
              </w:rPr>
              <w:t>97</w:t>
            </w:r>
            <w:r>
              <w:rPr>
                <w:rFonts w:hint="eastAsia" w:ascii="楷体_GB2312" w:hAnsi="宋体" w:eastAsia="楷体_GB2312" w:cs="宋体"/>
                <w:color w:val="000000"/>
                <w:kern w:val="0"/>
                <w:sz w:val="22"/>
              </w:rPr>
              <w:t>%。</w:t>
            </w:r>
          </w:p>
        </w:tc>
        <w:tc>
          <w:tcPr>
            <w:tcW w:w="761" w:type="dxa"/>
            <w:tcBorders>
              <w:top w:val="nil"/>
              <w:left w:val="nil"/>
              <w:bottom w:val="single" w:color="auto" w:sz="4" w:space="0"/>
              <w:right w:val="single" w:color="auto" w:sz="12" w:space="0"/>
            </w:tcBorders>
            <w:shd w:val="clear" w:color="auto" w:fill="auto"/>
            <w:vAlign w:val="center"/>
          </w:tcPr>
          <w:p w14:paraId="2F123D5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4DAAA71F">
        <w:tblPrEx>
          <w:tblCellMar>
            <w:top w:w="0" w:type="dxa"/>
            <w:left w:w="108" w:type="dxa"/>
            <w:bottom w:w="0" w:type="dxa"/>
            <w:right w:w="108" w:type="dxa"/>
          </w:tblCellMar>
        </w:tblPrEx>
        <w:trPr>
          <w:trHeight w:val="44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0738A4B1">
            <w:pPr>
              <w:widowControl/>
              <w:jc w:val="left"/>
              <w:rPr>
                <w:rFonts w:ascii="楷体_GB2312" w:hAnsi="宋体" w:eastAsia="楷体_GB2312" w:cs="宋体"/>
                <w:color w:val="000000"/>
                <w:kern w:val="0"/>
                <w:sz w:val="22"/>
              </w:rPr>
            </w:pPr>
          </w:p>
        </w:tc>
        <w:tc>
          <w:tcPr>
            <w:tcW w:w="779" w:type="dxa"/>
            <w:vMerge w:val="continue"/>
            <w:tcBorders>
              <w:top w:val="nil"/>
              <w:left w:val="single" w:color="auto" w:sz="4" w:space="0"/>
              <w:bottom w:val="single" w:color="000000" w:sz="4" w:space="0"/>
              <w:right w:val="single" w:color="auto" w:sz="4" w:space="0"/>
            </w:tcBorders>
            <w:vAlign w:val="center"/>
          </w:tcPr>
          <w:p w14:paraId="3C97F813">
            <w:pPr>
              <w:widowControl/>
              <w:jc w:val="left"/>
              <w:rPr>
                <w:rFonts w:ascii="楷体_GB2312" w:hAnsi="宋体" w:eastAsia="楷体_GB2312" w:cs="宋体"/>
                <w:color w:val="000000"/>
                <w:kern w:val="0"/>
                <w:sz w:val="22"/>
              </w:rPr>
            </w:pPr>
          </w:p>
        </w:tc>
        <w:tc>
          <w:tcPr>
            <w:tcW w:w="1105" w:type="dxa"/>
            <w:tcBorders>
              <w:top w:val="nil"/>
              <w:left w:val="nil"/>
              <w:bottom w:val="single" w:color="auto" w:sz="4" w:space="0"/>
              <w:right w:val="single" w:color="auto" w:sz="4" w:space="0"/>
            </w:tcBorders>
            <w:shd w:val="clear" w:color="auto" w:fill="auto"/>
            <w:vAlign w:val="center"/>
          </w:tcPr>
          <w:p w14:paraId="2D93B18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2372" w:type="dxa"/>
            <w:tcBorders>
              <w:top w:val="nil"/>
              <w:left w:val="nil"/>
              <w:bottom w:val="single" w:color="auto" w:sz="4" w:space="0"/>
              <w:right w:val="single" w:color="auto" w:sz="4" w:space="0"/>
            </w:tcBorders>
            <w:shd w:val="clear" w:color="auto" w:fill="auto"/>
            <w:vAlign w:val="center"/>
          </w:tcPr>
          <w:p w14:paraId="2288EBC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2333" w:type="dxa"/>
            <w:tcBorders>
              <w:top w:val="nil"/>
              <w:left w:val="nil"/>
              <w:bottom w:val="single" w:color="auto" w:sz="4" w:space="0"/>
              <w:right w:val="single" w:color="auto" w:sz="4" w:space="0"/>
            </w:tcBorders>
            <w:shd w:val="clear" w:color="auto" w:fill="auto"/>
            <w:vAlign w:val="center"/>
          </w:tcPr>
          <w:p w14:paraId="4BD085C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及时拨付各村项目资金，资金到位及时率100%</w:t>
            </w:r>
          </w:p>
        </w:tc>
        <w:tc>
          <w:tcPr>
            <w:tcW w:w="761" w:type="dxa"/>
            <w:tcBorders>
              <w:top w:val="nil"/>
              <w:left w:val="nil"/>
              <w:bottom w:val="single" w:color="auto" w:sz="4" w:space="0"/>
              <w:right w:val="single" w:color="auto" w:sz="12" w:space="0"/>
            </w:tcBorders>
            <w:shd w:val="clear" w:color="auto" w:fill="auto"/>
            <w:vAlign w:val="center"/>
          </w:tcPr>
          <w:p w14:paraId="65853A8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3449A7EF">
        <w:tblPrEx>
          <w:tblCellMar>
            <w:top w:w="0" w:type="dxa"/>
            <w:left w:w="108" w:type="dxa"/>
            <w:bottom w:w="0" w:type="dxa"/>
            <w:right w:w="108" w:type="dxa"/>
          </w:tblCellMar>
        </w:tblPrEx>
        <w:trPr>
          <w:trHeight w:val="440" w:hRule="atLeast"/>
          <w:jc w:val="right"/>
        </w:trPr>
        <w:tc>
          <w:tcPr>
            <w:tcW w:w="743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2F0E9E9D">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61" w:type="dxa"/>
            <w:tcBorders>
              <w:top w:val="nil"/>
              <w:left w:val="nil"/>
              <w:bottom w:val="single" w:color="auto" w:sz="4" w:space="0"/>
              <w:right w:val="single" w:color="auto" w:sz="12" w:space="0"/>
            </w:tcBorders>
            <w:shd w:val="clear" w:color="auto" w:fill="auto"/>
            <w:vAlign w:val="center"/>
          </w:tcPr>
          <w:p w14:paraId="01E8068B">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17</w:t>
            </w:r>
          </w:p>
        </w:tc>
      </w:tr>
      <w:tr w14:paraId="786AFEC2">
        <w:tblPrEx>
          <w:tblCellMar>
            <w:top w:w="0" w:type="dxa"/>
            <w:left w:w="108" w:type="dxa"/>
            <w:bottom w:w="0" w:type="dxa"/>
            <w:right w:w="108" w:type="dxa"/>
          </w:tblCellMar>
        </w:tblPrEx>
        <w:trPr>
          <w:trHeight w:val="440" w:hRule="atLeast"/>
          <w:jc w:val="right"/>
        </w:trPr>
        <w:tc>
          <w:tcPr>
            <w:tcW w:w="847" w:type="dxa"/>
            <w:vMerge w:val="restart"/>
            <w:tcBorders>
              <w:top w:val="nil"/>
              <w:left w:val="single" w:color="auto" w:sz="12" w:space="0"/>
              <w:bottom w:val="single" w:color="auto" w:sz="4" w:space="0"/>
              <w:right w:val="single" w:color="auto" w:sz="4" w:space="0"/>
            </w:tcBorders>
            <w:shd w:val="clear" w:color="auto" w:fill="auto"/>
            <w:vAlign w:val="center"/>
          </w:tcPr>
          <w:p w14:paraId="5DED41F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14:paraId="666E82F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1105" w:type="dxa"/>
            <w:tcBorders>
              <w:top w:val="nil"/>
              <w:left w:val="nil"/>
              <w:bottom w:val="single" w:color="auto" w:sz="4" w:space="0"/>
              <w:right w:val="single" w:color="auto" w:sz="4" w:space="0"/>
            </w:tcBorders>
            <w:shd w:val="clear" w:color="auto" w:fill="auto"/>
            <w:vAlign w:val="center"/>
          </w:tcPr>
          <w:p w14:paraId="3D99AA9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2372" w:type="dxa"/>
            <w:tcBorders>
              <w:top w:val="nil"/>
              <w:left w:val="nil"/>
              <w:bottom w:val="single" w:color="auto" w:sz="4" w:space="0"/>
              <w:right w:val="single" w:color="auto" w:sz="4" w:space="0"/>
            </w:tcBorders>
            <w:shd w:val="clear" w:color="auto" w:fill="auto"/>
            <w:vAlign w:val="center"/>
          </w:tcPr>
          <w:p w14:paraId="515A6E6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2333" w:type="dxa"/>
            <w:vMerge w:val="restart"/>
            <w:tcBorders>
              <w:top w:val="nil"/>
              <w:left w:val="single" w:color="auto" w:sz="4" w:space="0"/>
              <w:bottom w:val="single" w:color="000000" w:sz="4" w:space="0"/>
              <w:right w:val="single" w:color="auto" w:sz="4" w:space="0"/>
            </w:tcBorders>
            <w:shd w:val="clear" w:color="auto" w:fill="auto"/>
            <w:vAlign w:val="center"/>
          </w:tcPr>
          <w:p w14:paraId="09FEC8E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建立了良好的工作机制和工作流程并得以有效执行；街道建立了项目监督机制和项目考核机制，用于支持项目顺利实施，项目基础资料齐备。</w:t>
            </w:r>
          </w:p>
        </w:tc>
        <w:tc>
          <w:tcPr>
            <w:tcW w:w="761" w:type="dxa"/>
            <w:tcBorders>
              <w:top w:val="nil"/>
              <w:left w:val="nil"/>
              <w:bottom w:val="single" w:color="auto" w:sz="4" w:space="0"/>
              <w:right w:val="single" w:color="auto" w:sz="12" w:space="0"/>
            </w:tcBorders>
            <w:shd w:val="clear" w:color="auto" w:fill="auto"/>
            <w:vAlign w:val="center"/>
          </w:tcPr>
          <w:p w14:paraId="51530D1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60E03CFD">
        <w:tblPrEx>
          <w:tblCellMar>
            <w:top w:w="0" w:type="dxa"/>
            <w:left w:w="108" w:type="dxa"/>
            <w:bottom w:w="0" w:type="dxa"/>
            <w:right w:w="108" w:type="dxa"/>
          </w:tblCellMar>
        </w:tblPrEx>
        <w:trPr>
          <w:trHeight w:val="44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17C5F9A4">
            <w:pPr>
              <w:widowControl/>
              <w:jc w:val="left"/>
              <w:rPr>
                <w:rFonts w:ascii="楷体_GB2312" w:hAnsi="宋体" w:eastAsia="楷体_GB2312" w:cs="宋体"/>
                <w:color w:val="000000"/>
                <w:kern w:val="0"/>
                <w:sz w:val="22"/>
              </w:rPr>
            </w:pPr>
          </w:p>
        </w:tc>
        <w:tc>
          <w:tcPr>
            <w:tcW w:w="779" w:type="dxa"/>
            <w:vMerge w:val="continue"/>
            <w:tcBorders>
              <w:top w:val="nil"/>
              <w:left w:val="single" w:color="auto" w:sz="4" w:space="0"/>
              <w:bottom w:val="single" w:color="000000" w:sz="4" w:space="0"/>
              <w:right w:val="single" w:color="auto" w:sz="4" w:space="0"/>
            </w:tcBorders>
            <w:vAlign w:val="center"/>
          </w:tcPr>
          <w:p w14:paraId="515A1C0C">
            <w:pPr>
              <w:widowControl/>
              <w:jc w:val="left"/>
              <w:rPr>
                <w:rFonts w:ascii="楷体_GB2312" w:hAnsi="宋体" w:eastAsia="楷体_GB2312" w:cs="宋体"/>
                <w:color w:val="000000"/>
                <w:kern w:val="0"/>
                <w:sz w:val="22"/>
              </w:rPr>
            </w:pPr>
          </w:p>
        </w:tc>
        <w:tc>
          <w:tcPr>
            <w:tcW w:w="1105" w:type="dxa"/>
            <w:tcBorders>
              <w:top w:val="nil"/>
              <w:left w:val="nil"/>
              <w:bottom w:val="single" w:color="auto" w:sz="4" w:space="0"/>
              <w:right w:val="single" w:color="auto" w:sz="4" w:space="0"/>
            </w:tcBorders>
            <w:shd w:val="clear" w:color="auto" w:fill="auto"/>
            <w:vAlign w:val="center"/>
          </w:tcPr>
          <w:p w14:paraId="20CDBFE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2372" w:type="dxa"/>
            <w:tcBorders>
              <w:top w:val="nil"/>
              <w:left w:val="nil"/>
              <w:bottom w:val="single" w:color="auto" w:sz="4" w:space="0"/>
              <w:right w:val="single" w:color="auto" w:sz="4" w:space="0"/>
            </w:tcBorders>
            <w:shd w:val="clear" w:color="auto" w:fill="auto"/>
            <w:vAlign w:val="center"/>
          </w:tcPr>
          <w:p w14:paraId="7FBD2D6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2333" w:type="dxa"/>
            <w:vMerge w:val="continue"/>
            <w:tcBorders>
              <w:top w:val="nil"/>
              <w:left w:val="single" w:color="auto" w:sz="4" w:space="0"/>
              <w:bottom w:val="single" w:color="000000" w:sz="4" w:space="0"/>
              <w:right w:val="single" w:color="auto" w:sz="4" w:space="0"/>
            </w:tcBorders>
            <w:vAlign w:val="center"/>
          </w:tcPr>
          <w:p w14:paraId="725B2DBF">
            <w:pPr>
              <w:widowControl/>
              <w:jc w:val="left"/>
              <w:rPr>
                <w:rFonts w:ascii="楷体_GB2312" w:hAnsi="宋体" w:eastAsia="楷体_GB2312" w:cs="宋体"/>
                <w:color w:val="000000"/>
                <w:kern w:val="0"/>
                <w:sz w:val="22"/>
              </w:rPr>
            </w:pPr>
          </w:p>
        </w:tc>
        <w:tc>
          <w:tcPr>
            <w:tcW w:w="761" w:type="dxa"/>
            <w:tcBorders>
              <w:top w:val="nil"/>
              <w:left w:val="nil"/>
              <w:bottom w:val="single" w:color="auto" w:sz="4" w:space="0"/>
              <w:right w:val="single" w:color="auto" w:sz="12" w:space="0"/>
            </w:tcBorders>
            <w:shd w:val="clear" w:color="auto" w:fill="auto"/>
            <w:vAlign w:val="center"/>
          </w:tcPr>
          <w:p w14:paraId="579AE4A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D7389A6">
        <w:tblPrEx>
          <w:tblCellMar>
            <w:top w:w="0" w:type="dxa"/>
            <w:left w:w="108" w:type="dxa"/>
            <w:bottom w:w="0" w:type="dxa"/>
            <w:right w:w="108" w:type="dxa"/>
          </w:tblCellMar>
        </w:tblPrEx>
        <w:trPr>
          <w:trHeight w:val="66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43442CF6">
            <w:pPr>
              <w:widowControl/>
              <w:jc w:val="left"/>
              <w:rPr>
                <w:rFonts w:ascii="楷体_GB2312" w:hAnsi="宋体" w:eastAsia="楷体_GB2312" w:cs="宋体"/>
                <w:color w:val="000000"/>
                <w:kern w:val="0"/>
                <w:sz w:val="22"/>
              </w:rPr>
            </w:pP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14:paraId="732FDF0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1105" w:type="dxa"/>
            <w:tcBorders>
              <w:top w:val="nil"/>
              <w:left w:val="nil"/>
              <w:bottom w:val="single" w:color="auto" w:sz="4" w:space="0"/>
              <w:right w:val="single" w:color="auto" w:sz="4" w:space="0"/>
            </w:tcBorders>
            <w:shd w:val="clear" w:color="auto" w:fill="auto"/>
            <w:vAlign w:val="center"/>
          </w:tcPr>
          <w:p w14:paraId="6356709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2372" w:type="dxa"/>
            <w:tcBorders>
              <w:top w:val="nil"/>
              <w:left w:val="nil"/>
              <w:bottom w:val="single" w:color="auto" w:sz="4" w:space="0"/>
              <w:right w:val="single" w:color="auto" w:sz="4" w:space="0"/>
            </w:tcBorders>
            <w:shd w:val="clear" w:color="auto" w:fill="auto"/>
            <w:vAlign w:val="center"/>
          </w:tcPr>
          <w:p w14:paraId="7E51F80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2333" w:type="dxa"/>
            <w:vMerge w:val="restart"/>
            <w:tcBorders>
              <w:top w:val="nil"/>
              <w:left w:val="single" w:color="auto" w:sz="4" w:space="0"/>
              <w:bottom w:val="single" w:color="000000" w:sz="4" w:space="0"/>
              <w:right w:val="single" w:color="auto" w:sz="4" w:space="0"/>
            </w:tcBorders>
            <w:shd w:val="clear" w:color="auto" w:fill="auto"/>
            <w:vAlign w:val="center"/>
          </w:tcPr>
          <w:p w14:paraId="1A59F10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街道制订了严格的财务管理措施，每项支出均有迹可循。会计账簿中重要支出事项原始单据或记录手续齐全，单证规范，标准相符，财务把关严格，会计核算准确、完整。</w:t>
            </w:r>
          </w:p>
        </w:tc>
        <w:tc>
          <w:tcPr>
            <w:tcW w:w="761" w:type="dxa"/>
            <w:tcBorders>
              <w:top w:val="nil"/>
              <w:left w:val="nil"/>
              <w:bottom w:val="single" w:color="auto" w:sz="4" w:space="0"/>
              <w:right w:val="single" w:color="auto" w:sz="12" w:space="0"/>
            </w:tcBorders>
            <w:shd w:val="clear" w:color="auto" w:fill="auto"/>
            <w:vAlign w:val="center"/>
          </w:tcPr>
          <w:p w14:paraId="0AF6B4C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3C480F3">
        <w:tblPrEx>
          <w:tblCellMar>
            <w:top w:w="0" w:type="dxa"/>
            <w:left w:w="108" w:type="dxa"/>
            <w:bottom w:w="0" w:type="dxa"/>
            <w:right w:w="108" w:type="dxa"/>
          </w:tblCellMar>
        </w:tblPrEx>
        <w:trPr>
          <w:trHeight w:val="793"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18E16AC1">
            <w:pPr>
              <w:widowControl/>
              <w:jc w:val="left"/>
              <w:rPr>
                <w:rFonts w:ascii="楷体_GB2312" w:hAnsi="宋体" w:eastAsia="楷体_GB2312" w:cs="宋体"/>
                <w:color w:val="000000"/>
                <w:kern w:val="0"/>
                <w:sz w:val="22"/>
              </w:rPr>
            </w:pPr>
          </w:p>
        </w:tc>
        <w:tc>
          <w:tcPr>
            <w:tcW w:w="779" w:type="dxa"/>
            <w:vMerge w:val="continue"/>
            <w:tcBorders>
              <w:top w:val="nil"/>
              <w:left w:val="single" w:color="auto" w:sz="4" w:space="0"/>
              <w:bottom w:val="single" w:color="000000" w:sz="4" w:space="0"/>
              <w:right w:val="single" w:color="auto" w:sz="4" w:space="0"/>
            </w:tcBorders>
            <w:vAlign w:val="center"/>
          </w:tcPr>
          <w:p w14:paraId="7B7CDF5A">
            <w:pPr>
              <w:widowControl/>
              <w:jc w:val="left"/>
              <w:rPr>
                <w:rFonts w:ascii="楷体_GB2312" w:hAnsi="宋体" w:eastAsia="楷体_GB2312" w:cs="宋体"/>
                <w:color w:val="000000"/>
                <w:kern w:val="0"/>
                <w:sz w:val="22"/>
              </w:rPr>
            </w:pPr>
          </w:p>
        </w:tc>
        <w:tc>
          <w:tcPr>
            <w:tcW w:w="1105" w:type="dxa"/>
            <w:tcBorders>
              <w:top w:val="nil"/>
              <w:left w:val="nil"/>
              <w:bottom w:val="single" w:color="auto" w:sz="4" w:space="0"/>
              <w:right w:val="single" w:color="auto" w:sz="4" w:space="0"/>
            </w:tcBorders>
            <w:shd w:val="clear" w:color="auto" w:fill="auto"/>
            <w:vAlign w:val="center"/>
          </w:tcPr>
          <w:p w14:paraId="2DB08FC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2372" w:type="dxa"/>
            <w:tcBorders>
              <w:top w:val="nil"/>
              <w:left w:val="nil"/>
              <w:bottom w:val="single" w:color="auto" w:sz="4" w:space="0"/>
              <w:right w:val="single" w:color="auto" w:sz="4" w:space="0"/>
            </w:tcBorders>
            <w:shd w:val="clear" w:color="auto" w:fill="auto"/>
            <w:vAlign w:val="center"/>
          </w:tcPr>
          <w:p w14:paraId="692E6EC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2333" w:type="dxa"/>
            <w:vMerge w:val="continue"/>
            <w:tcBorders>
              <w:top w:val="nil"/>
              <w:left w:val="single" w:color="auto" w:sz="4" w:space="0"/>
              <w:bottom w:val="single" w:color="000000" w:sz="4" w:space="0"/>
              <w:right w:val="single" w:color="auto" w:sz="4" w:space="0"/>
            </w:tcBorders>
            <w:vAlign w:val="center"/>
          </w:tcPr>
          <w:p w14:paraId="1FCF88B0">
            <w:pPr>
              <w:widowControl/>
              <w:jc w:val="left"/>
              <w:rPr>
                <w:rFonts w:ascii="楷体_GB2312" w:hAnsi="宋体" w:eastAsia="楷体_GB2312" w:cs="宋体"/>
                <w:color w:val="000000"/>
                <w:kern w:val="0"/>
                <w:sz w:val="22"/>
              </w:rPr>
            </w:pPr>
          </w:p>
        </w:tc>
        <w:tc>
          <w:tcPr>
            <w:tcW w:w="761" w:type="dxa"/>
            <w:tcBorders>
              <w:top w:val="nil"/>
              <w:left w:val="nil"/>
              <w:bottom w:val="single" w:color="auto" w:sz="4" w:space="0"/>
              <w:right w:val="single" w:color="auto" w:sz="12" w:space="0"/>
            </w:tcBorders>
            <w:shd w:val="clear" w:color="auto" w:fill="auto"/>
            <w:vAlign w:val="center"/>
          </w:tcPr>
          <w:p w14:paraId="7E451EC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1BA3DD5">
        <w:tblPrEx>
          <w:tblCellMar>
            <w:top w:w="0" w:type="dxa"/>
            <w:left w:w="108" w:type="dxa"/>
            <w:bottom w:w="0" w:type="dxa"/>
            <w:right w:w="108" w:type="dxa"/>
          </w:tblCellMar>
        </w:tblPrEx>
        <w:trPr>
          <w:trHeight w:val="440" w:hRule="atLeast"/>
          <w:jc w:val="right"/>
        </w:trPr>
        <w:tc>
          <w:tcPr>
            <w:tcW w:w="743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3138B838">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61" w:type="dxa"/>
            <w:tcBorders>
              <w:top w:val="nil"/>
              <w:left w:val="nil"/>
              <w:bottom w:val="single" w:color="auto" w:sz="4" w:space="0"/>
              <w:right w:val="single" w:color="auto" w:sz="12" w:space="0"/>
            </w:tcBorders>
            <w:shd w:val="clear" w:color="auto" w:fill="auto"/>
            <w:vAlign w:val="center"/>
          </w:tcPr>
          <w:p w14:paraId="6EB2A401">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20</w:t>
            </w:r>
          </w:p>
        </w:tc>
      </w:tr>
      <w:tr w14:paraId="19F7D699">
        <w:tblPrEx>
          <w:tblCellMar>
            <w:top w:w="0" w:type="dxa"/>
            <w:left w:w="108" w:type="dxa"/>
            <w:bottom w:w="0" w:type="dxa"/>
            <w:right w:w="108" w:type="dxa"/>
          </w:tblCellMar>
        </w:tblPrEx>
        <w:trPr>
          <w:trHeight w:val="293" w:hRule="atLeast"/>
          <w:jc w:val="right"/>
        </w:trPr>
        <w:tc>
          <w:tcPr>
            <w:tcW w:w="847" w:type="dxa"/>
            <w:vMerge w:val="restart"/>
            <w:tcBorders>
              <w:top w:val="nil"/>
              <w:left w:val="single" w:color="auto" w:sz="12" w:space="0"/>
              <w:bottom w:val="single" w:color="auto" w:sz="4" w:space="0"/>
              <w:right w:val="single" w:color="auto" w:sz="4" w:space="0"/>
            </w:tcBorders>
            <w:shd w:val="clear" w:color="auto" w:fill="auto"/>
            <w:vAlign w:val="center"/>
          </w:tcPr>
          <w:p w14:paraId="5A4A712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779" w:type="dxa"/>
            <w:tcBorders>
              <w:top w:val="nil"/>
              <w:left w:val="single" w:color="auto" w:sz="4" w:space="0"/>
              <w:bottom w:val="single" w:color="000000" w:sz="4" w:space="0"/>
              <w:right w:val="single" w:color="auto" w:sz="4" w:space="0"/>
            </w:tcBorders>
            <w:shd w:val="clear" w:color="auto" w:fill="auto"/>
            <w:vAlign w:val="center"/>
          </w:tcPr>
          <w:p w14:paraId="08096CD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数量指标（10分）</w:t>
            </w:r>
          </w:p>
        </w:tc>
        <w:tc>
          <w:tcPr>
            <w:tcW w:w="1105" w:type="dxa"/>
            <w:tcBorders>
              <w:top w:val="nil"/>
              <w:left w:val="nil"/>
              <w:bottom w:val="single" w:color="auto" w:sz="4" w:space="0"/>
              <w:right w:val="single" w:color="auto" w:sz="4" w:space="0"/>
            </w:tcBorders>
            <w:shd w:val="clear" w:color="auto" w:fill="auto"/>
            <w:vAlign w:val="center"/>
          </w:tcPr>
          <w:p w14:paraId="37EF187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项目活动完成率（10分）</w:t>
            </w:r>
          </w:p>
        </w:tc>
        <w:tc>
          <w:tcPr>
            <w:tcW w:w="2372" w:type="dxa"/>
            <w:tcBorders>
              <w:top w:val="nil"/>
              <w:left w:val="nil"/>
              <w:bottom w:val="single" w:color="auto" w:sz="4" w:space="0"/>
              <w:right w:val="single" w:color="auto" w:sz="4" w:space="0"/>
            </w:tcBorders>
            <w:shd w:val="clear" w:color="auto" w:fill="auto"/>
            <w:vAlign w:val="center"/>
          </w:tcPr>
          <w:p w14:paraId="12C5B1CB">
            <w:pPr>
              <w:widowControl/>
              <w:jc w:val="left"/>
              <w:rPr>
                <w:rFonts w:ascii="楷体_GB2312" w:hAnsi="宋体" w:eastAsia="楷体_GB2312" w:cs="宋体"/>
                <w:color w:val="000000"/>
                <w:kern w:val="0"/>
                <w:sz w:val="22"/>
                <w:highlight w:val="yellow"/>
              </w:rPr>
            </w:pPr>
            <w:r>
              <w:rPr>
                <w:rFonts w:hint="eastAsia" w:ascii="楷体_GB2312" w:hAnsi="宋体" w:eastAsia="楷体_GB2312" w:cs="宋体"/>
                <w:color w:val="000000"/>
                <w:kern w:val="0"/>
                <w:sz w:val="22"/>
              </w:rPr>
              <w:t>各项目开展活动、检查、巡查次数</w:t>
            </w:r>
          </w:p>
        </w:tc>
        <w:tc>
          <w:tcPr>
            <w:tcW w:w="2333" w:type="dxa"/>
            <w:tcBorders>
              <w:top w:val="nil"/>
              <w:left w:val="nil"/>
              <w:bottom w:val="single" w:color="auto" w:sz="4" w:space="0"/>
              <w:right w:val="single" w:color="auto" w:sz="4" w:space="0"/>
            </w:tcBorders>
            <w:shd w:val="clear" w:color="auto" w:fill="auto"/>
            <w:vAlign w:val="center"/>
          </w:tcPr>
          <w:p w14:paraId="75C1B499">
            <w:pPr>
              <w:widowControl/>
              <w:jc w:val="left"/>
              <w:rPr>
                <w:rFonts w:ascii="楷体_GB2312" w:hAnsi="宋体" w:eastAsia="楷体_GB2312" w:cs="宋体"/>
                <w:color w:val="000000"/>
                <w:kern w:val="0"/>
                <w:sz w:val="22"/>
                <w:highlight w:val="yellow"/>
              </w:rPr>
            </w:pPr>
            <w:r>
              <w:rPr>
                <w:rFonts w:hint="eastAsia" w:ascii="楷体_GB2312" w:hAnsi="宋体" w:eastAsia="楷体_GB2312" w:cs="宋体"/>
                <w:color w:val="000000"/>
                <w:kern w:val="0"/>
                <w:sz w:val="22"/>
              </w:rPr>
              <w:t>各项目均根据实际情况，举办了各种活动，按预定计划进行检查、巡查，达到预定次数</w:t>
            </w:r>
          </w:p>
        </w:tc>
        <w:tc>
          <w:tcPr>
            <w:tcW w:w="761" w:type="dxa"/>
            <w:tcBorders>
              <w:top w:val="nil"/>
              <w:left w:val="nil"/>
              <w:bottom w:val="single" w:color="auto" w:sz="4" w:space="0"/>
              <w:right w:val="single" w:color="auto" w:sz="12" w:space="0"/>
            </w:tcBorders>
            <w:shd w:val="clear" w:color="auto" w:fill="auto"/>
            <w:vAlign w:val="center"/>
          </w:tcPr>
          <w:p w14:paraId="461F862C">
            <w:pPr>
              <w:widowControl/>
              <w:jc w:val="center"/>
              <w:rPr>
                <w:rFonts w:ascii="楷体_GB2312" w:hAnsi="宋体" w:eastAsia="楷体_GB2312" w:cs="宋体"/>
                <w:color w:val="000000"/>
                <w:kern w:val="0"/>
                <w:sz w:val="22"/>
                <w:highlight w:val="yellow"/>
              </w:rPr>
            </w:pPr>
            <w:r>
              <w:rPr>
                <w:rFonts w:hint="eastAsia" w:ascii="楷体_GB2312" w:hAnsi="宋体" w:eastAsia="楷体_GB2312" w:cs="宋体"/>
                <w:color w:val="000000"/>
                <w:kern w:val="0"/>
                <w:sz w:val="22"/>
              </w:rPr>
              <w:t>10</w:t>
            </w:r>
          </w:p>
        </w:tc>
      </w:tr>
      <w:tr w14:paraId="03E4B05B">
        <w:tblPrEx>
          <w:tblCellMar>
            <w:top w:w="0" w:type="dxa"/>
            <w:left w:w="108" w:type="dxa"/>
            <w:bottom w:w="0" w:type="dxa"/>
            <w:right w:w="108" w:type="dxa"/>
          </w:tblCellMar>
        </w:tblPrEx>
        <w:trPr>
          <w:trHeight w:val="44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731129D5">
            <w:pPr>
              <w:widowControl/>
              <w:jc w:val="left"/>
              <w:rPr>
                <w:rFonts w:ascii="楷体_GB2312" w:hAnsi="宋体" w:eastAsia="楷体_GB2312" w:cs="宋体"/>
                <w:color w:val="000000"/>
                <w:kern w:val="0"/>
                <w:sz w:val="22"/>
              </w:rPr>
            </w:pPr>
          </w:p>
        </w:tc>
        <w:tc>
          <w:tcPr>
            <w:tcW w:w="779" w:type="dxa"/>
            <w:vMerge w:val="restart"/>
            <w:tcBorders>
              <w:top w:val="single" w:color="000000" w:sz="4" w:space="0"/>
              <w:left w:val="nil"/>
              <w:right w:val="single" w:color="auto" w:sz="4" w:space="0"/>
            </w:tcBorders>
            <w:shd w:val="clear" w:color="auto" w:fill="auto"/>
            <w:vAlign w:val="center"/>
          </w:tcPr>
          <w:p w14:paraId="5FC60010">
            <w:pPr>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质量指标（15分）</w:t>
            </w:r>
          </w:p>
        </w:tc>
        <w:tc>
          <w:tcPr>
            <w:tcW w:w="1105" w:type="dxa"/>
            <w:tcBorders>
              <w:top w:val="nil"/>
              <w:left w:val="nil"/>
              <w:bottom w:val="single" w:color="auto" w:sz="4" w:space="0"/>
              <w:right w:val="single" w:color="auto" w:sz="4" w:space="0"/>
            </w:tcBorders>
            <w:shd w:val="clear" w:color="auto" w:fill="auto"/>
            <w:vAlign w:val="center"/>
          </w:tcPr>
          <w:p w14:paraId="1686E92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项目工作的覆盖率（10分）</w:t>
            </w:r>
          </w:p>
        </w:tc>
        <w:tc>
          <w:tcPr>
            <w:tcW w:w="2372" w:type="dxa"/>
            <w:tcBorders>
              <w:top w:val="nil"/>
              <w:left w:val="nil"/>
              <w:bottom w:val="single" w:color="auto" w:sz="4" w:space="0"/>
              <w:right w:val="single" w:color="auto" w:sz="4" w:space="0"/>
            </w:tcBorders>
            <w:shd w:val="clear" w:color="auto" w:fill="auto"/>
            <w:vAlign w:val="center"/>
          </w:tcPr>
          <w:p w14:paraId="3655ED2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各项目工作服务对象的覆盖率、综合管理和治理工作应覆盖范围</w:t>
            </w:r>
          </w:p>
        </w:tc>
        <w:tc>
          <w:tcPr>
            <w:tcW w:w="2333" w:type="dxa"/>
            <w:tcBorders>
              <w:top w:val="nil"/>
              <w:left w:val="nil"/>
              <w:bottom w:val="single" w:color="auto" w:sz="4" w:space="0"/>
              <w:right w:val="single" w:color="auto" w:sz="4" w:space="0"/>
            </w:tcBorders>
            <w:shd w:val="clear" w:color="auto" w:fill="auto"/>
            <w:vAlign w:val="center"/>
          </w:tcPr>
          <w:p w14:paraId="7EB9FF4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90%-100%</w:t>
            </w:r>
          </w:p>
        </w:tc>
        <w:tc>
          <w:tcPr>
            <w:tcW w:w="761" w:type="dxa"/>
            <w:tcBorders>
              <w:top w:val="nil"/>
              <w:left w:val="nil"/>
              <w:bottom w:val="single" w:color="auto" w:sz="4" w:space="0"/>
              <w:right w:val="single" w:color="auto" w:sz="12" w:space="0"/>
            </w:tcBorders>
            <w:shd w:val="clear" w:color="auto" w:fill="auto"/>
            <w:vAlign w:val="center"/>
          </w:tcPr>
          <w:p w14:paraId="0FB7807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w:t>
            </w:r>
          </w:p>
        </w:tc>
      </w:tr>
      <w:tr w14:paraId="0639EAAA">
        <w:tblPrEx>
          <w:tblCellMar>
            <w:top w:w="0" w:type="dxa"/>
            <w:left w:w="108" w:type="dxa"/>
            <w:bottom w:w="0" w:type="dxa"/>
            <w:right w:w="108" w:type="dxa"/>
          </w:tblCellMar>
        </w:tblPrEx>
        <w:trPr>
          <w:trHeight w:val="44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6C65EDAE">
            <w:pPr>
              <w:widowControl/>
              <w:jc w:val="left"/>
              <w:rPr>
                <w:rFonts w:ascii="楷体_GB2312" w:hAnsi="宋体" w:eastAsia="楷体_GB2312" w:cs="宋体"/>
                <w:color w:val="000000"/>
                <w:kern w:val="0"/>
                <w:sz w:val="22"/>
              </w:rPr>
            </w:pPr>
          </w:p>
        </w:tc>
        <w:tc>
          <w:tcPr>
            <w:tcW w:w="779" w:type="dxa"/>
            <w:vMerge w:val="continue"/>
            <w:tcBorders>
              <w:top w:val="single" w:color="000000" w:sz="4" w:space="0"/>
              <w:left w:val="nil"/>
              <w:right w:val="single" w:color="auto" w:sz="4" w:space="0"/>
            </w:tcBorders>
            <w:shd w:val="clear" w:color="auto" w:fill="auto"/>
            <w:vAlign w:val="center"/>
          </w:tcPr>
          <w:p w14:paraId="3591E55C">
            <w:pPr>
              <w:jc w:val="center"/>
              <w:rPr>
                <w:rFonts w:ascii="楷体_GB2312" w:hAnsi="宋体" w:eastAsia="楷体_GB2312" w:cs="宋体"/>
                <w:color w:val="000000"/>
                <w:kern w:val="0"/>
                <w:sz w:val="22"/>
              </w:rPr>
            </w:pPr>
          </w:p>
        </w:tc>
        <w:tc>
          <w:tcPr>
            <w:tcW w:w="1105" w:type="dxa"/>
            <w:tcBorders>
              <w:top w:val="nil"/>
              <w:left w:val="nil"/>
              <w:bottom w:val="single" w:color="auto" w:sz="4" w:space="0"/>
              <w:right w:val="single" w:color="auto" w:sz="4" w:space="0"/>
            </w:tcBorders>
            <w:shd w:val="clear" w:color="auto" w:fill="auto"/>
            <w:vAlign w:val="center"/>
          </w:tcPr>
          <w:p w14:paraId="6CBB4B8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案情处置率（5分）</w:t>
            </w:r>
          </w:p>
        </w:tc>
        <w:tc>
          <w:tcPr>
            <w:tcW w:w="2372" w:type="dxa"/>
            <w:tcBorders>
              <w:top w:val="nil"/>
              <w:left w:val="nil"/>
              <w:bottom w:val="single" w:color="auto" w:sz="4" w:space="0"/>
              <w:right w:val="single" w:color="auto" w:sz="4" w:space="0"/>
            </w:tcBorders>
            <w:shd w:val="clear" w:color="auto" w:fill="auto"/>
            <w:vAlign w:val="center"/>
          </w:tcPr>
          <w:p w14:paraId="135A477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所有案情均应在发生后及时处置和上报</w:t>
            </w:r>
          </w:p>
        </w:tc>
        <w:tc>
          <w:tcPr>
            <w:tcW w:w="2333" w:type="dxa"/>
            <w:tcBorders>
              <w:top w:val="nil"/>
              <w:left w:val="nil"/>
              <w:bottom w:val="single" w:color="auto" w:sz="4" w:space="0"/>
              <w:right w:val="single" w:color="auto" w:sz="4" w:space="0"/>
            </w:tcBorders>
            <w:shd w:val="clear" w:color="auto" w:fill="auto"/>
            <w:vAlign w:val="center"/>
          </w:tcPr>
          <w:p w14:paraId="057A393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61" w:type="dxa"/>
            <w:tcBorders>
              <w:top w:val="nil"/>
              <w:left w:val="nil"/>
              <w:bottom w:val="single" w:color="auto" w:sz="4" w:space="0"/>
              <w:right w:val="single" w:color="auto" w:sz="12" w:space="0"/>
            </w:tcBorders>
            <w:shd w:val="clear" w:color="auto" w:fill="auto"/>
            <w:vAlign w:val="center"/>
          </w:tcPr>
          <w:p w14:paraId="5B72711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6A321C1">
        <w:tblPrEx>
          <w:tblCellMar>
            <w:top w:w="0" w:type="dxa"/>
            <w:left w:w="108" w:type="dxa"/>
            <w:bottom w:w="0" w:type="dxa"/>
            <w:right w:w="108" w:type="dxa"/>
          </w:tblCellMar>
        </w:tblPrEx>
        <w:trPr>
          <w:trHeight w:val="440" w:hRule="atLeast"/>
          <w:jc w:val="right"/>
        </w:trPr>
        <w:tc>
          <w:tcPr>
            <w:tcW w:w="847" w:type="dxa"/>
            <w:vMerge w:val="continue"/>
            <w:tcBorders>
              <w:top w:val="nil"/>
              <w:left w:val="single" w:color="auto" w:sz="12" w:space="0"/>
              <w:bottom w:val="single" w:color="auto" w:sz="4" w:space="0"/>
              <w:right w:val="single" w:color="auto" w:sz="4" w:space="0"/>
            </w:tcBorders>
            <w:vAlign w:val="center"/>
          </w:tcPr>
          <w:p w14:paraId="396B97E6">
            <w:pPr>
              <w:widowControl/>
              <w:jc w:val="left"/>
              <w:rPr>
                <w:rFonts w:ascii="楷体_GB2312" w:hAnsi="宋体" w:eastAsia="楷体_GB2312" w:cs="宋体"/>
                <w:color w:val="000000"/>
                <w:kern w:val="0"/>
                <w:sz w:val="22"/>
              </w:rPr>
            </w:pPr>
          </w:p>
        </w:tc>
        <w:tc>
          <w:tcPr>
            <w:tcW w:w="779" w:type="dxa"/>
            <w:tcBorders>
              <w:top w:val="single" w:color="auto" w:sz="4" w:space="0"/>
              <w:left w:val="nil"/>
              <w:bottom w:val="single" w:color="auto" w:sz="4" w:space="0"/>
              <w:right w:val="single" w:color="auto" w:sz="4" w:space="0"/>
            </w:tcBorders>
            <w:shd w:val="clear" w:color="auto" w:fill="auto"/>
            <w:vAlign w:val="center"/>
          </w:tcPr>
          <w:p w14:paraId="1AA0C61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（5分）</w:t>
            </w:r>
          </w:p>
        </w:tc>
        <w:tc>
          <w:tcPr>
            <w:tcW w:w="1105" w:type="dxa"/>
            <w:tcBorders>
              <w:top w:val="nil"/>
              <w:left w:val="nil"/>
              <w:bottom w:val="single" w:color="auto" w:sz="4" w:space="0"/>
              <w:right w:val="single" w:color="auto" w:sz="4" w:space="0"/>
            </w:tcBorders>
            <w:shd w:val="clear" w:color="auto" w:fill="auto"/>
            <w:vAlign w:val="center"/>
          </w:tcPr>
          <w:p w14:paraId="1528735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完成及时率（5分）</w:t>
            </w:r>
          </w:p>
        </w:tc>
        <w:tc>
          <w:tcPr>
            <w:tcW w:w="2372" w:type="dxa"/>
            <w:tcBorders>
              <w:top w:val="nil"/>
              <w:left w:val="nil"/>
              <w:bottom w:val="single" w:color="auto" w:sz="4" w:space="0"/>
              <w:right w:val="single" w:color="auto" w:sz="4" w:space="0"/>
            </w:tcBorders>
            <w:shd w:val="clear" w:color="auto" w:fill="auto"/>
            <w:vAlign w:val="center"/>
          </w:tcPr>
          <w:p w14:paraId="756CD46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项目完成及时性达到100%</w:t>
            </w:r>
          </w:p>
        </w:tc>
        <w:tc>
          <w:tcPr>
            <w:tcW w:w="2333" w:type="dxa"/>
            <w:tcBorders>
              <w:top w:val="nil"/>
              <w:left w:val="nil"/>
              <w:bottom w:val="single" w:color="auto" w:sz="4" w:space="0"/>
              <w:right w:val="single" w:color="auto" w:sz="4" w:space="0"/>
            </w:tcBorders>
            <w:shd w:val="clear" w:color="auto" w:fill="auto"/>
            <w:vAlign w:val="center"/>
          </w:tcPr>
          <w:p w14:paraId="45BAF73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61" w:type="dxa"/>
            <w:tcBorders>
              <w:top w:val="nil"/>
              <w:left w:val="nil"/>
              <w:bottom w:val="single" w:color="auto" w:sz="4" w:space="0"/>
              <w:right w:val="single" w:color="auto" w:sz="12" w:space="0"/>
            </w:tcBorders>
            <w:shd w:val="clear" w:color="auto" w:fill="auto"/>
            <w:vAlign w:val="center"/>
          </w:tcPr>
          <w:p w14:paraId="77F5295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48F5418">
        <w:tblPrEx>
          <w:tblCellMar>
            <w:top w:w="0" w:type="dxa"/>
            <w:left w:w="108" w:type="dxa"/>
            <w:bottom w:w="0" w:type="dxa"/>
            <w:right w:w="108" w:type="dxa"/>
          </w:tblCellMar>
        </w:tblPrEx>
        <w:trPr>
          <w:trHeight w:val="440" w:hRule="atLeast"/>
          <w:jc w:val="right"/>
        </w:trPr>
        <w:tc>
          <w:tcPr>
            <w:tcW w:w="743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1E0CD6BF">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61" w:type="dxa"/>
            <w:tcBorders>
              <w:top w:val="nil"/>
              <w:left w:val="nil"/>
              <w:bottom w:val="single" w:color="auto" w:sz="4" w:space="0"/>
              <w:right w:val="single" w:color="auto" w:sz="12" w:space="0"/>
            </w:tcBorders>
            <w:shd w:val="clear" w:color="auto" w:fill="auto"/>
            <w:vAlign w:val="center"/>
          </w:tcPr>
          <w:p w14:paraId="6F2658B3">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29</w:t>
            </w:r>
          </w:p>
        </w:tc>
      </w:tr>
      <w:tr w14:paraId="1F6BCCC1">
        <w:tblPrEx>
          <w:tblCellMar>
            <w:top w:w="0" w:type="dxa"/>
            <w:left w:w="108" w:type="dxa"/>
            <w:bottom w:w="0" w:type="dxa"/>
            <w:right w:w="108" w:type="dxa"/>
          </w:tblCellMar>
        </w:tblPrEx>
        <w:trPr>
          <w:trHeight w:val="1101" w:hRule="atLeast"/>
          <w:jc w:val="right"/>
        </w:trPr>
        <w:tc>
          <w:tcPr>
            <w:tcW w:w="847" w:type="dxa"/>
            <w:vMerge w:val="restart"/>
            <w:tcBorders>
              <w:top w:val="nil"/>
              <w:left w:val="single" w:color="auto" w:sz="12" w:space="0"/>
              <w:bottom w:val="single" w:color="000000" w:sz="4" w:space="0"/>
              <w:right w:val="single" w:color="auto" w:sz="4" w:space="0"/>
            </w:tcBorders>
            <w:shd w:val="clear" w:color="auto" w:fill="auto"/>
            <w:vAlign w:val="center"/>
          </w:tcPr>
          <w:p w14:paraId="2940D4E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779" w:type="dxa"/>
            <w:vMerge w:val="restart"/>
            <w:tcBorders>
              <w:top w:val="nil"/>
              <w:left w:val="nil"/>
              <w:right w:val="single" w:color="auto" w:sz="4" w:space="0"/>
            </w:tcBorders>
            <w:shd w:val="clear" w:color="auto" w:fill="auto"/>
            <w:vAlign w:val="center"/>
          </w:tcPr>
          <w:p w14:paraId="1FA2737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社会效益指标（15分）</w:t>
            </w:r>
          </w:p>
        </w:tc>
        <w:tc>
          <w:tcPr>
            <w:tcW w:w="1105" w:type="dxa"/>
            <w:tcBorders>
              <w:top w:val="nil"/>
              <w:left w:val="nil"/>
              <w:bottom w:val="single" w:color="auto" w:sz="4" w:space="0"/>
              <w:right w:val="single" w:color="auto" w:sz="4" w:space="0"/>
            </w:tcBorders>
            <w:shd w:val="clear" w:color="auto" w:fill="auto"/>
            <w:vAlign w:val="center"/>
          </w:tcPr>
          <w:p w14:paraId="46DCEC1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促进保障社会和谐（5分）</w:t>
            </w:r>
          </w:p>
        </w:tc>
        <w:tc>
          <w:tcPr>
            <w:tcW w:w="2372" w:type="dxa"/>
            <w:tcBorders>
              <w:top w:val="nil"/>
              <w:left w:val="nil"/>
              <w:bottom w:val="single" w:color="auto" w:sz="4" w:space="0"/>
              <w:right w:val="single" w:color="auto" w:sz="4" w:space="0"/>
            </w:tcBorders>
            <w:shd w:val="clear" w:color="auto" w:fill="auto"/>
            <w:vAlign w:val="center"/>
          </w:tcPr>
          <w:p w14:paraId="459551B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民众幸福满足感提高；使广大群众的生活水平和生活质量随着经济社会发展得到普遍提高。</w:t>
            </w:r>
          </w:p>
        </w:tc>
        <w:tc>
          <w:tcPr>
            <w:tcW w:w="2333" w:type="dxa"/>
            <w:tcBorders>
              <w:top w:val="nil"/>
              <w:left w:val="nil"/>
              <w:bottom w:val="single" w:color="auto" w:sz="4" w:space="0"/>
              <w:right w:val="single" w:color="auto" w:sz="4" w:space="0"/>
            </w:tcBorders>
            <w:shd w:val="clear" w:color="auto" w:fill="auto"/>
            <w:vAlign w:val="center"/>
          </w:tcPr>
          <w:p w14:paraId="14A5F23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积极举办各项活动，处理矛盾纠纷，丰富社区群众生活内容，提升群众的</w:t>
            </w:r>
            <w:r>
              <w:rPr>
                <w:rFonts w:hint="eastAsia" w:ascii="楷体_GB2312" w:hAnsi="宋体" w:eastAsia="楷体_GB2312" w:cs="宋体"/>
                <w:color w:val="000000"/>
                <w:kern w:val="0"/>
                <w:sz w:val="22"/>
                <w:lang w:eastAsia="zh-CN"/>
              </w:rPr>
              <w:t>幸</w:t>
            </w:r>
            <w:r>
              <w:rPr>
                <w:rFonts w:hint="eastAsia" w:ascii="楷体_GB2312" w:hAnsi="宋体" w:eastAsia="楷体_GB2312" w:cs="宋体"/>
                <w:color w:val="000000"/>
                <w:kern w:val="0"/>
                <w:sz w:val="22"/>
              </w:rPr>
              <w:t>福感；积极处理矛盾纠纷，维护社会和谐、稳定发展。</w:t>
            </w:r>
          </w:p>
        </w:tc>
        <w:tc>
          <w:tcPr>
            <w:tcW w:w="761" w:type="dxa"/>
            <w:tcBorders>
              <w:top w:val="nil"/>
              <w:left w:val="nil"/>
              <w:bottom w:val="single" w:color="auto" w:sz="4" w:space="0"/>
              <w:right w:val="single" w:color="auto" w:sz="12" w:space="0"/>
            </w:tcBorders>
            <w:shd w:val="clear" w:color="auto" w:fill="auto"/>
            <w:vAlign w:val="center"/>
          </w:tcPr>
          <w:p w14:paraId="3E6F410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3962BDC">
        <w:tblPrEx>
          <w:tblCellMar>
            <w:top w:w="0" w:type="dxa"/>
            <w:left w:w="108" w:type="dxa"/>
            <w:bottom w:w="0" w:type="dxa"/>
            <w:right w:w="108" w:type="dxa"/>
          </w:tblCellMar>
        </w:tblPrEx>
        <w:trPr>
          <w:trHeight w:val="1101" w:hRule="atLeast"/>
          <w:jc w:val="right"/>
        </w:trPr>
        <w:tc>
          <w:tcPr>
            <w:tcW w:w="847" w:type="dxa"/>
            <w:vMerge w:val="continue"/>
            <w:tcBorders>
              <w:top w:val="nil"/>
              <w:left w:val="single" w:color="auto" w:sz="12" w:space="0"/>
              <w:bottom w:val="single" w:color="000000" w:sz="4" w:space="0"/>
              <w:right w:val="single" w:color="auto" w:sz="4" w:space="0"/>
            </w:tcBorders>
            <w:shd w:val="clear" w:color="auto" w:fill="auto"/>
            <w:vAlign w:val="center"/>
          </w:tcPr>
          <w:p w14:paraId="598FFC8D">
            <w:pPr>
              <w:widowControl/>
              <w:jc w:val="center"/>
              <w:rPr>
                <w:rFonts w:ascii="楷体_GB2312" w:hAnsi="宋体" w:eastAsia="楷体_GB2312" w:cs="宋体"/>
                <w:color w:val="000000"/>
                <w:kern w:val="0"/>
                <w:sz w:val="22"/>
              </w:rPr>
            </w:pPr>
          </w:p>
        </w:tc>
        <w:tc>
          <w:tcPr>
            <w:tcW w:w="779" w:type="dxa"/>
            <w:vMerge w:val="continue"/>
            <w:tcBorders>
              <w:top w:val="nil"/>
              <w:left w:val="nil"/>
              <w:right w:val="single" w:color="auto" w:sz="4" w:space="0"/>
            </w:tcBorders>
            <w:shd w:val="clear" w:color="auto" w:fill="auto"/>
            <w:vAlign w:val="center"/>
          </w:tcPr>
          <w:p w14:paraId="14244CA0">
            <w:pPr>
              <w:widowControl/>
              <w:jc w:val="center"/>
              <w:rPr>
                <w:rFonts w:ascii="楷体_GB2312" w:hAnsi="宋体" w:eastAsia="楷体_GB2312" w:cs="宋体"/>
                <w:color w:val="000000"/>
                <w:kern w:val="0"/>
                <w:sz w:val="22"/>
              </w:rPr>
            </w:pPr>
          </w:p>
        </w:tc>
        <w:tc>
          <w:tcPr>
            <w:tcW w:w="1105" w:type="dxa"/>
            <w:tcBorders>
              <w:top w:val="nil"/>
              <w:left w:val="nil"/>
              <w:bottom w:val="single" w:color="auto" w:sz="4" w:space="0"/>
              <w:right w:val="single" w:color="auto" w:sz="4" w:space="0"/>
            </w:tcBorders>
            <w:shd w:val="clear" w:color="auto" w:fill="auto"/>
            <w:vAlign w:val="center"/>
          </w:tcPr>
          <w:p w14:paraId="1918C7B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对农村经济发展的促进情况(5分)</w:t>
            </w:r>
          </w:p>
        </w:tc>
        <w:tc>
          <w:tcPr>
            <w:tcW w:w="2372" w:type="dxa"/>
            <w:tcBorders>
              <w:top w:val="nil"/>
              <w:left w:val="nil"/>
              <w:bottom w:val="single" w:color="auto" w:sz="4" w:space="0"/>
              <w:right w:val="single" w:color="auto" w:sz="4" w:space="0"/>
            </w:tcBorders>
            <w:shd w:val="clear" w:color="auto" w:fill="auto"/>
            <w:vAlign w:val="center"/>
          </w:tcPr>
          <w:p w14:paraId="5C8E2BB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从促进农村经济有序发展和减少经济损失两个方面进行考核。</w:t>
            </w:r>
          </w:p>
        </w:tc>
        <w:tc>
          <w:tcPr>
            <w:tcW w:w="2333" w:type="dxa"/>
            <w:tcBorders>
              <w:top w:val="nil"/>
              <w:left w:val="nil"/>
              <w:bottom w:val="single" w:color="auto" w:sz="4" w:space="0"/>
              <w:right w:val="single" w:color="auto" w:sz="4" w:space="0"/>
            </w:tcBorders>
            <w:shd w:val="clear" w:color="auto" w:fill="auto"/>
            <w:vAlign w:val="center"/>
          </w:tcPr>
          <w:p w14:paraId="707EA10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促进农村经济稳步增长，减少农民经济损失。</w:t>
            </w:r>
          </w:p>
        </w:tc>
        <w:tc>
          <w:tcPr>
            <w:tcW w:w="761" w:type="dxa"/>
            <w:tcBorders>
              <w:top w:val="nil"/>
              <w:left w:val="nil"/>
              <w:bottom w:val="single" w:color="auto" w:sz="4" w:space="0"/>
              <w:right w:val="single" w:color="auto" w:sz="12" w:space="0"/>
            </w:tcBorders>
            <w:shd w:val="clear" w:color="auto" w:fill="auto"/>
            <w:vAlign w:val="center"/>
          </w:tcPr>
          <w:p w14:paraId="1A9A5D8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35F17172">
        <w:tblPrEx>
          <w:tblCellMar>
            <w:top w:w="0" w:type="dxa"/>
            <w:left w:w="108" w:type="dxa"/>
            <w:bottom w:w="0" w:type="dxa"/>
            <w:right w:w="108" w:type="dxa"/>
          </w:tblCellMar>
        </w:tblPrEx>
        <w:trPr>
          <w:trHeight w:val="1101" w:hRule="atLeast"/>
          <w:jc w:val="right"/>
        </w:trPr>
        <w:tc>
          <w:tcPr>
            <w:tcW w:w="847" w:type="dxa"/>
            <w:vMerge w:val="continue"/>
            <w:tcBorders>
              <w:top w:val="nil"/>
              <w:left w:val="single" w:color="auto" w:sz="12" w:space="0"/>
              <w:bottom w:val="single" w:color="000000" w:sz="4" w:space="0"/>
              <w:right w:val="single" w:color="auto" w:sz="4" w:space="0"/>
            </w:tcBorders>
            <w:shd w:val="clear" w:color="auto" w:fill="auto"/>
            <w:vAlign w:val="center"/>
          </w:tcPr>
          <w:p w14:paraId="7FF56174">
            <w:pPr>
              <w:widowControl/>
              <w:jc w:val="center"/>
              <w:rPr>
                <w:rFonts w:ascii="楷体_GB2312" w:hAnsi="宋体" w:eastAsia="楷体_GB2312" w:cs="宋体"/>
                <w:color w:val="000000"/>
                <w:kern w:val="0"/>
                <w:sz w:val="22"/>
              </w:rPr>
            </w:pPr>
          </w:p>
        </w:tc>
        <w:tc>
          <w:tcPr>
            <w:tcW w:w="779" w:type="dxa"/>
            <w:vMerge w:val="continue"/>
            <w:tcBorders>
              <w:left w:val="nil"/>
              <w:bottom w:val="single" w:color="auto" w:sz="4" w:space="0"/>
              <w:right w:val="single" w:color="auto" w:sz="4" w:space="0"/>
            </w:tcBorders>
            <w:shd w:val="clear" w:color="auto" w:fill="auto"/>
            <w:vAlign w:val="center"/>
          </w:tcPr>
          <w:p w14:paraId="2E6A02E1">
            <w:pPr>
              <w:widowControl/>
              <w:jc w:val="center"/>
              <w:rPr>
                <w:rFonts w:ascii="楷体_GB2312" w:hAnsi="宋体" w:eastAsia="楷体_GB2312" w:cs="宋体"/>
                <w:color w:val="000000"/>
                <w:kern w:val="0"/>
                <w:sz w:val="22"/>
              </w:rPr>
            </w:pPr>
          </w:p>
        </w:tc>
        <w:tc>
          <w:tcPr>
            <w:tcW w:w="1105" w:type="dxa"/>
            <w:tcBorders>
              <w:top w:val="nil"/>
              <w:left w:val="nil"/>
              <w:bottom w:val="single" w:color="auto" w:sz="4" w:space="0"/>
              <w:right w:val="single" w:color="auto" w:sz="4" w:space="0"/>
            </w:tcBorders>
            <w:shd w:val="clear" w:color="auto" w:fill="auto"/>
            <w:vAlign w:val="center"/>
          </w:tcPr>
          <w:p w14:paraId="69EA997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居民人身和财产安全的保障情况（5分）</w:t>
            </w:r>
          </w:p>
        </w:tc>
        <w:tc>
          <w:tcPr>
            <w:tcW w:w="2372" w:type="dxa"/>
            <w:tcBorders>
              <w:top w:val="nil"/>
              <w:left w:val="nil"/>
              <w:bottom w:val="single" w:color="auto" w:sz="4" w:space="0"/>
              <w:right w:val="single" w:color="auto" w:sz="4" w:space="0"/>
            </w:tcBorders>
            <w:shd w:val="clear" w:color="auto" w:fill="auto"/>
            <w:vAlign w:val="center"/>
          </w:tcPr>
          <w:p w14:paraId="7EEF556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构筑较为完善的社会治安防控体系、疫病控制体系，安全消防体系</w:t>
            </w:r>
          </w:p>
        </w:tc>
        <w:tc>
          <w:tcPr>
            <w:tcW w:w="2333" w:type="dxa"/>
            <w:tcBorders>
              <w:top w:val="nil"/>
              <w:left w:val="nil"/>
              <w:bottom w:val="single" w:color="auto" w:sz="4" w:space="0"/>
              <w:right w:val="single" w:color="auto" w:sz="4" w:space="0"/>
            </w:tcBorders>
            <w:shd w:val="clear" w:color="auto" w:fill="auto"/>
            <w:vAlign w:val="center"/>
          </w:tcPr>
          <w:p w14:paraId="0E092A4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破获各类案件146件，打掉黑恶团伙2个,有力地震慑了犯罪分子；控制重大动物疫病的发生和传播得到有效控制；控制已发火情，直接挽回经济损失60%。</w:t>
            </w:r>
          </w:p>
        </w:tc>
        <w:tc>
          <w:tcPr>
            <w:tcW w:w="761" w:type="dxa"/>
            <w:tcBorders>
              <w:top w:val="nil"/>
              <w:left w:val="nil"/>
              <w:bottom w:val="single" w:color="auto" w:sz="4" w:space="0"/>
              <w:right w:val="single" w:color="auto" w:sz="12" w:space="0"/>
            </w:tcBorders>
            <w:shd w:val="clear" w:color="auto" w:fill="auto"/>
            <w:vAlign w:val="center"/>
          </w:tcPr>
          <w:p w14:paraId="0830013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D0B98E7">
        <w:tblPrEx>
          <w:tblCellMar>
            <w:top w:w="0" w:type="dxa"/>
            <w:left w:w="108" w:type="dxa"/>
            <w:bottom w:w="0" w:type="dxa"/>
            <w:right w:w="108" w:type="dxa"/>
          </w:tblCellMar>
        </w:tblPrEx>
        <w:trPr>
          <w:trHeight w:val="1067" w:hRule="atLeast"/>
          <w:jc w:val="right"/>
        </w:trPr>
        <w:tc>
          <w:tcPr>
            <w:tcW w:w="847" w:type="dxa"/>
            <w:vMerge w:val="continue"/>
            <w:tcBorders>
              <w:top w:val="nil"/>
              <w:left w:val="single" w:color="auto" w:sz="12" w:space="0"/>
              <w:bottom w:val="single" w:color="000000" w:sz="4" w:space="0"/>
              <w:right w:val="single" w:color="auto" w:sz="4" w:space="0"/>
            </w:tcBorders>
            <w:vAlign w:val="center"/>
          </w:tcPr>
          <w:p w14:paraId="142C678A">
            <w:pPr>
              <w:widowControl/>
              <w:jc w:val="left"/>
              <w:rPr>
                <w:rFonts w:ascii="楷体_GB2312" w:hAnsi="宋体" w:eastAsia="楷体_GB2312" w:cs="宋体"/>
                <w:color w:val="000000"/>
                <w:kern w:val="0"/>
                <w:sz w:val="22"/>
              </w:rPr>
            </w:pPr>
          </w:p>
        </w:tc>
        <w:tc>
          <w:tcPr>
            <w:tcW w:w="779" w:type="dxa"/>
            <w:tcBorders>
              <w:top w:val="nil"/>
              <w:left w:val="nil"/>
              <w:bottom w:val="single" w:color="auto" w:sz="4" w:space="0"/>
              <w:right w:val="single" w:color="auto" w:sz="4" w:space="0"/>
            </w:tcBorders>
            <w:shd w:val="clear" w:color="auto" w:fill="auto"/>
            <w:vAlign w:val="center"/>
          </w:tcPr>
          <w:p w14:paraId="2EE8E38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生态效益(5分)</w:t>
            </w:r>
          </w:p>
        </w:tc>
        <w:tc>
          <w:tcPr>
            <w:tcW w:w="1105" w:type="dxa"/>
            <w:tcBorders>
              <w:top w:val="nil"/>
              <w:left w:val="nil"/>
              <w:bottom w:val="single" w:color="auto" w:sz="4" w:space="0"/>
              <w:right w:val="single" w:color="auto" w:sz="4" w:space="0"/>
            </w:tcBorders>
            <w:shd w:val="clear" w:color="auto" w:fill="auto"/>
            <w:vAlign w:val="center"/>
          </w:tcPr>
          <w:p w14:paraId="5BF8B9B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生态效益指标（5分）</w:t>
            </w:r>
          </w:p>
        </w:tc>
        <w:tc>
          <w:tcPr>
            <w:tcW w:w="2372" w:type="dxa"/>
            <w:tcBorders>
              <w:top w:val="nil"/>
              <w:left w:val="nil"/>
              <w:bottom w:val="single" w:color="auto" w:sz="4" w:space="0"/>
              <w:right w:val="single" w:color="auto" w:sz="4" w:space="0"/>
            </w:tcBorders>
            <w:shd w:val="clear" w:color="auto" w:fill="auto"/>
            <w:vAlign w:val="center"/>
          </w:tcPr>
          <w:p w14:paraId="0DB9AF0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对农村生态环境的影响</w:t>
            </w:r>
          </w:p>
        </w:tc>
        <w:tc>
          <w:tcPr>
            <w:tcW w:w="2333" w:type="dxa"/>
            <w:tcBorders>
              <w:top w:val="nil"/>
              <w:left w:val="nil"/>
              <w:bottom w:val="single" w:color="auto" w:sz="4" w:space="0"/>
              <w:right w:val="single" w:color="auto" w:sz="4" w:space="0"/>
            </w:tcBorders>
            <w:shd w:val="clear" w:color="auto" w:fill="auto"/>
            <w:vAlign w:val="center"/>
          </w:tcPr>
          <w:p w14:paraId="4F38622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促进无公害农产品发展，为生物的生存提供安全的环境，减少环境破坏。</w:t>
            </w:r>
          </w:p>
        </w:tc>
        <w:tc>
          <w:tcPr>
            <w:tcW w:w="761" w:type="dxa"/>
            <w:tcBorders>
              <w:top w:val="nil"/>
              <w:left w:val="nil"/>
              <w:bottom w:val="single" w:color="auto" w:sz="4" w:space="0"/>
              <w:right w:val="single" w:color="auto" w:sz="12" w:space="0"/>
            </w:tcBorders>
            <w:shd w:val="clear" w:color="auto" w:fill="auto"/>
            <w:vAlign w:val="center"/>
          </w:tcPr>
          <w:p w14:paraId="4CA4D27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516C8CC">
        <w:tblPrEx>
          <w:tblCellMar>
            <w:top w:w="0" w:type="dxa"/>
            <w:left w:w="108" w:type="dxa"/>
            <w:bottom w:w="0" w:type="dxa"/>
            <w:right w:w="108" w:type="dxa"/>
          </w:tblCellMar>
        </w:tblPrEx>
        <w:trPr>
          <w:trHeight w:val="1067" w:hRule="atLeast"/>
          <w:jc w:val="right"/>
        </w:trPr>
        <w:tc>
          <w:tcPr>
            <w:tcW w:w="847" w:type="dxa"/>
            <w:vMerge w:val="continue"/>
            <w:tcBorders>
              <w:top w:val="nil"/>
              <w:left w:val="single" w:color="auto" w:sz="12" w:space="0"/>
              <w:bottom w:val="single" w:color="000000" w:sz="4" w:space="0"/>
              <w:right w:val="single" w:color="auto" w:sz="4" w:space="0"/>
            </w:tcBorders>
            <w:vAlign w:val="center"/>
          </w:tcPr>
          <w:p w14:paraId="16DE5E38">
            <w:pPr>
              <w:widowControl/>
              <w:jc w:val="left"/>
              <w:rPr>
                <w:rFonts w:ascii="楷体_GB2312" w:hAnsi="宋体" w:eastAsia="楷体_GB2312" w:cs="宋体"/>
                <w:color w:val="000000"/>
                <w:kern w:val="0"/>
                <w:sz w:val="22"/>
              </w:rPr>
            </w:pPr>
          </w:p>
        </w:tc>
        <w:tc>
          <w:tcPr>
            <w:tcW w:w="779" w:type="dxa"/>
            <w:tcBorders>
              <w:top w:val="nil"/>
              <w:left w:val="nil"/>
              <w:bottom w:val="single" w:color="auto" w:sz="4" w:space="0"/>
              <w:right w:val="single" w:color="auto" w:sz="4" w:space="0"/>
            </w:tcBorders>
            <w:shd w:val="clear" w:color="auto" w:fill="auto"/>
            <w:vAlign w:val="center"/>
          </w:tcPr>
          <w:p w14:paraId="7CF1BE9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可持续影响指标(5分)</w:t>
            </w:r>
          </w:p>
        </w:tc>
        <w:tc>
          <w:tcPr>
            <w:tcW w:w="1105" w:type="dxa"/>
            <w:tcBorders>
              <w:top w:val="nil"/>
              <w:left w:val="nil"/>
              <w:bottom w:val="single" w:color="auto" w:sz="4" w:space="0"/>
              <w:right w:val="single" w:color="auto" w:sz="4" w:space="0"/>
            </w:tcBorders>
            <w:shd w:val="clear" w:color="auto" w:fill="auto"/>
            <w:vAlign w:val="center"/>
          </w:tcPr>
          <w:p w14:paraId="79BF04F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可持续影响指标（5分）</w:t>
            </w:r>
          </w:p>
        </w:tc>
        <w:tc>
          <w:tcPr>
            <w:tcW w:w="2372" w:type="dxa"/>
            <w:tcBorders>
              <w:top w:val="nil"/>
              <w:left w:val="nil"/>
              <w:bottom w:val="single" w:color="auto" w:sz="4" w:space="0"/>
              <w:right w:val="single" w:color="auto" w:sz="4" w:space="0"/>
            </w:tcBorders>
            <w:shd w:val="clear" w:color="auto" w:fill="auto"/>
            <w:vAlign w:val="center"/>
          </w:tcPr>
          <w:p w14:paraId="2DD5E00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项目持续发挥作用</w:t>
            </w:r>
          </w:p>
        </w:tc>
        <w:tc>
          <w:tcPr>
            <w:tcW w:w="2333" w:type="dxa"/>
            <w:tcBorders>
              <w:top w:val="nil"/>
              <w:left w:val="nil"/>
              <w:bottom w:val="single" w:color="auto" w:sz="4" w:space="0"/>
              <w:right w:val="single" w:color="auto" w:sz="4" w:space="0"/>
            </w:tcBorders>
            <w:shd w:val="clear" w:color="auto" w:fill="auto"/>
            <w:vAlign w:val="center"/>
          </w:tcPr>
          <w:p w14:paraId="568AFE9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常年、连续投入专项资金，实施是持续性的，并建立了长效机制，完善</w:t>
            </w:r>
            <w:r>
              <w:rPr>
                <w:rFonts w:ascii="楷体_GB2312" w:hAnsi="宋体" w:eastAsia="楷体_GB2312" w:cs="宋体"/>
                <w:color w:val="000000"/>
                <w:kern w:val="0"/>
                <w:sz w:val="22"/>
              </w:rPr>
              <w:t>社区配套</w:t>
            </w:r>
            <w:r>
              <w:rPr>
                <w:rFonts w:hint="eastAsia" w:ascii="楷体_GB2312" w:hAnsi="宋体" w:eastAsia="楷体_GB2312" w:cs="宋体"/>
                <w:color w:val="000000"/>
                <w:kern w:val="0"/>
                <w:sz w:val="22"/>
              </w:rPr>
              <w:t>、社会保障服务体系。</w:t>
            </w:r>
          </w:p>
        </w:tc>
        <w:tc>
          <w:tcPr>
            <w:tcW w:w="761" w:type="dxa"/>
            <w:tcBorders>
              <w:top w:val="nil"/>
              <w:left w:val="nil"/>
              <w:bottom w:val="single" w:color="auto" w:sz="4" w:space="0"/>
              <w:right w:val="single" w:color="auto" w:sz="12" w:space="0"/>
            </w:tcBorders>
            <w:shd w:val="clear" w:color="auto" w:fill="auto"/>
            <w:vAlign w:val="center"/>
          </w:tcPr>
          <w:p w14:paraId="7700E0C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A0254CE">
        <w:tblPrEx>
          <w:tblCellMar>
            <w:top w:w="0" w:type="dxa"/>
            <w:left w:w="108" w:type="dxa"/>
            <w:bottom w:w="0" w:type="dxa"/>
            <w:right w:w="108" w:type="dxa"/>
          </w:tblCellMar>
        </w:tblPrEx>
        <w:trPr>
          <w:trHeight w:val="660" w:hRule="atLeast"/>
          <w:jc w:val="right"/>
        </w:trPr>
        <w:tc>
          <w:tcPr>
            <w:tcW w:w="847" w:type="dxa"/>
            <w:vMerge w:val="continue"/>
            <w:tcBorders>
              <w:top w:val="nil"/>
              <w:left w:val="single" w:color="auto" w:sz="12" w:space="0"/>
              <w:bottom w:val="single" w:color="000000" w:sz="4" w:space="0"/>
              <w:right w:val="single" w:color="auto" w:sz="4" w:space="0"/>
            </w:tcBorders>
            <w:vAlign w:val="center"/>
          </w:tcPr>
          <w:p w14:paraId="42EA047D">
            <w:pPr>
              <w:widowControl/>
              <w:jc w:val="left"/>
              <w:rPr>
                <w:rFonts w:ascii="楷体_GB2312" w:hAnsi="宋体" w:eastAsia="楷体_GB2312" w:cs="宋体"/>
                <w:color w:val="000000"/>
                <w:kern w:val="0"/>
                <w:sz w:val="22"/>
              </w:rPr>
            </w:pPr>
          </w:p>
        </w:tc>
        <w:tc>
          <w:tcPr>
            <w:tcW w:w="779" w:type="dxa"/>
            <w:tcBorders>
              <w:top w:val="nil"/>
              <w:left w:val="nil"/>
              <w:bottom w:val="single" w:color="auto" w:sz="4" w:space="0"/>
              <w:right w:val="single" w:color="auto" w:sz="4" w:space="0"/>
            </w:tcBorders>
            <w:shd w:val="clear" w:color="auto" w:fill="auto"/>
            <w:vAlign w:val="center"/>
          </w:tcPr>
          <w:p w14:paraId="317DEC6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服务对象满意度指标 （5分）</w:t>
            </w:r>
          </w:p>
        </w:tc>
        <w:tc>
          <w:tcPr>
            <w:tcW w:w="1105" w:type="dxa"/>
            <w:tcBorders>
              <w:top w:val="nil"/>
              <w:left w:val="nil"/>
              <w:bottom w:val="single" w:color="auto" w:sz="4" w:space="0"/>
              <w:right w:val="single" w:color="auto" w:sz="4" w:space="0"/>
            </w:tcBorders>
            <w:shd w:val="clear" w:color="auto" w:fill="auto"/>
            <w:vAlign w:val="center"/>
          </w:tcPr>
          <w:p w14:paraId="6729595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社会公众或服务对象满意度指标（5分）</w:t>
            </w:r>
          </w:p>
        </w:tc>
        <w:tc>
          <w:tcPr>
            <w:tcW w:w="2372" w:type="dxa"/>
            <w:tcBorders>
              <w:top w:val="nil"/>
              <w:left w:val="nil"/>
              <w:bottom w:val="single" w:color="auto" w:sz="4" w:space="0"/>
              <w:right w:val="single" w:color="auto" w:sz="4" w:space="0"/>
            </w:tcBorders>
            <w:shd w:val="clear" w:color="auto" w:fill="auto"/>
            <w:vAlign w:val="center"/>
          </w:tcPr>
          <w:p w14:paraId="5510E67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社会公众或服务对象满意度达到90%以上</w:t>
            </w:r>
          </w:p>
        </w:tc>
        <w:tc>
          <w:tcPr>
            <w:tcW w:w="2333" w:type="dxa"/>
            <w:tcBorders>
              <w:top w:val="nil"/>
              <w:left w:val="nil"/>
              <w:bottom w:val="single" w:color="auto" w:sz="4" w:space="0"/>
              <w:right w:val="single" w:color="auto" w:sz="4" w:space="0"/>
            </w:tcBorders>
            <w:shd w:val="clear" w:color="auto" w:fill="auto"/>
            <w:vAlign w:val="center"/>
          </w:tcPr>
          <w:p w14:paraId="369F7F0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 xml:space="preserve">满意度90%-100% </w:t>
            </w:r>
          </w:p>
        </w:tc>
        <w:tc>
          <w:tcPr>
            <w:tcW w:w="761" w:type="dxa"/>
            <w:tcBorders>
              <w:top w:val="nil"/>
              <w:left w:val="nil"/>
              <w:bottom w:val="single" w:color="auto" w:sz="4" w:space="0"/>
              <w:right w:val="single" w:color="auto" w:sz="12" w:space="0"/>
            </w:tcBorders>
            <w:shd w:val="clear" w:color="auto" w:fill="auto"/>
            <w:vAlign w:val="center"/>
          </w:tcPr>
          <w:p w14:paraId="0B986A8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1898C3D">
        <w:tblPrEx>
          <w:tblCellMar>
            <w:top w:w="0" w:type="dxa"/>
            <w:left w:w="108" w:type="dxa"/>
            <w:bottom w:w="0" w:type="dxa"/>
            <w:right w:w="108" w:type="dxa"/>
          </w:tblCellMar>
        </w:tblPrEx>
        <w:trPr>
          <w:trHeight w:val="440" w:hRule="atLeast"/>
          <w:jc w:val="right"/>
        </w:trPr>
        <w:tc>
          <w:tcPr>
            <w:tcW w:w="743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6DCC5E2D">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61" w:type="dxa"/>
            <w:tcBorders>
              <w:top w:val="nil"/>
              <w:left w:val="nil"/>
              <w:bottom w:val="single" w:color="auto" w:sz="4" w:space="0"/>
              <w:right w:val="single" w:color="auto" w:sz="12" w:space="0"/>
            </w:tcBorders>
            <w:shd w:val="clear" w:color="auto" w:fill="auto"/>
            <w:vAlign w:val="center"/>
          </w:tcPr>
          <w:p w14:paraId="53CE4256">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27</w:t>
            </w:r>
          </w:p>
        </w:tc>
      </w:tr>
      <w:tr w14:paraId="4878E0BE">
        <w:tblPrEx>
          <w:tblCellMar>
            <w:top w:w="0" w:type="dxa"/>
            <w:left w:w="108" w:type="dxa"/>
            <w:bottom w:w="0" w:type="dxa"/>
            <w:right w:w="108" w:type="dxa"/>
          </w:tblCellMar>
        </w:tblPrEx>
        <w:trPr>
          <w:trHeight w:val="440" w:hRule="atLeast"/>
          <w:jc w:val="right"/>
        </w:trPr>
        <w:tc>
          <w:tcPr>
            <w:tcW w:w="7436" w:type="dxa"/>
            <w:gridSpan w:val="5"/>
            <w:tcBorders>
              <w:top w:val="single" w:color="auto" w:sz="4" w:space="0"/>
              <w:left w:val="single" w:color="auto" w:sz="12" w:space="0"/>
              <w:bottom w:val="single" w:color="auto" w:sz="12" w:space="0"/>
              <w:right w:val="single" w:color="000000" w:sz="4" w:space="0"/>
            </w:tcBorders>
            <w:shd w:val="clear" w:color="auto" w:fill="auto"/>
            <w:vAlign w:val="center"/>
          </w:tcPr>
          <w:p w14:paraId="2133781E">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61" w:type="dxa"/>
            <w:tcBorders>
              <w:top w:val="nil"/>
              <w:left w:val="nil"/>
              <w:bottom w:val="single" w:color="auto" w:sz="12" w:space="0"/>
              <w:right w:val="single" w:color="auto" w:sz="12" w:space="0"/>
            </w:tcBorders>
            <w:shd w:val="clear" w:color="auto" w:fill="auto"/>
            <w:vAlign w:val="center"/>
          </w:tcPr>
          <w:p w14:paraId="793E3EF1">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93</w:t>
            </w:r>
          </w:p>
        </w:tc>
      </w:tr>
    </w:tbl>
    <w:p w14:paraId="5986AE13">
      <w:pPr>
        <w:spacing w:line="360" w:lineRule="auto"/>
        <w:ind w:firstLine="560" w:firstLineChars="200"/>
        <w:rPr>
          <w:sz w:val="28"/>
        </w:rPr>
      </w:pPr>
      <w:r>
        <w:rPr>
          <w:rFonts w:hint="eastAsia"/>
          <w:sz w:val="28"/>
        </w:rPr>
        <w:t>l．产出目标</w:t>
      </w:r>
    </w:p>
    <w:p w14:paraId="0FD0AE19">
      <w:pPr>
        <w:spacing w:line="360" w:lineRule="auto"/>
        <w:ind w:firstLine="560" w:firstLineChars="200"/>
        <w:rPr>
          <w:sz w:val="28"/>
        </w:rPr>
      </w:pPr>
      <w:r>
        <w:rPr>
          <w:rFonts w:hint="eastAsia"/>
          <w:sz w:val="28"/>
        </w:rPr>
        <w:t>数量指标:</w:t>
      </w:r>
    </w:p>
    <w:p w14:paraId="60B7A4AE">
      <w:pPr>
        <w:spacing w:line="360" w:lineRule="auto"/>
        <w:ind w:firstLine="560" w:firstLineChars="200"/>
        <w:rPr>
          <w:sz w:val="28"/>
        </w:rPr>
      </w:pPr>
      <w:r>
        <w:rPr>
          <w:rFonts w:hint="eastAsia"/>
          <w:sz w:val="28"/>
        </w:rPr>
        <w:t>各职能部门，根据实际情况，举办了各种党群、社区活动，对计生、消防、防火、食品安全等知识的宣传，对森林的巡查、对食物、动植物的抽查等，均达到规定次数。</w:t>
      </w:r>
    </w:p>
    <w:p w14:paraId="3BE83941">
      <w:pPr>
        <w:spacing w:line="360" w:lineRule="auto"/>
        <w:ind w:firstLine="560" w:firstLineChars="200"/>
        <w:rPr>
          <w:sz w:val="28"/>
        </w:rPr>
      </w:pPr>
      <w:r>
        <w:rPr>
          <w:rFonts w:hint="eastAsia"/>
          <w:sz w:val="28"/>
        </w:rPr>
        <w:t>质量指标：</w:t>
      </w:r>
    </w:p>
    <w:p w14:paraId="0936A72F">
      <w:pPr>
        <w:spacing w:line="360" w:lineRule="auto"/>
        <w:ind w:firstLine="560" w:firstLineChars="200"/>
        <w:rPr>
          <w:sz w:val="28"/>
        </w:rPr>
      </w:pPr>
      <w:r>
        <w:rPr>
          <w:rFonts w:hint="eastAsia"/>
          <w:sz w:val="28"/>
        </w:rPr>
        <w:t>对社会保障资金的发放基本覆盖了所有应发补贴的对象，各项宣传活动基本覆盖各服务对象，对各服务对象基本均纳入了综合管理内，但计生工作的宣传活动覆盖率欠佳，未将所有服务对象纳入管理范围内</w:t>
      </w:r>
    </w:p>
    <w:p w14:paraId="7E4BB3FE">
      <w:pPr>
        <w:spacing w:line="360" w:lineRule="auto"/>
        <w:ind w:firstLine="560" w:firstLineChars="200"/>
        <w:rPr>
          <w:sz w:val="28"/>
        </w:rPr>
      </w:pPr>
      <w:r>
        <w:rPr>
          <w:rFonts w:hint="eastAsia"/>
          <w:sz w:val="28"/>
        </w:rPr>
        <w:t>时效指标：</w:t>
      </w:r>
    </w:p>
    <w:p w14:paraId="550714C6">
      <w:pPr>
        <w:spacing w:line="360" w:lineRule="auto"/>
        <w:ind w:firstLine="560" w:firstLineChars="200"/>
        <w:rPr>
          <w:sz w:val="28"/>
        </w:rPr>
      </w:pPr>
      <w:r>
        <w:rPr>
          <w:rFonts w:hint="eastAsia"/>
          <w:sz w:val="28"/>
        </w:rPr>
        <w:t>社会保障资金均有按时发放，各项活动均能按时完成。</w:t>
      </w:r>
    </w:p>
    <w:p w14:paraId="1A2596C1">
      <w:pPr>
        <w:spacing w:line="360" w:lineRule="auto"/>
        <w:ind w:firstLine="560" w:firstLineChars="200"/>
        <w:rPr>
          <w:sz w:val="28"/>
        </w:rPr>
      </w:pPr>
      <w:r>
        <w:rPr>
          <w:rFonts w:hint="eastAsia"/>
          <w:sz w:val="28"/>
        </w:rPr>
        <w:t>2．效果目标</w:t>
      </w:r>
    </w:p>
    <w:p w14:paraId="7E0010D1">
      <w:pPr>
        <w:spacing w:line="360" w:lineRule="auto"/>
        <w:ind w:firstLine="560" w:firstLineChars="200"/>
        <w:rPr>
          <w:sz w:val="28"/>
        </w:rPr>
      </w:pPr>
      <w:r>
        <w:rPr>
          <w:rFonts w:hint="eastAsia"/>
          <w:sz w:val="28"/>
        </w:rPr>
        <w:t>社会效果：</w:t>
      </w:r>
    </w:p>
    <w:p w14:paraId="6052C19E">
      <w:pPr>
        <w:spacing w:line="360" w:lineRule="auto"/>
        <w:ind w:firstLine="560" w:firstLineChars="200"/>
        <w:rPr>
          <w:sz w:val="28"/>
        </w:rPr>
      </w:pPr>
      <w:r>
        <w:rPr>
          <w:rFonts w:hint="eastAsia"/>
          <w:sz w:val="28"/>
        </w:rPr>
        <w:t>总体来看，项目产生了良好的社会效益，提升了居民的幸福感，有利于提升社区群众的综合素质。社区群众生活内容丰富多彩，文化演出活动的举办增强了社区的文化氛围；社会保障体系的建立促进了社会和谐发展；安全生产责任制落实，推进安全生产标准化、信息化建设，全年实现安全生产事故零发生，积极处理矛盾纠纷，维护社会和谐、稳定发展。</w:t>
      </w:r>
    </w:p>
    <w:p w14:paraId="2DA07147">
      <w:pPr>
        <w:spacing w:line="360" w:lineRule="auto"/>
        <w:ind w:firstLine="560" w:firstLineChars="200"/>
        <w:rPr>
          <w:sz w:val="28"/>
        </w:rPr>
      </w:pPr>
      <w:r>
        <w:rPr>
          <w:rFonts w:hint="eastAsia"/>
          <w:sz w:val="28"/>
        </w:rPr>
        <w:t>生态效益：</w:t>
      </w:r>
    </w:p>
    <w:p w14:paraId="61A074FC">
      <w:pPr>
        <w:spacing w:line="360" w:lineRule="auto"/>
        <w:ind w:firstLine="560" w:firstLineChars="200"/>
        <w:rPr>
          <w:sz w:val="28"/>
        </w:rPr>
      </w:pPr>
      <w:r>
        <w:rPr>
          <w:rFonts w:hint="eastAsia"/>
          <w:sz w:val="28"/>
        </w:rPr>
        <w:t>农林水专项工作对环境带来的效益主要体现在生态环境上，一方面是农业生态环境的改善，控制重大动物疫病的发生和传播；另一方面是林业生态环境的改善，无公害处置病虫害树木，预防并减少森林火灾。</w:t>
      </w:r>
    </w:p>
    <w:p w14:paraId="511F28FF">
      <w:pPr>
        <w:spacing w:line="360" w:lineRule="auto"/>
        <w:ind w:firstLine="560" w:firstLineChars="200"/>
        <w:rPr>
          <w:sz w:val="28"/>
        </w:rPr>
      </w:pPr>
      <w:r>
        <w:rPr>
          <w:rFonts w:hint="eastAsia"/>
          <w:sz w:val="28"/>
        </w:rPr>
        <w:t>可持续影响指标：</w:t>
      </w:r>
    </w:p>
    <w:p w14:paraId="4DA1BD13">
      <w:pPr>
        <w:spacing w:line="360" w:lineRule="auto"/>
        <w:ind w:firstLine="560" w:firstLineChars="200"/>
        <w:rPr>
          <w:sz w:val="28"/>
        </w:rPr>
      </w:pPr>
      <w:r>
        <w:rPr>
          <w:rFonts w:hint="eastAsia"/>
          <w:sz w:val="28"/>
        </w:rPr>
        <w:t>从群众的反馈情况来看，项目宣传和治理工作方面取得了一定成效，常年、连续投入专项资金，长效机制的建立，使项目发展具有可持续性。</w:t>
      </w:r>
    </w:p>
    <w:p w14:paraId="3F05083B">
      <w:pPr>
        <w:spacing w:line="360" w:lineRule="auto"/>
        <w:ind w:firstLine="560" w:firstLineChars="200"/>
        <w:rPr>
          <w:sz w:val="28"/>
        </w:rPr>
      </w:pPr>
      <w:r>
        <w:rPr>
          <w:rFonts w:hint="eastAsia"/>
          <w:sz w:val="28"/>
        </w:rPr>
        <w:t>满意度指标：</w:t>
      </w:r>
    </w:p>
    <w:p w14:paraId="45C9373E">
      <w:pPr>
        <w:spacing w:line="360" w:lineRule="auto"/>
        <w:ind w:firstLine="560" w:firstLineChars="200"/>
        <w:rPr>
          <w:sz w:val="28"/>
        </w:rPr>
      </w:pPr>
      <w:r>
        <w:rPr>
          <w:rFonts w:hint="eastAsia"/>
          <w:sz w:val="28"/>
        </w:rPr>
        <w:t>通过调查问卷统计，社会公众或服务对象满意度为达到90%以上。</w:t>
      </w:r>
    </w:p>
    <w:p w14:paraId="5A00D1B1">
      <w:pPr>
        <w:spacing w:line="360" w:lineRule="auto"/>
        <w:ind w:firstLine="602" w:firstLineChars="200"/>
        <w:rPr>
          <w:rFonts w:ascii="黑体" w:hAnsi="黑体" w:eastAsia="黑体"/>
          <w:b/>
          <w:sz w:val="30"/>
          <w:szCs w:val="30"/>
        </w:rPr>
      </w:pPr>
      <w:r>
        <w:rPr>
          <w:rFonts w:hint="eastAsia" w:ascii="黑体" w:hAnsi="黑体" w:eastAsia="黑体"/>
          <w:b/>
          <w:sz w:val="30"/>
          <w:szCs w:val="30"/>
        </w:rPr>
        <w:t>三、自评结论</w:t>
      </w:r>
    </w:p>
    <w:p w14:paraId="121902A5">
      <w:pPr>
        <w:spacing w:line="360" w:lineRule="auto"/>
        <w:ind w:firstLine="560" w:firstLineChars="200"/>
        <w:rPr>
          <w:sz w:val="28"/>
        </w:rPr>
      </w:pPr>
      <w:r>
        <w:rPr>
          <w:rFonts w:hint="eastAsia" w:ascii="楷体_GB2312" w:eastAsia="楷体_GB2312"/>
          <w:sz w:val="28"/>
        </w:rPr>
        <w:t>（一）自评结论</w:t>
      </w:r>
    </w:p>
    <w:p w14:paraId="7EF99B9E">
      <w:pPr>
        <w:spacing w:line="360" w:lineRule="auto"/>
        <w:ind w:firstLine="560" w:firstLineChars="200"/>
        <w:rPr>
          <w:sz w:val="28"/>
        </w:rPr>
      </w:pPr>
      <w:r>
        <w:rPr>
          <w:rFonts w:hint="eastAsia"/>
          <w:sz w:val="28"/>
        </w:rPr>
        <w:t>“项目投入”方面，依照高新区组织要求，为确保九峰街道办事处工作顺利开展，经费有保障，制定了项目预算，执行率较高但测算准确率欠佳，部分项目立项分类不十分科学，故“项目投入”扣3分，得17分。</w:t>
      </w:r>
    </w:p>
    <w:p w14:paraId="6887D295">
      <w:pPr>
        <w:spacing w:line="360" w:lineRule="auto"/>
        <w:ind w:firstLine="560" w:firstLineChars="200"/>
        <w:rPr>
          <w:sz w:val="28"/>
        </w:rPr>
      </w:pPr>
      <w:r>
        <w:rPr>
          <w:rFonts w:hint="eastAsia"/>
          <w:sz w:val="28"/>
        </w:rPr>
        <w:t>“过程管理”方面，基础资料完整，工作的阶段性质量控制、工作总结、自我评价均得到了落实。在经费财务管理方面，除前述测算准确率有待提高外，支出内容合理，支付手续齐全，会计核算规范。因此，“项目管理”获满分20分。</w:t>
      </w:r>
    </w:p>
    <w:p w14:paraId="60BCB790">
      <w:pPr>
        <w:spacing w:line="360" w:lineRule="auto"/>
        <w:ind w:firstLine="560" w:firstLineChars="200"/>
        <w:rPr>
          <w:sz w:val="28"/>
        </w:rPr>
      </w:pPr>
      <w:r>
        <w:rPr>
          <w:rFonts w:hint="eastAsia"/>
          <w:sz w:val="28"/>
        </w:rPr>
        <w:t>“产出”方面，各职能部门均能根据实际情况开展活动，按计划进行各项检查、巡查工作，对所发生的案情均能及时处理和上报，但在对服务对象的管理覆盖率上尚待提高，故扣1分，得分29分。</w:t>
      </w:r>
    </w:p>
    <w:p w14:paraId="21A5D81D">
      <w:pPr>
        <w:spacing w:line="360" w:lineRule="auto"/>
        <w:ind w:firstLine="560" w:firstLineChars="200"/>
        <w:rPr>
          <w:sz w:val="28"/>
        </w:rPr>
      </w:pPr>
      <w:r>
        <w:rPr>
          <w:rFonts w:hint="eastAsia"/>
          <w:sz w:val="28"/>
        </w:rPr>
        <w:t>“效果”方面，各项工作均取得了良好的影响，特别是在群众生活质量和健康状况的改善方面；丰富社区群众生活内容，提升群众的</w:t>
      </w:r>
      <w:r>
        <w:rPr>
          <w:rFonts w:hint="eastAsia"/>
          <w:sz w:val="28"/>
          <w:lang w:eastAsia="zh-CN"/>
        </w:rPr>
        <w:t>幸</w:t>
      </w:r>
      <w:r>
        <w:rPr>
          <w:rFonts w:hint="eastAsia"/>
          <w:sz w:val="28"/>
        </w:rPr>
        <w:t>福感；尚有部分人员对活动的参与积极性不高；受客观因素限制，工作管理水平，群众对工作满意度尚待提高，故扣3分，得分27分。</w:t>
      </w:r>
    </w:p>
    <w:p w14:paraId="77BF9D1D">
      <w:pPr>
        <w:spacing w:line="360" w:lineRule="auto"/>
        <w:ind w:firstLine="560" w:firstLineChars="200"/>
        <w:rPr>
          <w:sz w:val="28"/>
        </w:rPr>
      </w:pPr>
      <w:r>
        <w:rPr>
          <w:rFonts w:hint="eastAsia"/>
          <w:sz w:val="28"/>
        </w:rPr>
        <w:t>整体评分9</w:t>
      </w:r>
      <w:r>
        <w:rPr>
          <w:sz w:val="28"/>
        </w:rPr>
        <w:t>3</w:t>
      </w:r>
      <w:r>
        <w:rPr>
          <w:rFonts w:hint="eastAsia"/>
          <w:sz w:val="28"/>
        </w:rPr>
        <w:t>分，评价结果为优秀。</w:t>
      </w:r>
    </w:p>
    <w:p w14:paraId="70149715">
      <w:pPr>
        <w:spacing w:line="360" w:lineRule="auto"/>
        <w:ind w:firstLine="560" w:firstLineChars="200"/>
        <w:rPr>
          <w:rFonts w:ascii="楷体_GB2312" w:eastAsia="楷体_GB2312"/>
          <w:sz w:val="28"/>
        </w:rPr>
      </w:pPr>
      <w:r>
        <w:rPr>
          <w:rFonts w:hint="eastAsia" w:ascii="楷体_GB2312" w:eastAsia="楷体_GB2312"/>
          <w:sz w:val="28"/>
        </w:rPr>
        <w:t>（二）主要经验，存在的问题和改进措施</w:t>
      </w:r>
    </w:p>
    <w:p w14:paraId="333DAFFF">
      <w:pPr>
        <w:spacing w:line="600" w:lineRule="exact"/>
        <w:ind w:firstLine="645"/>
        <w:jc w:val="left"/>
        <w:rPr>
          <w:rFonts w:ascii="仿宋_GB2312" w:eastAsia="仿宋_GB2312"/>
          <w:sz w:val="28"/>
          <w:szCs w:val="28"/>
        </w:rPr>
      </w:pPr>
      <w:r>
        <w:rPr>
          <w:rFonts w:hint="eastAsia" w:ascii="仿宋_GB2312" w:eastAsia="仿宋_GB2312"/>
          <w:sz w:val="28"/>
          <w:szCs w:val="28"/>
        </w:rPr>
        <w:t>1.主要经验</w:t>
      </w:r>
    </w:p>
    <w:p w14:paraId="2C47D842">
      <w:pPr>
        <w:pStyle w:val="9"/>
        <w:numPr>
          <w:ilvl w:val="0"/>
          <w:numId w:val="2"/>
        </w:numPr>
        <w:tabs>
          <w:tab w:val="left" w:pos="1418"/>
        </w:tabs>
        <w:spacing w:line="600" w:lineRule="exact"/>
        <w:ind w:left="0" w:firstLine="560"/>
        <w:jc w:val="left"/>
        <w:rPr>
          <w:sz w:val="28"/>
        </w:rPr>
      </w:pPr>
      <w:r>
        <w:rPr>
          <w:rFonts w:hint="eastAsia"/>
          <w:sz w:val="28"/>
        </w:rPr>
        <w:t>严密组织基层党组织生活会和民主评议党员工作，抓好基层党组织书记抓党建述职评议考核</w:t>
      </w:r>
    </w:p>
    <w:p w14:paraId="1F25CDBA">
      <w:pPr>
        <w:pStyle w:val="9"/>
        <w:numPr>
          <w:ilvl w:val="0"/>
          <w:numId w:val="2"/>
        </w:numPr>
        <w:tabs>
          <w:tab w:val="left" w:pos="1418"/>
        </w:tabs>
        <w:spacing w:line="600" w:lineRule="exact"/>
        <w:ind w:left="0" w:firstLine="560"/>
        <w:jc w:val="left"/>
        <w:rPr>
          <w:sz w:val="28"/>
        </w:rPr>
      </w:pPr>
      <w:r>
        <w:rPr>
          <w:rFonts w:hint="eastAsia"/>
          <w:sz w:val="28"/>
        </w:rPr>
        <w:t>强化便民服务理念，努力提高优质服务水平。</w:t>
      </w:r>
    </w:p>
    <w:p w14:paraId="6E7B25D5">
      <w:pPr>
        <w:pStyle w:val="9"/>
        <w:numPr>
          <w:ilvl w:val="0"/>
          <w:numId w:val="2"/>
        </w:numPr>
        <w:tabs>
          <w:tab w:val="left" w:pos="1418"/>
        </w:tabs>
        <w:spacing w:line="600" w:lineRule="exact"/>
        <w:ind w:left="0" w:firstLine="560"/>
        <w:jc w:val="left"/>
        <w:rPr>
          <w:sz w:val="28"/>
        </w:rPr>
      </w:pPr>
      <w:r>
        <w:rPr>
          <w:rFonts w:hint="eastAsia"/>
          <w:bCs/>
          <w:sz w:val="28"/>
        </w:rPr>
        <w:t>社区活动从群众精神文化需求入手，着力建设社区人文环境，根据群众反馈情况不断调整活动类型。</w:t>
      </w:r>
    </w:p>
    <w:p w14:paraId="151820CB">
      <w:pPr>
        <w:pStyle w:val="9"/>
        <w:numPr>
          <w:ilvl w:val="0"/>
          <w:numId w:val="2"/>
        </w:numPr>
        <w:tabs>
          <w:tab w:val="left" w:pos="1418"/>
        </w:tabs>
        <w:spacing w:line="600" w:lineRule="exact"/>
        <w:ind w:left="0" w:firstLine="560"/>
        <w:jc w:val="left"/>
        <w:rPr>
          <w:sz w:val="28"/>
        </w:rPr>
      </w:pPr>
      <w:r>
        <w:rPr>
          <w:rFonts w:hint="eastAsia"/>
          <w:bCs/>
          <w:sz w:val="28"/>
        </w:rPr>
        <w:t>对社会保障资金的发放实行系统化、网络化、规范化、动态化管理。</w:t>
      </w:r>
    </w:p>
    <w:p w14:paraId="0F36BD4D">
      <w:pPr>
        <w:pStyle w:val="9"/>
        <w:numPr>
          <w:ilvl w:val="0"/>
          <w:numId w:val="2"/>
        </w:numPr>
        <w:tabs>
          <w:tab w:val="left" w:pos="1418"/>
        </w:tabs>
        <w:spacing w:line="600" w:lineRule="exact"/>
        <w:ind w:left="0" w:firstLine="560"/>
        <w:jc w:val="left"/>
        <w:rPr>
          <w:sz w:val="28"/>
        </w:rPr>
      </w:pPr>
      <w:r>
        <w:rPr>
          <w:rFonts w:hint="eastAsia"/>
          <w:sz w:val="28"/>
        </w:rPr>
        <w:t>坚持“安全第一，预防为主”的方针，抓好安全生产日常监管工作；紧紧抓住社区管理、动迁安置、城建市容、历史遗留问题等信访热点难点问题，全面加强民情联系。</w:t>
      </w:r>
    </w:p>
    <w:p w14:paraId="2E1932FF">
      <w:pPr>
        <w:spacing w:line="600" w:lineRule="exact"/>
        <w:ind w:firstLine="645"/>
        <w:jc w:val="left"/>
        <w:rPr>
          <w:rFonts w:ascii="仿宋_GB2312" w:eastAsia="仿宋_GB2312"/>
          <w:sz w:val="28"/>
          <w:szCs w:val="28"/>
        </w:rPr>
      </w:pPr>
      <w:r>
        <w:rPr>
          <w:rFonts w:hint="eastAsia" w:ascii="仿宋_GB2312" w:eastAsia="仿宋_GB2312"/>
          <w:sz w:val="28"/>
          <w:szCs w:val="28"/>
        </w:rPr>
        <w:t>2.存在的问题</w:t>
      </w:r>
    </w:p>
    <w:p w14:paraId="08F9C494">
      <w:pPr>
        <w:pStyle w:val="9"/>
        <w:numPr>
          <w:ilvl w:val="0"/>
          <w:numId w:val="3"/>
        </w:numPr>
        <w:tabs>
          <w:tab w:val="left" w:pos="1418"/>
        </w:tabs>
        <w:spacing w:line="600" w:lineRule="exact"/>
        <w:ind w:left="0" w:firstLine="560"/>
        <w:jc w:val="left"/>
        <w:rPr>
          <w:rFonts w:ascii="仿宋_GB2312" w:eastAsia="仿宋_GB2312"/>
          <w:sz w:val="32"/>
          <w:szCs w:val="32"/>
        </w:rPr>
      </w:pPr>
      <w:r>
        <w:rPr>
          <w:rFonts w:hint="eastAsia"/>
          <w:bCs/>
          <w:sz w:val="28"/>
        </w:rPr>
        <w:t>实际支出与预算存在一定差异，部分超支幅度较大。</w:t>
      </w:r>
    </w:p>
    <w:p w14:paraId="13D22302">
      <w:pPr>
        <w:pStyle w:val="9"/>
        <w:numPr>
          <w:ilvl w:val="0"/>
          <w:numId w:val="3"/>
        </w:numPr>
        <w:tabs>
          <w:tab w:val="left" w:pos="1418"/>
        </w:tabs>
        <w:spacing w:line="600" w:lineRule="exact"/>
        <w:ind w:left="0" w:firstLine="560"/>
        <w:jc w:val="left"/>
        <w:rPr>
          <w:rFonts w:ascii="仿宋_GB2312" w:eastAsia="仿宋_GB2312"/>
          <w:sz w:val="32"/>
          <w:szCs w:val="32"/>
        </w:rPr>
      </w:pPr>
      <w:r>
        <w:rPr>
          <w:rFonts w:hint="eastAsia"/>
          <w:sz w:val="28"/>
        </w:rPr>
        <w:t>中心城建设深入展开后大量外来人员涌入，安全生产、综治维稳等社会治理压力巨大</w:t>
      </w:r>
      <w:r>
        <w:rPr>
          <w:rFonts w:hint="eastAsia" w:eastAsia="仿宋_GB2312"/>
          <w:sz w:val="28"/>
          <w:szCs w:val="28"/>
        </w:rPr>
        <w:t>；</w:t>
      </w:r>
    </w:p>
    <w:p w14:paraId="12B3A7E3">
      <w:pPr>
        <w:pStyle w:val="9"/>
        <w:numPr>
          <w:ilvl w:val="0"/>
          <w:numId w:val="3"/>
        </w:numPr>
        <w:tabs>
          <w:tab w:val="left" w:pos="1418"/>
        </w:tabs>
        <w:spacing w:line="600" w:lineRule="exact"/>
        <w:ind w:left="0" w:firstLine="560"/>
        <w:jc w:val="left"/>
        <w:rPr>
          <w:sz w:val="28"/>
        </w:rPr>
      </w:pPr>
      <w:r>
        <w:rPr>
          <w:rFonts w:hint="eastAsia" w:eastAsia="仿宋_GB2312"/>
          <w:sz w:val="28"/>
          <w:szCs w:val="28"/>
        </w:rPr>
        <w:t>“</w:t>
      </w:r>
      <w:r>
        <w:rPr>
          <w:rFonts w:hint="eastAsia"/>
          <w:sz w:val="28"/>
        </w:rPr>
        <w:t>光谷群众文化艺术中心”项目推进缓慢，无法满足九峰及周边地区居民文化艺术需求；</w:t>
      </w:r>
    </w:p>
    <w:p w14:paraId="14F293BD">
      <w:pPr>
        <w:pStyle w:val="9"/>
        <w:numPr>
          <w:ilvl w:val="0"/>
          <w:numId w:val="3"/>
        </w:numPr>
        <w:tabs>
          <w:tab w:val="left" w:pos="1418"/>
        </w:tabs>
        <w:spacing w:line="600" w:lineRule="exact"/>
        <w:ind w:left="0" w:firstLine="560"/>
        <w:jc w:val="left"/>
        <w:rPr>
          <w:sz w:val="28"/>
        </w:rPr>
      </w:pPr>
      <w:r>
        <w:rPr>
          <w:rFonts w:hint="eastAsia"/>
          <w:sz w:val="28"/>
        </w:rPr>
        <w:t>辖区商业楼盘预留社区</w:t>
      </w:r>
      <w:r>
        <w:rPr>
          <w:sz w:val="28"/>
        </w:rPr>
        <w:t>用房</w:t>
      </w:r>
      <w:r>
        <w:rPr>
          <w:rFonts w:hint="eastAsia"/>
          <w:sz w:val="28"/>
        </w:rPr>
        <w:t>地理</w:t>
      </w:r>
      <w:r>
        <w:rPr>
          <w:sz w:val="28"/>
        </w:rPr>
        <w:t>位置</w:t>
      </w:r>
      <w:r>
        <w:rPr>
          <w:rFonts w:hint="eastAsia"/>
          <w:sz w:val="28"/>
        </w:rPr>
        <w:t>闭塞</w:t>
      </w:r>
      <w:r>
        <w:rPr>
          <w:sz w:val="28"/>
        </w:rPr>
        <w:t>，</w:t>
      </w:r>
      <w:r>
        <w:rPr>
          <w:rFonts w:hint="eastAsia"/>
          <w:sz w:val="28"/>
        </w:rPr>
        <w:t>面积不</w:t>
      </w:r>
      <w:r>
        <w:rPr>
          <w:sz w:val="28"/>
        </w:rPr>
        <w:t>达标，房屋结构</w:t>
      </w:r>
      <w:r>
        <w:rPr>
          <w:rFonts w:hint="eastAsia"/>
          <w:sz w:val="28"/>
        </w:rPr>
        <w:t>异形</w:t>
      </w:r>
      <w:r>
        <w:rPr>
          <w:sz w:val="28"/>
        </w:rPr>
        <w:t>，</w:t>
      </w:r>
      <w:r>
        <w:rPr>
          <w:rFonts w:hint="eastAsia"/>
          <w:sz w:val="28"/>
        </w:rPr>
        <w:t>华</w:t>
      </w:r>
      <w:r>
        <w:rPr>
          <w:sz w:val="28"/>
        </w:rPr>
        <w:t>诚里党员群众服务中心选址无法落实；</w:t>
      </w:r>
    </w:p>
    <w:p w14:paraId="70B8EF75">
      <w:pPr>
        <w:pStyle w:val="9"/>
        <w:numPr>
          <w:ilvl w:val="0"/>
          <w:numId w:val="3"/>
        </w:numPr>
        <w:tabs>
          <w:tab w:val="left" w:pos="1418"/>
        </w:tabs>
        <w:spacing w:line="600" w:lineRule="exact"/>
        <w:ind w:left="0" w:firstLine="560"/>
        <w:jc w:val="left"/>
        <w:rPr>
          <w:sz w:val="28"/>
        </w:rPr>
      </w:pPr>
      <w:r>
        <w:rPr>
          <w:rFonts w:hint="eastAsia"/>
          <w:sz w:val="28"/>
        </w:rPr>
        <w:t>社区干部培训管理方面相对薄弱，部分党员干部能动性</w:t>
      </w:r>
      <w:r>
        <w:rPr>
          <w:sz w:val="28"/>
        </w:rPr>
        <w:t>不足</w:t>
      </w:r>
      <w:r>
        <w:rPr>
          <w:rFonts w:hint="eastAsia"/>
          <w:sz w:val="28"/>
        </w:rPr>
        <w:t>，政府服务效能和工作作风有待进一步提升。</w:t>
      </w:r>
    </w:p>
    <w:p w14:paraId="4080EEFE">
      <w:pPr>
        <w:spacing w:line="360" w:lineRule="auto"/>
        <w:ind w:firstLine="560" w:firstLineChars="200"/>
        <w:rPr>
          <w:rFonts w:ascii="楷体_GB2312" w:eastAsia="楷体_GB2312"/>
          <w:sz w:val="28"/>
        </w:rPr>
      </w:pPr>
      <w:r>
        <w:rPr>
          <w:rFonts w:hint="eastAsia" w:ascii="楷体_GB2312" w:eastAsia="楷体_GB2312"/>
          <w:sz w:val="28"/>
        </w:rPr>
        <w:t>3.改进措施</w:t>
      </w:r>
    </w:p>
    <w:p w14:paraId="7499DA6C">
      <w:pPr>
        <w:pStyle w:val="9"/>
        <w:numPr>
          <w:ilvl w:val="0"/>
          <w:numId w:val="4"/>
        </w:numPr>
        <w:tabs>
          <w:tab w:val="left" w:pos="993"/>
          <w:tab w:val="left" w:pos="1418"/>
        </w:tabs>
        <w:spacing w:line="600" w:lineRule="exact"/>
        <w:ind w:left="0" w:firstLine="560"/>
        <w:jc w:val="left"/>
        <w:rPr>
          <w:sz w:val="28"/>
        </w:rPr>
      </w:pPr>
      <w:r>
        <w:rPr>
          <w:rFonts w:hint="eastAsia"/>
          <w:sz w:val="28"/>
        </w:rPr>
        <w:t>加强预算编制的准确性，并做到精准实施。</w:t>
      </w:r>
    </w:p>
    <w:p w14:paraId="1AFF81C3">
      <w:pPr>
        <w:pStyle w:val="9"/>
        <w:numPr>
          <w:ilvl w:val="0"/>
          <w:numId w:val="4"/>
        </w:numPr>
        <w:tabs>
          <w:tab w:val="left" w:pos="993"/>
          <w:tab w:val="left" w:pos="1418"/>
        </w:tabs>
        <w:spacing w:line="600" w:lineRule="exact"/>
        <w:ind w:left="0" w:firstLine="560"/>
        <w:jc w:val="left"/>
        <w:rPr>
          <w:sz w:val="28"/>
        </w:rPr>
      </w:pPr>
      <w:r>
        <w:rPr>
          <w:rFonts w:hint="eastAsia"/>
          <w:sz w:val="28"/>
        </w:rPr>
        <w:t>严格落实安全</w:t>
      </w:r>
      <w:r>
        <w:rPr>
          <w:sz w:val="28"/>
        </w:rPr>
        <w:t>生产</w:t>
      </w:r>
      <w:r>
        <w:rPr>
          <w:rFonts w:hint="eastAsia"/>
          <w:sz w:val="28"/>
        </w:rPr>
        <w:t>责任，加强各方联动，形成齐抓共管局面，完善安全生产应急管理体系，充分运用法治思维和法治方式开展各项工作，发挥街道法律工作站作用，进一步加强信访积案包案化解和重点人员稳控，做好征地拆迁、还建安置、城市管理、物业服务等社会矛盾纠纷排查化解工作，着力解决群众信访疑难积案。</w:t>
      </w:r>
    </w:p>
    <w:p w14:paraId="03AF0A52">
      <w:pPr>
        <w:pStyle w:val="9"/>
        <w:numPr>
          <w:ilvl w:val="0"/>
          <w:numId w:val="4"/>
        </w:numPr>
        <w:tabs>
          <w:tab w:val="left" w:pos="993"/>
          <w:tab w:val="left" w:pos="1418"/>
        </w:tabs>
        <w:spacing w:line="600" w:lineRule="exact"/>
        <w:ind w:left="0" w:firstLine="560"/>
        <w:jc w:val="left"/>
        <w:rPr>
          <w:sz w:val="28"/>
        </w:rPr>
      </w:pPr>
      <w:r>
        <w:rPr>
          <w:rFonts w:hint="eastAsia"/>
          <w:sz w:val="28"/>
        </w:rPr>
        <w:t>完善社区建设，加快光谷群众文化艺术中心建设，</w:t>
      </w:r>
      <w:r>
        <w:rPr>
          <w:sz w:val="28"/>
        </w:rPr>
        <w:t>支持社区文艺团体弘扬新风尚、传播正能量</w:t>
      </w:r>
      <w:r>
        <w:rPr>
          <w:rFonts w:hint="eastAsia"/>
          <w:sz w:val="28"/>
        </w:rPr>
        <w:t>，</w:t>
      </w:r>
      <w:r>
        <w:rPr>
          <w:sz w:val="28"/>
        </w:rPr>
        <w:t>提高百姓生活幸福</w:t>
      </w:r>
      <w:r>
        <w:rPr>
          <w:rFonts w:hint="eastAsia"/>
          <w:sz w:val="28"/>
        </w:rPr>
        <w:t>指数。</w:t>
      </w:r>
    </w:p>
    <w:p w14:paraId="72CD007E">
      <w:pPr>
        <w:pStyle w:val="9"/>
        <w:numPr>
          <w:ilvl w:val="0"/>
          <w:numId w:val="4"/>
        </w:numPr>
        <w:tabs>
          <w:tab w:val="left" w:pos="993"/>
          <w:tab w:val="left" w:pos="1418"/>
        </w:tabs>
        <w:spacing w:line="600" w:lineRule="exact"/>
        <w:ind w:left="0" w:firstLine="560"/>
        <w:jc w:val="left"/>
        <w:rPr>
          <w:sz w:val="28"/>
        </w:rPr>
      </w:pPr>
      <w:r>
        <w:rPr>
          <w:rFonts w:hint="eastAsia"/>
          <w:sz w:val="28"/>
        </w:rPr>
        <w:t>完善</w:t>
      </w:r>
      <w:r>
        <w:rPr>
          <w:sz w:val="28"/>
        </w:rPr>
        <w:t>基础设施建设。</w:t>
      </w:r>
      <w:r>
        <w:rPr>
          <w:rFonts w:hint="eastAsia"/>
          <w:sz w:val="28"/>
        </w:rPr>
        <w:t>加快民生工程建设进度，补齐还建社区基础设施建设短板，推动辖区城市功能、道路通行的优化升级，提高城市综合服务水平。</w:t>
      </w:r>
    </w:p>
    <w:p w14:paraId="78573BBB">
      <w:pPr>
        <w:pStyle w:val="9"/>
        <w:numPr>
          <w:ilvl w:val="0"/>
          <w:numId w:val="4"/>
        </w:numPr>
        <w:tabs>
          <w:tab w:val="left" w:pos="993"/>
          <w:tab w:val="left" w:pos="1418"/>
        </w:tabs>
        <w:spacing w:line="600" w:lineRule="exact"/>
        <w:ind w:left="0" w:firstLine="560"/>
        <w:jc w:val="left"/>
        <w:rPr>
          <w:sz w:val="28"/>
        </w:rPr>
      </w:pPr>
      <w:r>
        <w:rPr>
          <w:sz w:val="28"/>
        </w:rPr>
        <w:t>加强党建促服务</w:t>
      </w:r>
      <w:r>
        <w:rPr>
          <w:rFonts w:hint="eastAsia"/>
          <w:sz w:val="28"/>
        </w:rPr>
        <w:t>，学习贯彻</w:t>
      </w:r>
      <w:r>
        <w:rPr>
          <w:rFonts w:hint="eastAsia"/>
          <w:sz w:val="28"/>
          <w:lang w:eastAsia="zh-CN"/>
        </w:rPr>
        <w:t>党的十九大</w:t>
      </w:r>
      <w:r>
        <w:rPr>
          <w:sz w:val="28"/>
        </w:rPr>
        <w:t>精神</w:t>
      </w:r>
      <w:r>
        <w:rPr>
          <w:rFonts w:hint="eastAsia"/>
          <w:sz w:val="28"/>
        </w:rPr>
        <w:t>，加强基层组织建设，强化</w:t>
      </w:r>
      <w:r>
        <w:rPr>
          <w:sz w:val="28"/>
        </w:rPr>
        <w:t>党员</w:t>
      </w:r>
      <w:r>
        <w:rPr>
          <w:rFonts w:hint="eastAsia"/>
          <w:sz w:val="28"/>
        </w:rPr>
        <w:t>群众</w:t>
      </w:r>
      <w:r>
        <w:rPr>
          <w:sz w:val="28"/>
        </w:rPr>
        <w:t>服务中心</w:t>
      </w:r>
      <w:r>
        <w:rPr>
          <w:rFonts w:hint="eastAsia"/>
          <w:sz w:val="28"/>
        </w:rPr>
        <w:t>管理，</w:t>
      </w:r>
      <w:r>
        <w:rPr>
          <w:rFonts w:hint="eastAsia" w:ascii="宋体" w:hAnsi="宋体" w:cs="宋体"/>
          <w:sz w:val="28"/>
          <w:szCs w:val="28"/>
        </w:rPr>
        <w:t>加强社区干部的培训管理工作，</w:t>
      </w:r>
      <w:r>
        <w:rPr>
          <w:rFonts w:hint="eastAsia"/>
          <w:sz w:val="28"/>
        </w:rPr>
        <w:t>做好党员</w:t>
      </w:r>
      <w:r>
        <w:rPr>
          <w:sz w:val="28"/>
        </w:rPr>
        <w:t>发展工作</w:t>
      </w:r>
      <w:r>
        <w:rPr>
          <w:rFonts w:hint="eastAsia"/>
          <w:sz w:val="28"/>
        </w:rPr>
        <w:t>。</w:t>
      </w:r>
    </w:p>
    <w:p w14:paraId="09CC7016">
      <w:pPr>
        <w:pStyle w:val="9"/>
        <w:widowControl w:val="0"/>
        <w:numPr>
          <w:ilvl w:val="0"/>
          <w:numId w:val="0"/>
        </w:numPr>
        <w:tabs>
          <w:tab w:val="left" w:pos="993"/>
          <w:tab w:val="left" w:pos="1418"/>
        </w:tabs>
        <w:spacing w:line="600" w:lineRule="exact"/>
        <w:jc w:val="left"/>
        <w:rPr>
          <w:rFonts w:hint="eastAsia"/>
          <w:sz w:val="28"/>
        </w:rPr>
      </w:pPr>
    </w:p>
    <w:p w14:paraId="4721FB13">
      <w:pPr>
        <w:pStyle w:val="9"/>
        <w:widowControl w:val="0"/>
        <w:numPr>
          <w:ilvl w:val="0"/>
          <w:numId w:val="0"/>
        </w:numPr>
        <w:tabs>
          <w:tab w:val="left" w:pos="993"/>
          <w:tab w:val="left" w:pos="1418"/>
        </w:tabs>
        <w:spacing w:line="600" w:lineRule="exact"/>
        <w:jc w:val="left"/>
        <w:rPr>
          <w:rFonts w:hint="eastAsia"/>
          <w:sz w:val="28"/>
        </w:rPr>
      </w:pPr>
    </w:p>
    <w:p w14:paraId="064BDAB3">
      <w:pPr>
        <w:pStyle w:val="9"/>
        <w:widowControl w:val="0"/>
        <w:numPr>
          <w:ilvl w:val="0"/>
          <w:numId w:val="0"/>
        </w:numPr>
        <w:tabs>
          <w:tab w:val="left" w:pos="993"/>
          <w:tab w:val="left" w:pos="1418"/>
        </w:tabs>
        <w:spacing w:line="600" w:lineRule="exact"/>
        <w:jc w:val="left"/>
        <w:rPr>
          <w:rFonts w:hint="eastAsia"/>
          <w:sz w:val="28"/>
        </w:rPr>
      </w:pPr>
    </w:p>
    <w:p w14:paraId="36D79736">
      <w:pPr>
        <w:pStyle w:val="9"/>
        <w:widowControl w:val="0"/>
        <w:numPr>
          <w:ilvl w:val="0"/>
          <w:numId w:val="0"/>
        </w:numPr>
        <w:tabs>
          <w:tab w:val="left" w:pos="993"/>
          <w:tab w:val="left" w:pos="1418"/>
        </w:tabs>
        <w:spacing w:line="600" w:lineRule="exact"/>
        <w:jc w:val="left"/>
        <w:rPr>
          <w:rFonts w:hint="eastAsia"/>
          <w:sz w:val="28"/>
        </w:rPr>
      </w:pPr>
    </w:p>
    <w:p w14:paraId="6A6011BD">
      <w:pPr>
        <w:pStyle w:val="9"/>
        <w:widowControl w:val="0"/>
        <w:numPr>
          <w:ilvl w:val="0"/>
          <w:numId w:val="0"/>
        </w:numPr>
        <w:tabs>
          <w:tab w:val="left" w:pos="993"/>
          <w:tab w:val="left" w:pos="1418"/>
        </w:tabs>
        <w:spacing w:line="600" w:lineRule="exact"/>
        <w:jc w:val="left"/>
        <w:rPr>
          <w:rFonts w:hint="eastAsia"/>
          <w:sz w:val="28"/>
        </w:rPr>
      </w:pPr>
    </w:p>
    <w:p w14:paraId="7CF2B2CC">
      <w:pPr>
        <w:pStyle w:val="9"/>
        <w:widowControl w:val="0"/>
        <w:numPr>
          <w:ilvl w:val="0"/>
          <w:numId w:val="0"/>
        </w:numPr>
        <w:tabs>
          <w:tab w:val="left" w:pos="993"/>
          <w:tab w:val="left" w:pos="1418"/>
        </w:tabs>
        <w:spacing w:line="600" w:lineRule="exact"/>
        <w:jc w:val="left"/>
        <w:rPr>
          <w:rFonts w:hint="eastAsia"/>
          <w:sz w:val="28"/>
        </w:rPr>
      </w:pPr>
    </w:p>
    <w:p w14:paraId="101DEA00">
      <w:pPr>
        <w:pStyle w:val="9"/>
        <w:widowControl w:val="0"/>
        <w:numPr>
          <w:ilvl w:val="0"/>
          <w:numId w:val="0"/>
        </w:numPr>
        <w:tabs>
          <w:tab w:val="left" w:pos="993"/>
          <w:tab w:val="left" w:pos="1418"/>
        </w:tabs>
        <w:spacing w:line="600" w:lineRule="exact"/>
        <w:jc w:val="left"/>
        <w:rPr>
          <w:rFonts w:hint="eastAsia"/>
          <w:sz w:val="28"/>
        </w:rPr>
      </w:pPr>
    </w:p>
    <w:p w14:paraId="2A8FA2C9">
      <w:pPr>
        <w:pStyle w:val="9"/>
        <w:widowControl w:val="0"/>
        <w:numPr>
          <w:ilvl w:val="0"/>
          <w:numId w:val="0"/>
        </w:numPr>
        <w:tabs>
          <w:tab w:val="left" w:pos="993"/>
          <w:tab w:val="left" w:pos="1418"/>
        </w:tabs>
        <w:spacing w:line="600" w:lineRule="exact"/>
        <w:jc w:val="left"/>
        <w:rPr>
          <w:rFonts w:hint="eastAsia"/>
          <w:sz w:val="28"/>
        </w:rPr>
      </w:pPr>
    </w:p>
    <w:p w14:paraId="612E94E5">
      <w:pPr>
        <w:pStyle w:val="9"/>
        <w:widowControl w:val="0"/>
        <w:numPr>
          <w:ilvl w:val="0"/>
          <w:numId w:val="0"/>
        </w:numPr>
        <w:tabs>
          <w:tab w:val="left" w:pos="993"/>
          <w:tab w:val="left" w:pos="1418"/>
        </w:tabs>
        <w:spacing w:line="600" w:lineRule="exact"/>
        <w:jc w:val="left"/>
        <w:rPr>
          <w:rFonts w:hint="eastAsia"/>
          <w:sz w:val="28"/>
        </w:rPr>
      </w:pPr>
    </w:p>
    <w:p w14:paraId="25110633">
      <w:pPr>
        <w:pStyle w:val="9"/>
        <w:widowControl w:val="0"/>
        <w:numPr>
          <w:ilvl w:val="0"/>
          <w:numId w:val="0"/>
        </w:numPr>
        <w:tabs>
          <w:tab w:val="left" w:pos="993"/>
          <w:tab w:val="left" w:pos="1418"/>
        </w:tabs>
        <w:spacing w:line="600" w:lineRule="exact"/>
        <w:jc w:val="left"/>
        <w:rPr>
          <w:rFonts w:hint="eastAsia"/>
          <w:sz w:val="28"/>
        </w:rPr>
      </w:pPr>
    </w:p>
    <w:p w14:paraId="17A23992">
      <w:pPr>
        <w:pStyle w:val="9"/>
        <w:widowControl w:val="0"/>
        <w:numPr>
          <w:ilvl w:val="0"/>
          <w:numId w:val="0"/>
        </w:numPr>
        <w:tabs>
          <w:tab w:val="left" w:pos="993"/>
          <w:tab w:val="left" w:pos="1418"/>
        </w:tabs>
        <w:spacing w:line="600" w:lineRule="exact"/>
        <w:jc w:val="left"/>
        <w:rPr>
          <w:rFonts w:hint="eastAsia"/>
          <w:sz w:val="28"/>
        </w:rPr>
      </w:pPr>
    </w:p>
    <w:p w14:paraId="63F7FBF6">
      <w:pPr>
        <w:pStyle w:val="9"/>
        <w:widowControl w:val="0"/>
        <w:numPr>
          <w:ilvl w:val="0"/>
          <w:numId w:val="0"/>
        </w:numPr>
        <w:tabs>
          <w:tab w:val="left" w:pos="993"/>
          <w:tab w:val="left" w:pos="1418"/>
        </w:tabs>
        <w:spacing w:line="600" w:lineRule="exact"/>
        <w:jc w:val="left"/>
        <w:rPr>
          <w:rFonts w:hint="eastAsia"/>
          <w:sz w:val="28"/>
        </w:rPr>
      </w:pPr>
    </w:p>
    <w:p w14:paraId="71A0CE6B">
      <w:pPr>
        <w:pStyle w:val="9"/>
        <w:widowControl w:val="0"/>
        <w:numPr>
          <w:ilvl w:val="0"/>
          <w:numId w:val="0"/>
        </w:numPr>
        <w:tabs>
          <w:tab w:val="left" w:pos="993"/>
          <w:tab w:val="left" w:pos="1418"/>
        </w:tabs>
        <w:spacing w:line="600" w:lineRule="exact"/>
        <w:jc w:val="left"/>
        <w:rPr>
          <w:rFonts w:hint="eastAsia"/>
          <w:sz w:val="28"/>
        </w:rPr>
      </w:pPr>
    </w:p>
    <w:p w14:paraId="585576C1">
      <w:pPr>
        <w:pStyle w:val="9"/>
        <w:widowControl w:val="0"/>
        <w:numPr>
          <w:ilvl w:val="0"/>
          <w:numId w:val="0"/>
        </w:numPr>
        <w:tabs>
          <w:tab w:val="left" w:pos="993"/>
          <w:tab w:val="left" w:pos="1418"/>
        </w:tabs>
        <w:spacing w:line="600" w:lineRule="exact"/>
        <w:jc w:val="left"/>
        <w:rPr>
          <w:rFonts w:hint="eastAsia"/>
          <w:sz w:val="28"/>
        </w:rPr>
      </w:pPr>
    </w:p>
    <w:p w14:paraId="79E91857">
      <w:pPr>
        <w:pStyle w:val="9"/>
        <w:widowControl w:val="0"/>
        <w:numPr>
          <w:ilvl w:val="0"/>
          <w:numId w:val="0"/>
        </w:numPr>
        <w:tabs>
          <w:tab w:val="left" w:pos="993"/>
          <w:tab w:val="left" w:pos="1418"/>
        </w:tabs>
        <w:spacing w:line="600" w:lineRule="exact"/>
        <w:jc w:val="left"/>
        <w:rPr>
          <w:rFonts w:hint="eastAsia"/>
          <w:sz w:val="28"/>
        </w:rPr>
      </w:pPr>
    </w:p>
    <w:p w14:paraId="0406A24D">
      <w:pPr>
        <w:pStyle w:val="9"/>
        <w:widowControl w:val="0"/>
        <w:numPr>
          <w:ilvl w:val="0"/>
          <w:numId w:val="0"/>
        </w:numPr>
        <w:tabs>
          <w:tab w:val="left" w:pos="993"/>
          <w:tab w:val="left" w:pos="1418"/>
        </w:tabs>
        <w:spacing w:line="600" w:lineRule="exact"/>
        <w:jc w:val="left"/>
        <w:rPr>
          <w:rFonts w:hint="eastAsia"/>
          <w:sz w:val="28"/>
        </w:rPr>
      </w:pPr>
    </w:p>
    <w:p w14:paraId="27CE895F">
      <w:pPr>
        <w:pStyle w:val="9"/>
        <w:widowControl w:val="0"/>
        <w:numPr>
          <w:ilvl w:val="0"/>
          <w:numId w:val="0"/>
        </w:numPr>
        <w:tabs>
          <w:tab w:val="left" w:pos="993"/>
          <w:tab w:val="left" w:pos="1418"/>
        </w:tabs>
        <w:spacing w:line="600" w:lineRule="exact"/>
        <w:jc w:val="left"/>
        <w:rPr>
          <w:rFonts w:hint="eastAsia"/>
          <w:sz w:val="28"/>
        </w:rPr>
      </w:pPr>
    </w:p>
    <w:p w14:paraId="74EBCCF5">
      <w:pPr>
        <w:pStyle w:val="9"/>
        <w:widowControl w:val="0"/>
        <w:numPr>
          <w:ilvl w:val="0"/>
          <w:numId w:val="0"/>
        </w:numPr>
        <w:tabs>
          <w:tab w:val="left" w:pos="993"/>
          <w:tab w:val="left" w:pos="1418"/>
        </w:tabs>
        <w:spacing w:line="600" w:lineRule="exact"/>
        <w:jc w:val="left"/>
        <w:rPr>
          <w:rFonts w:hint="eastAsia"/>
          <w:sz w:val="28"/>
        </w:rPr>
      </w:pPr>
    </w:p>
    <w:p w14:paraId="442CAA68">
      <w:pPr>
        <w:pStyle w:val="9"/>
        <w:widowControl w:val="0"/>
        <w:numPr>
          <w:ilvl w:val="0"/>
          <w:numId w:val="0"/>
        </w:numPr>
        <w:tabs>
          <w:tab w:val="left" w:pos="993"/>
          <w:tab w:val="left" w:pos="1418"/>
        </w:tabs>
        <w:spacing w:line="600" w:lineRule="exact"/>
        <w:jc w:val="left"/>
        <w:rPr>
          <w:rFonts w:hint="eastAsia"/>
          <w:sz w:val="28"/>
        </w:rPr>
      </w:pPr>
    </w:p>
    <w:p w14:paraId="10DA14A9">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352DD13C">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24F9ABF1">
      <w:pPr>
        <w:rPr>
          <w:rFonts w:hint="eastAsia"/>
          <w:sz w:val="32"/>
          <w:szCs w:val="32"/>
        </w:rPr>
      </w:pPr>
    </w:p>
    <w:p w14:paraId="579DBD78">
      <w:pPr>
        <w:rPr>
          <w:rFonts w:hint="eastAsia"/>
          <w:sz w:val="32"/>
          <w:szCs w:val="32"/>
        </w:rPr>
      </w:pPr>
    </w:p>
    <w:p w14:paraId="2BFB6157">
      <w:pPr>
        <w:rPr>
          <w:rFonts w:hint="eastAsia"/>
          <w:sz w:val="32"/>
          <w:szCs w:val="32"/>
        </w:rPr>
      </w:pPr>
    </w:p>
    <w:p w14:paraId="1EF1EED0">
      <w:pPr>
        <w:rPr>
          <w:rFonts w:hint="eastAsia"/>
          <w:sz w:val="32"/>
          <w:szCs w:val="32"/>
        </w:rPr>
      </w:pPr>
    </w:p>
    <w:p w14:paraId="4B6066B7">
      <w:pPr>
        <w:rPr>
          <w:sz w:val="32"/>
          <w:szCs w:val="32"/>
        </w:rPr>
      </w:pPr>
    </w:p>
    <w:p w14:paraId="16AB7E44">
      <w:pPr>
        <w:ind w:left="420" w:leftChars="200"/>
        <w:rPr>
          <w:rFonts w:hint="eastAsia"/>
          <w:sz w:val="30"/>
          <w:szCs w:val="30"/>
          <w:u w:val="single"/>
        </w:rPr>
      </w:pPr>
      <w:r>
        <w:rPr>
          <w:rFonts w:hint="eastAsia"/>
          <w:sz w:val="30"/>
          <w:szCs w:val="30"/>
        </w:rPr>
        <w:t>项目名称：</w:t>
      </w:r>
      <w:r>
        <w:rPr>
          <w:rFonts w:hint="eastAsia" w:ascii="方正宋黑简体" w:eastAsia="方正宋黑简体"/>
          <w:sz w:val="30"/>
          <w:szCs w:val="30"/>
          <w:u w:val="single"/>
        </w:rPr>
        <w:t>九峰街道办事处社会保障和就业事务经费</w:t>
      </w:r>
    </w:p>
    <w:p w14:paraId="32A34B4E">
      <w:pPr>
        <w:ind w:left="420" w:leftChars="200"/>
        <w:rPr>
          <w:rFonts w:hint="eastAsia"/>
          <w:sz w:val="30"/>
          <w:szCs w:val="30"/>
          <w:u w:val="single"/>
        </w:rPr>
      </w:pPr>
      <w:r>
        <w:rPr>
          <w:rFonts w:hint="eastAsia"/>
          <w:sz w:val="30"/>
          <w:szCs w:val="30"/>
        </w:rPr>
        <w:t>项目单位：</w:t>
      </w:r>
      <w:r>
        <w:rPr>
          <w:rFonts w:hint="eastAsia"/>
          <w:sz w:val="30"/>
          <w:szCs w:val="30"/>
          <w:u w:val="single"/>
        </w:rPr>
        <w:t xml:space="preserve">  </w:t>
      </w:r>
      <w:r>
        <w:rPr>
          <w:rFonts w:hint="eastAsia" w:ascii="方正宋黑简体" w:eastAsia="方正宋黑简体"/>
          <w:sz w:val="30"/>
          <w:szCs w:val="30"/>
          <w:u w:val="single"/>
        </w:rPr>
        <w:t>武汉东湖新技术开发区九峰街道办事处</w:t>
      </w:r>
    </w:p>
    <w:p w14:paraId="7775AB37">
      <w:pPr>
        <w:ind w:left="420" w:leftChars="200"/>
        <w:rPr>
          <w:rFonts w:hint="eastAsia"/>
          <w:sz w:val="30"/>
          <w:szCs w:val="30"/>
        </w:rPr>
      </w:pPr>
      <w:r>
        <w:rPr>
          <w:rFonts w:hint="eastAsia"/>
          <w:sz w:val="30"/>
          <w:szCs w:val="30"/>
        </w:rPr>
        <w:t>区财政局主管业务科室：</w:t>
      </w:r>
      <w:r>
        <w:rPr>
          <w:rFonts w:hint="eastAsia"/>
          <w:sz w:val="30"/>
          <w:szCs w:val="30"/>
          <w:u w:val="single"/>
        </w:rPr>
        <w:t>武汉东湖新技术开发区管委会</w:t>
      </w:r>
    </w:p>
    <w:p w14:paraId="10BDDB08">
      <w:pPr>
        <w:rPr>
          <w:sz w:val="32"/>
          <w:szCs w:val="32"/>
        </w:rPr>
      </w:pPr>
    </w:p>
    <w:p w14:paraId="03253A36">
      <w:pPr>
        <w:rPr>
          <w:rFonts w:hint="eastAsia"/>
          <w:sz w:val="32"/>
          <w:szCs w:val="32"/>
        </w:rPr>
      </w:pPr>
    </w:p>
    <w:p w14:paraId="11E3908D">
      <w:pPr>
        <w:rPr>
          <w:rFonts w:hint="eastAsia"/>
          <w:sz w:val="32"/>
          <w:szCs w:val="32"/>
        </w:rPr>
      </w:pPr>
    </w:p>
    <w:p w14:paraId="364D1160">
      <w:pPr>
        <w:rPr>
          <w:rFonts w:hint="eastAsia"/>
          <w:sz w:val="32"/>
          <w:szCs w:val="32"/>
        </w:rPr>
      </w:pPr>
    </w:p>
    <w:p w14:paraId="66D1F990">
      <w:pPr>
        <w:rPr>
          <w:sz w:val="32"/>
          <w:szCs w:val="32"/>
        </w:rPr>
      </w:pPr>
    </w:p>
    <w:p w14:paraId="27290DF7">
      <w:pPr>
        <w:rPr>
          <w:rFonts w:hint="eastAsia"/>
          <w:sz w:val="32"/>
          <w:szCs w:val="32"/>
        </w:rPr>
      </w:pPr>
    </w:p>
    <w:p w14:paraId="2C9589C7">
      <w:pPr>
        <w:jc w:val="center"/>
        <w:rPr>
          <w:sz w:val="32"/>
          <w:szCs w:val="32"/>
        </w:rPr>
      </w:pPr>
      <w:r>
        <w:rPr>
          <w:rFonts w:hint="eastAsia"/>
          <w:sz w:val="32"/>
          <w:szCs w:val="32"/>
        </w:rPr>
        <w:t>二零一八年六月</w:t>
      </w:r>
    </w:p>
    <w:p w14:paraId="621C5C28">
      <w:pPr>
        <w:spacing w:line="360" w:lineRule="auto"/>
        <w:ind w:firstLine="640" w:firstLineChars="200"/>
        <w:rPr>
          <w:rFonts w:hint="eastAsia" w:ascii="黑体" w:hAnsi="黑体" w:eastAsia="黑体"/>
          <w:b/>
          <w:sz w:val="30"/>
          <w:szCs w:val="30"/>
        </w:rPr>
      </w:pPr>
      <w:r>
        <w:rPr>
          <w:sz w:val="32"/>
          <w:szCs w:val="32"/>
        </w:rPr>
        <w:br w:type="page"/>
      </w:r>
      <w:r>
        <w:rPr>
          <w:rFonts w:hint="eastAsia" w:ascii="黑体" w:hAnsi="黑体" w:eastAsia="黑体"/>
          <w:b/>
          <w:sz w:val="30"/>
          <w:szCs w:val="30"/>
        </w:rPr>
        <w:t>一、项目基本情况</w:t>
      </w:r>
    </w:p>
    <w:p w14:paraId="5A2472A3">
      <w:pPr>
        <w:spacing w:line="360" w:lineRule="auto"/>
        <w:ind w:firstLine="560" w:firstLineChars="200"/>
        <w:rPr>
          <w:sz w:val="28"/>
        </w:rPr>
      </w:pPr>
      <w:r>
        <w:rPr>
          <w:rFonts w:hint="eastAsia" w:ascii="楷体_GB2312" w:eastAsia="楷体_GB2312"/>
          <w:sz w:val="28"/>
        </w:rPr>
        <w:t>（一）项目概况</w:t>
      </w:r>
      <w:r>
        <w:rPr>
          <w:rFonts w:hint="eastAsia"/>
          <w:sz w:val="28"/>
        </w:rPr>
        <w:t>（包括项目内容和完成概况等）</w:t>
      </w:r>
    </w:p>
    <w:p w14:paraId="785C6C27">
      <w:pPr>
        <w:ind w:firstLine="560" w:firstLineChars="200"/>
        <w:rPr>
          <w:rFonts w:ascii="宋体" w:hAnsi="宋体" w:cs="宋体"/>
          <w:sz w:val="28"/>
          <w:szCs w:val="28"/>
        </w:rPr>
      </w:pPr>
      <w:r>
        <w:rPr>
          <w:rFonts w:hint="eastAsia" w:ascii="宋体" w:hAnsi="宋体" w:cs="宋体"/>
          <w:sz w:val="28"/>
          <w:szCs w:val="28"/>
        </w:rPr>
        <w:t>项目意在创造良好的社会环境，为创造良好的社会环境，进行社区日常工作，开展道德、功德、法治科学两型讲座及各类传统文化演出活动，提升社区居民生活质量；对社区工作人员岗位社保补贴及公益性岗位补贴；体现国家和社会对死亡军人家属、伤残人员、复员及退伍军人的优待，保障他们的生活水平和切实利益，给予相应的抚恤补贴，构建和谐社会；确认社会稳定，建立良好的社区环境，提高工作及服务质量；强化民政、残联、老龄、劳动保障的社会管理和公共服务，通过健全社会救助体系、完善灾害救援机制等工作，让困难群众共享改革发展成果，使广大群众的生活水平和生活质量随着经济社会发展得到普遍提高。</w:t>
      </w:r>
    </w:p>
    <w:p w14:paraId="08168390">
      <w:pPr>
        <w:ind w:firstLine="560" w:firstLineChars="200"/>
        <w:rPr>
          <w:rFonts w:ascii="宋体" w:hAnsi="宋体" w:cs="宋体"/>
          <w:sz w:val="28"/>
          <w:szCs w:val="28"/>
        </w:rPr>
      </w:pPr>
      <w:r>
        <w:rPr>
          <w:rFonts w:hint="eastAsia" w:ascii="宋体" w:hAnsi="宋体" w:cs="宋体"/>
          <w:sz w:val="28"/>
          <w:szCs w:val="28"/>
        </w:rPr>
        <w:t>项目制定了详细的活动规划、严格的资金使用计划并对活动效果做出了预期。项目严格依据九峰街道办事处历年来基层建设和社区管理资金的支出情况，并结合各社区实际情况分配资金，力求做到资金使用效率最大化。</w:t>
      </w:r>
    </w:p>
    <w:p w14:paraId="3600E1AE">
      <w:pPr>
        <w:spacing w:line="360" w:lineRule="auto"/>
        <w:ind w:firstLine="560" w:firstLineChars="200"/>
        <w:rPr>
          <w:rFonts w:hint="eastAsia"/>
          <w:sz w:val="28"/>
          <w:szCs w:val="28"/>
        </w:rPr>
      </w:pPr>
      <w:r>
        <w:rPr>
          <w:rFonts w:hint="eastAsia"/>
          <w:sz w:val="28"/>
          <w:szCs w:val="28"/>
        </w:rPr>
        <w:t>项目预算经费为673.98万元，其中：</w:t>
      </w:r>
    </w:p>
    <w:p w14:paraId="202E00B7">
      <w:pPr>
        <w:numPr>
          <w:ilvl w:val="0"/>
          <w:numId w:val="5"/>
        </w:numPr>
        <w:tabs>
          <w:tab w:val="left" w:pos="993"/>
        </w:tabs>
        <w:spacing w:line="360" w:lineRule="auto"/>
        <w:ind w:left="0" w:firstLine="560" w:firstLineChars="200"/>
        <w:rPr>
          <w:rFonts w:hint="eastAsia" w:ascii="宋体" w:hAnsi="宋体" w:cs="宋体"/>
          <w:sz w:val="32"/>
          <w:szCs w:val="32"/>
        </w:rPr>
      </w:pPr>
      <w:r>
        <w:rPr>
          <w:rFonts w:hint="eastAsia"/>
          <w:sz w:val="28"/>
          <w:szCs w:val="28"/>
        </w:rPr>
        <w:t>基层建设和社区管理</w:t>
      </w:r>
    </w:p>
    <w:p w14:paraId="4800D4E4">
      <w:pPr>
        <w:ind w:firstLine="560" w:firstLineChars="200"/>
        <w:rPr>
          <w:rFonts w:hint="eastAsia" w:ascii="宋体" w:hAnsi="宋体" w:cs="宋体"/>
          <w:sz w:val="28"/>
          <w:szCs w:val="28"/>
        </w:rPr>
      </w:pPr>
      <w:r>
        <w:rPr>
          <w:rFonts w:hint="eastAsia" w:ascii="宋体" w:hAnsi="宋体" w:cs="宋体"/>
          <w:sz w:val="28"/>
          <w:szCs w:val="28"/>
        </w:rPr>
        <w:t>经费预算为209.04万元：每个社区工作经费为7万元、党务经费每个社区3万元、社区服务及惠民便民项目20万元，共计6个社区，共计180万元；公益性岗位公积金29.04万元。</w:t>
      </w:r>
    </w:p>
    <w:p w14:paraId="29DC876D">
      <w:pPr>
        <w:ind w:firstLine="560" w:firstLineChars="200"/>
        <w:rPr>
          <w:rFonts w:ascii="宋体" w:hAnsi="宋体" w:cs="宋体"/>
          <w:sz w:val="28"/>
          <w:szCs w:val="28"/>
        </w:rPr>
      </w:pPr>
      <w:r>
        <w:rPr>
          <w:rFonts w:hint="eastAsia" w:ascii="宋体" w:hAnsi="宋体" w:cs="宋体"/>
          <w:sz w:val="28"/>
          <w:szCs w:val="28"/>
        </w:rPr>
        <w:t>预期开展党群活动（包括村级党群活动）10次，社区居民培训及活动（包括村级组织的培训及活动）30次，社区文化活动覆盖率（实际开展文化活动社区/应当开展文化活动的社区）达到90%。</w:t>
      </w:r>
    </w:p>
    <w:p w14:paraId="24E7899D">
      <w:pPr>
        <w:ind w:firstLine="560" w:firstLineChars="200"/>
        <w:rPr>
          <w:rFonts w:ascii="宋体" w:hAnsi="宋体" w:cs="宋体"/>
          <w:sz w:val="28"/>
          <w:szCs w:val="28"/>
        </w:rPr>
      </w:pPr>
      <w:r>
        <w:rPr>
          <w:rFonts w:hint="eastAsia" w:ascii="宋体" w:hAnsi="宋体" w:cs="宋体"/>
          <w:sz w:val="28"/>
          <w:szCs w:val="28"/>
        </w:rPr>
        <w:t>2017年度项目实际支出298.05 万元，举办党群活动（包括村级党群活动）10次，社区居民培训及活动（包括村级组织的培训及活动）30次，社区文化活动覆盖率90%，项目完成度较高，实现了预期效果。</w:t>
      </w:r>
    </w:p>
    <w:p w14:paraId="7772710C">
      <w:pPr>
        <w:numPr>
          <w:ilvl w:val="0"/>
          <w:numId w:val="5"/>
        </w:numPr>
        <w:spacing w:line="360" w:lineRule="auto"/>
        <w:ind w:left="0" w:firstLine="560" w:firstLineChars="200"/>
        <w:rPr>
          <w:rFonts w:hint="eastAsia"/>
          <w:sz w:val="28"/>
          <w:szCs w:val="28"/>
        </w:rPr>
      </w:pPr>
      <w:r>
        <w:rPr>
          <w:rFonts w:hint="eastAsia"/>
          <w:sz w:val="28"/>
          <w:szCs w:val="28"/>
        </w:rPr>
        <w:t>就业补助</w:t>
      </w:r>
    </w:p>
    <w:p w14:paraId="29A7A383">
      <w:pPr>
        <w:ind w:firstLine="560" w:firstLineChars="200"/>
        <w:rPr>
          <w:rFonts w:hint="eastAsia"/>
          <w:sz w:val="28"/>
          <w:szCs w:val="28"/>
        </w:rPr>
      </w:pPr>
      <w:r>
        <w:rPr>
          <w:rFonts w:hint="eastAsia"/>
          <w:sz w:val="28"/>
          <w:szCs w:val="28"/>
        </w:rPr>
        <w:t>经费</w:t>
      </w:r>
      <w:r>
        <w:rPr>
          <w:rFonts w:hint="eastAsia" w:ascii="宋体" w:hAnsi="宋体" w:cs="宋体"/>
          <w:sz w:val="28"/>
          <w:szCs w:val="28"/>
        </w:rPr>
        <w:t>预算为</w:t>
      </w:r>
      <w:r>
        <w:rPr>
          <w:rFonts w:hint="eastAsia"/>
          <w:sz w:val="28"/>
          <w:szCs w:val="28"/>
        </w:rPr>
        <w:t>409.93万元：公益性岗位社会保险（单位缴纳部分）支出103.62万元；公益性岗位补贴（工资部分）306.31万元。</w:t>
      </w:r>
    </w:p>
    <w:p w14:paraId="0687EFEB">
      <w:pPr>
        <w:ind w:firstLine="560" w:firstLineChars="200"/>
        <w:rPr>
          <w:rFonts w:hint="eastAsia"/>
          <w:sz w:val="28"/>
          <w:szCs w:val="28"/>
        </w:rPr>
      </w:pPr>
      <w:r>
        <w:rPr>
          <w:rFonts w:hint="eastAsia" w:ascii="宋体" w:hAnsi="宋体" w:cs="宋体"/>
          <w:sz w:val="28"/>
          <w:szCs w:val="28"/>
        </w:rPr>
        <w:t>2017年度，实际支出总额</w:t>
      </w:r>
      <w:r>
        <w:rPr>
          <w:rFonts w:hint="eastAsia"/>
          <w:sz w:val="28"/>
          <w:szCs w:val="28"/>
        </w:rPr>
        <w:t>367</w:t>
      </w:r>
      <w:r>
        <w:rPr>
          <w:rFonts w:hint="eastAsia" w:ascii="宋体" w:hAnsi="宋体" w:cs="宋体"/>
          <w:sz w:val="28"/>
          <w:szCs w:val="28"/>
        </w:rPr>
        <w:t>.26万元。项目登记居民信息覆盖率90%，</w:t>
      </w:r>
      <w:r>
        <w:rPr>
          <w:rFonts w:hint="eastAsia"/>
          <w:sz w:val="28"/>
          <w:szCs w:val="28"/>
        </w:rPr>
        <w:t>就业补助</w:t>
      </w:r>
      <w:r>
        <w:rPr>
          <w:rFonts w:hint="eastAsia" w:ascii="宋体" w:hAnsi="宋体" w:cs="宋体"/>
          <w:sz w:val="28"/>
          <w:szCs w:val="28"/>
        </w:rPr>
        <w:t>足额发放率为100%，补助发放时效性强，在推动社会公共事业发展，提升居民生活质量，保障社会稳定等方面成效显著，公众满意度较高。</w:t>
      </w:r>
    </w:p>
    <w:p w14:paraId="110BB4E2">
      <w:pPr>
        <w:numPr>
          <w:ilvl w:val="0"/>
          <w:numId w:val="5"/>
        </w:numPr>
        <w:spacing w:line="360" w:lineRule="auto"/>
        <w:ind w:left="0" w:firstLine="560" w:firstLineChars="200"/>
        <w:rPr>
          <w:rFonts w:hint="eastAsia"/>
          <w:sz w:val="28"/>
          <w:szCs w:val="28"/>
        </w:rPr>
      </w:pPr>
      <w:r>
        <w:rPr>
          <w:rFonts w:hint="eastAsia"/>
          <w:sz w:val="28"/>
          <w:szCs w:val="28"/>
        </w:rPr>
        <w:t>抚恤</w:t>
      </w:r>
    </w:p>
    <w:p w14:paraId="3B2B5DFB">
      <w:pPr>
        <w:pStyle w:val="10"/>
        <w:spacing w:line="600" w:lineRule="exact"/>
        <w:ind w:firstLine="560"/>
        <w:rPr>
          <w:rFonts w:hint="eastAsia"/>
          <w:sz w:val="28"/>
          <w:szCs w:val="28"/>
        </w:rPr>
      </w:pPr>
      <w:r>
        <w:rPr>
          <w:rFonts w:hint="eastAsia"/>
          <w:sz w:val="28"/>
          <w:szCs w:val="28"/>
        </w:rPr>
        <w:t>经费</w:t>
      </w:r>
      <w:r>
        <w:rPr>
          <w:rFonts w:hint="eastAsia" w:ascii="宋体" w:hAnsi="宋体" w:cs="宋体"/>
          <w:sz w:val="28"/>
          <w:szCs w:val="28"/>
        </w:rPr>
        <w:t>预算为</w:t>
      </w:r>
      <w:r>
        <w:rPr>
          <w:rFonts w:hint="eastAsia"/>
          <w:sz w:val="28"/>
          <w:szCs w:val="28"/>
        </w:rPr>
        <w:t>3万元，用于军民共建及八一春节双拥。</w:t>
      </w:r>
    </w:p>
    <w:p w14:paraId="39323701">
      <w:pPr>
        <w:pStyle w:val="10"/>
        <w:spacing w:line="600" w:lineRule="exact"/>
        <w:ind w:firstLine="560"/>
        <w:rPr>
          <w:rFonts w:hint="eastAsia" w:ascii="宋体" w:hAnsi="宋体" w:cs="宋体"/>
          <w:sz w:val="28"/>
          <w:szCs w:val="28"/>
        </w:rPr>
      </w:pPr>
      <w:r>
        <w:rPr>
          <w:rFonts w:hint="eastAsia" w:ascii="宋体" w:hAnsi="宋体" w:cs="宋体"/>
          <w:sz w:val="28"/>
          <w:szCs w:val="28"/>
        </w:rPr>
        <w:t>2017年度实际支出总额19.81万元,其中双拥经费支出为2.23万元，死亡抚恤、伤残抚恤、在乡复员与退伍军人生活补助列入社发局预算，实际支出为17.58万。</w:t>
      </w:r>
    </w:p>
    <w:p w14:paraId="6DBF6450">
      <w:pPr>
        <w:pStyle w:val="10"/>
        <w:ind w:firstLine="504" w:firstLineChars="180"/>
        <w:rPr>
          <w:sz w:val="28"/>
          <w:szCs w:val="28"/>
        </w:rPr>
      </w:pPr>
      <w:r>
        <w:rPr>
          <w:rFonts w:hint="eastAsia" w:ascii="宋体" w:hAnsi="宋体" w:cs="宋体"/>
          <w:sz w:val="28"/>
          <w:szCs w:val="28"/>
        </w:rPr>
        <w:t>项目实施过程中补助人员覆盖率（实际补助人员人数/应当补助人员人数）达到100%，补助足额发放率为100%，补助发放时效性强，抚恤资金均当月发放。项目各项效益指标均能达成，产生了较好的社会效益、及可持续影响效益，社会公众满意度较高，投诉率低于5%。</w:t>
      </w:r>
    </w:p>
    <w:p w14:paraId="7DC40A00">
      <w:pPr>
        <w:numPr>
          <w:ilvl w:val="0"/>
          <w:numId w:val="5"/>
        </w:numPr>
        <w:spacing w:line="360" w:lineRule="auto"/>
        <w:ind w:left="0" w:firstLine="560" w:firstLineChars="200"/>
        <w:rPr>
          <w:rFonts w:hint="eastAsia"/>
          <w:sz w:val="28"/>
          <w:szCs w:val="28"/>
        </w:rPr>
      </w:pPr>
      <w:r>
        <w:rPr>
          <w:rFonts w:hint="eastAsia"/>
          <w:sz w:val="28"/>
          <w:szCs w:val="28"/>
        </w:rPr>
        <w:t>退役安置</w:t>
      </w:r>
    </w:p>
    <w:p w14:paraId="5FF9CA60">
      <w:pPr>
        <w:pStyle w:val="10"/>
        <w:ind w:firstLine="504" w:firstLineChars="180"/>
        <w:rPr>
          <w:rFonts w:hint="eastAsia"/>
          <w:sz w:val="28"/>
          <w:szCs w:val="28"/>
        </w:rPr>
      </w:pPr>
      <w:r>
        <w:rPr>
          <w:rFonts w:hint="eastAsia"/>
          <w:sz w:val="28"/>
          <w:szCs w:val="28"/>
        </w:rPr>
        <w:t>本度年初未做预算，但</w:t>
      </w:r>
      <w:r>
        <w:rPr>
          <w:rFonts w:hint="eastAsia" w:ascii="宋体" w:hAnsi="宋体" w:cs="宋体"/>
          <w:sz w:val="28"/>
          <w:szCs w:val="28"/>
        </w:rPr>
        <w:t>本年度</w:t>
      </w:r>
      <w:r>
        <w:rPr>
          <w:rFonts w:hint="eastAsia"/>
          <w:sz w:val="28"/>
          <w:szCs w:val="28"/>
        </w:rPr>
        <w:t>实际发生退役士兵安置费16.54万元。</w:t>
      </w:r>
    </w:p>
    <w:p w14:paraId="2171F7D8">
      <w:pPr>
        <w:pStyle w:val="10"/>
        <w:ind w:firstLine="504" w:firstLineChars="180"/>
        <w:rPr>
          <w:rFonts w:hint="eastAsia"/>
          <w:sz w:val="28"/>
          <w:szCs w:val="28"/>
        </w:rPr>
      </w:pPr>
      <w:r>
        <w:rPr>
          <w:rFonts w:hint="eastAsia"/>
          <w:sz w:val="28"/>
          <w:szCs w:val="28"/>
        </w:rPr>
        <w:t>为上级专款，本项目解决了未安置上岗和下岗失业转业志愿兵生活困难，</w:t>
      </w:r>
      <w:r>
        <w:rPr>
          <w:rFonts w:hint="eastAsia" w:ascii="宋体" w:hAnsi="宋体" w:cs="宋体"/>
          <w:sz w:val="28"/>
          <w:szCs w:val="28"/>
        </w:rPr>
        <w:t>保障社会稳定。</w:t>
      </w:r>
    </w:p>
    <w:p w14:paraId="00FB2D73">
      <w:pPr>
        <w:numPr>
          <w:ilvl w:val="0"/>
          <w:numId w:val="5"/>
        </w:numPr>
        <w:spacing w:line="360" w:lineRule="auto"/>
        <w:ind w:left="0" w:firstLine="560" w:firstLineChars="200"/>
        <w:rPr>
          <w:rFonts w:hint="eastAsia"/>
          <w:sz w:val="28"/>
          <w:szCs w:val="28"/>
        </w:rPr>
      </w:pPr>
      <w:r>
        <w:rPr>
          <w:rFonts w:hint="eastAsia"/>
          <w:sz w:val="28"/>
          <w:szCs w:val="28"/>
        </w:rPr>
        <w:t>社会福利</w:t>
      </w:r>
    </w:p>
    <w:p w14:paraId="0D1E4915">
      <w:pPr>
        <w:pStyle w:val="10"/>
        <w:ind w:firstLine="504" w:firstLineChars="180"/>
        <w:rPr>
          <w:rFonts w:hint="eastAsia"/>
          <w:sz w:val="28"/>
          <w:szCs w:val="28"/>
        </w:rPr>
      </w:pPr>
      <w:r>
        <w:rPr>
          <w:rFonts w:hint="eastAsia"/>
          <w:sz w:val="28"/>
          <w:szCs w:val="28"/>
        </w:rPr>
        <w:t>经费</w:t>
      </w:r>
      <w:r>
        <w:rPr>
          <w:rFonts w:hint="eastAsia" w:ascii="宋体" w:hAnsi="宋体" w:cs="宋体"/>
          <w:sz w:val="28"/>
          <w:szCs w:val="28"/>
        </w:rPr>
        <w:t>预算为</w:t>
      </w:r>
      <w:r>
        <w:rPr>
          <w:rFonts w:hint="eastAsia"/>
          <w:sz w:val="28"/>
          <w:szCs w:val="28"/>
        </w:rPr>
        <w:t>32.</w:t>
      </w:r>
      <w:r>
        <w:rPr>
          <w:rFonts w:hint="eastAsia" w:ascii="宋体" w:hAnsi="宋体" w:cs="宋体"/>
          <w:sz w:val="28"/>
          <w:szCs w:val="28"/>
        </w:rPr>
        <w:t>01</w:t>
      </w:r>
      <w:r>
        <w:rPr>
          <w:rFonts w:hint="eastAsia"/>
          <w:sz w:val="28"/>
          <w:szCs w:val="28"/>
        </w:rPr>
        <w:t>万元：老年福利28.55万元，用于80岁以上城市老人生活补贴和居家养老护理服务费；丧葬管理事务经费3万元，用于困难群众丧葬事务；40%救济对象生活费0.46万元。</w:t>
      </w:r>
    </w:p>
    <w:p w14:paraId="77E4D7BF">
      <w:pPr>
        <w:pStyle w:val="10"/>
        <w:ind w:firstLine="504" w:firstLineChars="180"/>
        <w:rPr>
          <w:rFonts w:hint="eastAsia" w:ascii="宋体" w:hAnsi="宋体" w:cs="宋体"/>
          <w:sz w:val="28"/>
          <w:szCs w:val="28"/>
        </w:rPr>
      </w:pPr>
      <w:r>
        <w:rPr>
          <w:rFonts w:hint="eastAsia"/>
          <w:sz w:val="28"/>
          <w:szCs w:val="28"/>
        </w:rPr>
        <w:t>2017年度</w:t>
      </w:r>
      <w:r>
        <w:rPr>
          <w:rFonts w:hint="eastAsia" w:ascii="宋体" w:hAnsi="宋体" w:cs="宋体"/>
          <w:sz w:val="28"/>
          <w:szCs w:val="28"/>
        </w:rPr>
        <w:t>项目实际支出63.71万元，项目实施过程中补助人员覆盖率（实际补助人员人数/应当补助人员人数）达到100%，补助足额发放率为100%。项目实施确保社会稳定，建立良好了建设环境，促进保障社会和谐、稳定发展，社会公众满意度较高，投诉率较低。</w:t>
      </w:r>
    </w:p>
    <w:p w14:paraId="6539454E">
      <w:pPr>
        <w:numPr>
          <w:ilvl w:val="0"/>
          <w:numId w:val="5"/>
        </w:numPr>
        <w:spacing w:line="360" w:lineRule="auto"/>
        <w:ind w:left="0" w:firstLine="560" w:firstLineChars="200"/>
        <w:rPr>
          <w:rFonts w:hint="eastAsia"/>
          <w:sz w:val="28"/>
          <w:szCs w:val="28"/>
        </w:rPr>
      </w:pPr>
      <w:r>
        <w:rPr>
          <w:rFonts w:hint="eastAsia"/>
          <w:sz w:val="28"/>
          <w:szCs w:val="28"/>
        </w:rPr>
        <w:t>残疾人事业</w:t>
      </w:r>
    </w:p>
    <w:p w14:paraId="6824DF7C">
      <w:pPr>
        <w:pStyle w:val="10"/>
        <w:ind w:firstLine="504" w:firstLineChars="180"/>
        <w:rPr>
          <w:rFonts w:hint="eastAsia"/>
          <w:sz w:val="28"/>
          <w:szCs w:val="28"/>
        </w:rPr>
      </w:pPr>
      <w:r>
        <w:rPr>
          <w:rFonts w:hint="eastAsia" w:ascii="宋体" w:hAnsi="宋体" w:cs="宋体"/>
          <w:sz w:val="28"/>
          <w:szCs w:val="28"/>
        </w:rPr>
        <w:t>2017年年初</w:t>
      </w:r>
      <w:r>
        <w:rPr>
          <w:rFonts w:hint="eastAsia"/>
          <w:sz w:val="28"/>
          <w:szCs w:val="28"/>
        </w:rPr>
        <w:t>未做预算，但</w:t>
      </w:r>
      <w:r>
        <w:rPr>
          <w:rFonts w:hint="eastAsia" w:ascii="宋体" w:hAnsi="宋体" w:cs="宋体"/>
          <w:sz w:val="28"/>
          <w:szCs w:val="28"/>
        </w:rPr>
        <w:t>本年度</w:t>
      </w:r>
      <w:r>
        <w:rPr>
          <w:rFonts w:hint="eastAsia"/>
          <w:sz w:val="28"/>
          <w:szCs w:val="28"/>
        </w:rPr>
        <w:t>实际发生32.35万元，从转移支付中安排。</w:t>
      </w:r>
    </w:p>
    <w:p w14:paraId="2C181997">
      <w:pPr>
        <w:pStyle w:val="10"/>
        <w:ind w:firstLine="504" w:firstLineChars="180"/>
        <w:rPr>
          <w:rFonts w:hint="eastAsia"/>
          <w:sz w:val="28"/>
          <w:szCs w:val="28"/>
        </w:rPr>
      </w:pPr>
      <w:r>
        <w:rPr>
          <w:rFonts w:hint="eastAsia"/>
          <w:sz w:val="28"/>
          <w:szCs w:val="28"/>
        </w:rPr>
        <w:t>本项目为残疾人生活和护理补贴支出，为政策性专项资金，</w:t>
      </w:r>
      <w:r>
        <w:rPr>
          <w:rFonts w:hint="eastAsia" w:ascii="宋体" w:hAnsi="宋体" w:cs="宋体"/>
          <w:sz w:val="28"/>
          <w:szCs w:val="28"/>
        </w:rPr>
        <w:t>项目实施确保社会稳定，建立良好了建设环境，促进保障社会和谐、稳定发展。</w:t>
      </w:r>
    </w:p>
    <w:p w14:paraId="060826D9">
      <w:pPr>
        <w:numPr>
          <w:ilvl w:val="0"/>
          <w:numId w:val="5"/>
        </w:numPr>
        <w:spacing w:line="360" w:lineRule="auto"/>
        <w:ind w:left="0" w:firstLine="560" w:firstLineChars="200"/>
        <w:rPr>
          <w:rFonts w:hint="eastAsia"/>
          <w:sz w:val="28"/>
          <w:szCs w:val="28"/>
        </w:rPr>
      </w:pPr>
      <w:r>
        <w:rPr>
          <w:rFonts w:hint="eastAsia"/>
          <w:sz w:val="28"/>
          <w:szCs w:val="28"/>
        </w:rPr>
        <w:t>最低生活保障、临时救助</w:t>
      </w:r>
    </w:p>
    <w:p w14:paraId="71586DC1">
      <w:pPr>
        <w:pStyle w:val="10"/>
        <w:ind w:firstLine="504" w:firstLineChars="180"/>
        <w:rPr>
          <w:rFonts w:hint="eastAsia"/>
          <w:sz w:val="28"/>
          <w:szCs w:val="28"/>
        </w:rPr>
      </w:pPr>
      <w:r>
        <w:rPr>
          <w:rFonts w:hint="eastAsia" w:ascii="宋体" w:hAnsi="宋体" w:cs="宋体"/>
          <w:sz w:val="28"/>
          <w:szCs w:val="28"/>
        </w:rPr>
        <w:t>2017年年初未做预算，列入社保局预算，本年度实际支出分别为79.31万元、0.81万元，项目实施完善社会保障服务体系，有利于社会和谐、稳定。</w:t>
      </w:r>
    </w:p>
    <w:p w14:paraId="7B14F363">
      <w:pPr>
        <w:numPr>
          <w:ilvl w:val="0"/>
          <w:numId w:val="5"/>
        </w:numPr>
        <w:spacing w:line="360" w:lineRule="auto"/>
        <w:ind w:left="0" w:firstLine="560" w:firstLineChars="200"/>
        <w:rPr>
          <w:rFonts w:hint="eastAsia"/>
          <w:sz w:val="28"/>
          <w:szCs w:val="28"/>
        </w:rPr>
      </w:pPr>
      <w:r>
        <w:rPr>
          <w:rFonts w:hint="eastAsia"/>
          <w:sz w:val="28"/>
          <w:szCs w:val="28"/>
        </w:rPr>
        <w:t>其他生活救助</w:t>
      </w:r>
    </w:p>
    <w:p w14:paraId="6461EC39">
      <w:pPr>
        <w:spacing w:line="360" w:lineRule="auto"/>
        <w:ind w:left="560"/>
        <w:rPr>
          <w:rFonts w:hint="eastAsia"/>
          <w:sz w:val="28"/>
          <w:szCs w:val="28"/>
        </w:rPr>
      </w:pPr>
      <w:r>
        <w:rPr>
          <w:rFonts w:hint="eastAsia"/>
          <w:sz w:val="28"/>
          <w:szCs w:val="28"/>
        </w:rPr>
        <w:t>经费</w:t>
      </w:r>
      <w:r>
        <w:rPr>
          <w:rFonts w:hint="eastAsia" w:ascii="宋体" w:hAnsi="宋体" w:cs="宋体"/>
          <w:sz w:val="28"/>
          <w:szCs w:val="28"/>
        </w:rPr>
        <w:t>预算为</w:t>
      </w:r>
      <w:r>
        <w:rPr>
          <w:rFonts w:hint="eastAsia"/>
          <w:sz w:val="28"/>
          <w:szCs w:val="28"/>
        </w:rPr>
        <w:t>6万元，用于6个社区的纳凉取暖。</w:t>
      </w:r>
    </w:p>
    <w:p w14:paraId="28D86444">
      <w:pPr>
        <w:pStyle w:val="10"/>
        <w:ind w:firstLine="504" w:firstLineChars="180"/>
        <w:rPr>
          <w:rFonts w:hint="eastAsia"/>
          <w:sz w:val="28"/>
          <w:szCs w:val="28"/>
        </w:rPr>
      </w:pPr>
      <w:r>
        <w:rPr>
          <w:rFonts w:hint="eastAsia"/>
          <w:sz w:val="28"/>
          <w:szCs w:val="28"/>
        </w:rPr>
        <w:t>2017年度实际支出为4.86万元，本项目实施提升社区居民生活质量，改善社区生活环境，确保社会稳定，建立良好的建设环境。</w:t>
      </w:r>
    </w:p>
    <w:p w14:paraId="2481EB7A">
      <w:pPr>
        <w:numPr>
          <w:ilvl w:val="0"/>
          <w:numId w:val="5"/>
        </w:numPr>
        <w:spacing w:line="360" w:lineRule="auto"/>
        <w:ind w:left="0" w:firstLine="560" w:firstLineChars="200"/>
        <w:rPr>
          <w:rFonts w:hint="eastAsia"/>
          <w:sz w:val="28"/>
          <w:szCs w:val="28"/>
        </w:rPr>
      </w:pPr>
      <w:r>
        <w:rPr>
          <w:rFonts w:hint="eastAsia"/>
          <w:sz w:val="28"/>
          <w:szCs w:val="28"/>
        </w:rPr>
        <w:t>优抚对象医疗补助</w:t>
      </w:r>
    </w:p>
    <w:p w14:paraId="360CFEFB">
      <w:pPr>
        <w:pStyle w:val="10"/>
        <w:ind w:firstLine="504" w:firstLineChars="180"/>
        <w:rPr>
          <w:rFonts w:hint="eastAsia"/>
          <w:sz w:val="28"/>
          <w:szCs w:val="28"/>
        </w:rPr>
      </w:pPr>
      <w:r>
        <w:rPr>
          <w:rFonts w:hint="eastAsia"/>
          <w:sz w:val="28"/>
          <w:szCs w:val="28"/>
        </w:rPr>
        <w:t>经费</w:t>
      </w:r>
      <w:r>
        <w:rPr>
          <w:rFonts w:hint="eastAsia" w:ascii="宋体" w:hAnsi="宋体" w:cs="宋体"/>
          <w:sz w:val="28"/>
          <w:szCs w:val="28"/>
        </w:rPr>
        <w:t>预算为</w:t>
      </w:r>
      <w:r>
        <w:rPr>
          <w:rFonts w:hint="eastAsia"/>
          <w:sz w:val="28"/>
          <w:szCs w:val="28"/>
        </w:rPr>
        <w:t>3万元，用于优抚对象医疗补助。2017年度无实际支出。</w:t>
      </w:r>
    </w:p>
    <w:p w14:paraId="5F5E32D4">
      <w:pPr>
        <w:numPr>
          <w:ilvl w:val="0"/>
          <w:numId w:val="5"/>
        </w:numPr>
        <w:spacing w:line="360" w:lineRule="auto"/>
        <w:ind w:left="0" w:firstLine="560" w:firstLineChars="200"/>
        <w:rPr>
          <w:rFonts w:hint="eastAsia"/>
          <w:sz w:val="28"/>
          <w:szCs w:val="28"/>
        </w:rPr>
      </w:pPr>
      <w:r>
        <w:rPr>
          <w:rFonts w:hint="eastAsia"/>
          <w:sz w:val="28"/>
          <w:szCs w:val="28"/>
        </w:rPr>
        <w:t>民政、残联、老龄委、劳动保障工作经费</w:t>
      </w:r>
    </w:p>
    <w:p w14:paraId="7F062103">
      <w:pPr>
        <w:pStyle w:val="10"/>
        <w:ind w:firstLine="504" w:firstLineChars="180"/>
        <w:rPr>
          <w:rFonts w:hint="eastAsia"/>
          <w:sz w:val="28"/>
          <w:szCs w:val="28"/>
        </w:rPr>
      </w:pPr>
      <w:r>
        <w:rPr>
          <w:rFonts w:hint="eastAsia"/>
          <w:sz w:val="28"/>
          <w:szCs w:val="28"/>
        </w:rPr>
        <w:t>经费</w:t>
      </w:r>
      <w:r>
        <w:rPr>
          <w:rFonts w:hint="eastAsia" w:ascii="宋体" w:hAnsi="宋体" w:cs="宋体"/>
          <w:sz w:val="28"/>
          <w:szCs w:val="28"/>
        </w:rPr>
        <w:t>预算为</w:t>
      </w:r>
      <w:r>
        <w:rPr>
          <w:rFonts w:hint="eastAsia"/>
          <w:sz w:val="28"/>
          <w:szCs w:val="28"/>
        </w:rPr>
        <w:t>11万元，2017年实际支出为0.76万元。</w:t>
      </w:r>
    </w:p>
    <w:p w14:paraId="780ADE78">
      <w:pPr>
        <w:ind w:firstLine="560" w:firstLineChars="200"/>
        <w:rPr>
          <w:rFonts w:hint="eastAsia"/>
          <w:sz w:val="28"/>
          <w:szCs w:val="28"/>
        </w:rPr>
      </w:pPr>
      <w:r>
        <w:rPr>
          <w:rFonts w:hint="eastAsia"/>
          <w:sz w:val="28"/>
          <w:szCs w:val="28"/>
        </w:rPr>
        <w:t>本项目实际支出共计为882.83万元，项目资金比预算超出208.85万元，超出预算30.99%。</w:t>
      </w:r>
    </w:p>
    <w:p w14:paraId="219E0452">
      <w:pPr>
        <w:spacing w:line="360" w:lineRule="auto"/>
        <w:ind w:firstLine="560" w:firstLineChars="200"/>
        <w:rPr>
          <w:rFonts w:hint="eastAsia"/>
          <w:sz w:val="28"/>
        </w:rPr>
      </w:pPr>
      <w:r>
        <w:rPr>
          <w:rFonts w:hint="eastAsia" w:ascii="楷体_GB2312" w:eastAsia="楷体_GB2312"/>
          <w:sz w:val="28"/>
        </w:rPr>
        <w:t>（二）项目预算绩效目标</w:t>
      </w:r>
      <w:r>
        <w:rPr>
          <w:rFonts w:hint="eastAsia"/>
          <w:sz w:val="28"/>
        </w:rPr>
        <w:t>（根据实际情况设置绩效指标）</w:t>
      </w:r>
    </w:p>
    <w:p w14:paraId="4AB32143">
      <w:pPr>
        <w:spacing w:line="360" w:lineRule="auto"/>
        <w:ind w:firstLine="560" w:firstLineChars="200"/>
        <w:rPr>
          <w:sz w:val="28"/>
        </w:rPr>
      </w:pPr>
      <w:r>
        <w:rPr>
          <w:sz w:val="28"/>
        </w:rPr>
        <w:t>1</w:t>
      </w:r>
      <w:r>
        <w:rPr>
          <w:rFonts w:hint="eastAsia"/>
          <w:sz w:val="28"/>
        </w:rPr>
        <w:t>．产出目标（包括产出数量和质量指标）</w:t>
      </w:r>
    </w:p>
    <w:p w14:paraId="76AE0FD2">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产出目标包括数量指标、质量指标、时效指标和成本指标。</w:t>
      </w:r>
    </w:p>
    <w:p w14:paraId="390F0499">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（1）数量指标</w:t>
      </w:r>
    </w:p>
    <w:p w14:paraId="307F0611">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数量指标1：资金使用率达到100%；</w:t>
      </w:r>
    </w:p>
    <w:p w14:paraId="581CB545">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数量指标2：党群活动项目10项左右（包括村级党群活动）；</w:t>
      </w:r>
    </w:p>
    <w:p w14:paraId="1B03F297">
      <w:pPr>
        <w:widowControl/>
        <w:spacing w:line="600" w:lineRule="exact"/>
        <w:ind w:firstLine="560" w:firstLineChars="200"/>
        <w:jc w:val="left"/>
        <w:rPr>
          <w:rFonts w:hint="eastAsia" w:ascii="宋体" w:hAnsi="宋体" w:cs="宋体"/>
          <w:sz w:val="28"/>
          <w:szCs w:val="28"/>
        </w:rPr>
      </w:pPr>
      <w:r>
        <w:rPr>
          <w:rFonts w:hint="eastAsia" w:ascii="宋体" w:hAnsi="宋体" w:cs="宋体"/>
          <w:sz w:val="28"/>
          <w:szCs w:val="28"/>
        </w:rPr>
        <w:t>数量指标3：社区居民培训及活动30次（包括村级组织的培训及活动）。</w:t>
      </w:r>
    </w:p>
    <w:p w14:paraId="0D710382">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数量指标4：对就业补助、社会福利、抚恤等对象的覆盖率95%（实际应补助人员人数/应当补助人员人数）</w:t>
      </w:r>
    </w:p>
    <w:p w14:paraId="5B0E9A15">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（2）质量指标：</w:t>
      </w:r>
    </w:p>
    <w:p w14:paraId="78B02632">
      <w:pPr>
        <w:widowControl/>
        <w:spacing w:line="600" w:lineRule="exact"/>
        <w:ind w:firstLine="560" w:firstLineChars="200"/>
        <w:jc w:val="left"/>
        <w:rPr>
          <w:rFonts w:hint="eastAsia" w:ascii="宋体" w:hAnsi="宋体" w:cs="宋体"/>
          <w:sz w:val="28"/>
          <w:szCs w:val="28"/>
        </w:rPr>
      </w:pPr>
      <w:r>
        <w:rPr>
          <w:rFonts w:hint="eastAsia" w:ascii="宋体" w:hAnsi="宋体" w:cs="宋体"/>
          <w:sz w:val="28"/>
          <w:szCs w:val="28"/>
        </w:rPr>
        <w:t>指标内容：基层建设和社区管理活动活动覆盖率达100%，（（按实际开展文化活动社区/应当开展文化活动的社区）；对就业补助、社会福利、抚恤等对象的合规率达100%</w:t>
      </w:r>
    </w:p>
    <w:p w14:paraId="34C35912">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（3）时效指标</w:t>
      </w:r>
    </w:p>
    <w:p w14:paraId="52A35F65">
      <w:pPr>
        <w:pStyle w:val="11"/>
        <w:ind w:firstLine="560"/>
        <w:rPr>
          <w:rFonts w:ascii="宋体" w:hAnsi="宋体" w:cs="宋体"/>
          <w:sz w:val="28"/>
          <w:szCs w:val="28"/>
        </w:rPr>
      </w:pPr>
      <w:r>
        <w:rPr>
          <w:rFonts w:hint="eastAsia" w:ascii="宋体" w:hAnsi="宋体" w:cs="宋体"/>
          <w:sz w:val="28"/>
          <w:szCs w:val="28"/>
        </w:rPr>
        <w:t>指标内容：完成及时率100%，项目完成及时性达到100%进行考核。</w:t>
      </w:r>
    </w:p>
    <w:p w14:paraId="40C8F5A1">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（4）成本指标：673.98万元。</w:t>
      </w:r>
    </w:p>
    <w:p w14:paraId="7C2D5395">
      <w:pPr>
        <w:spacing w:line="360" w:lineRule="auto"/>
        <w:ind w:firstLine="560" w:firstLineChars="200"/>
        <w:rPr>
          <w:sz w:val="28"/>
        </w:rPr>
      </w:pPr>
      <w:r>
        <w:rPr>
          <w:rFonts w:hint="eastAsia"/>
          <w:sz w:val="28"/>
        </w:rPr>
        <w:t>2．效果目标（包括经济效益、社会效益、生态效益和可持续影响指标）</w:t>
      </w:r>
    </w:p>
    <w:p w14:paraId="652CB3B7">
      <w:pPr>
        <w:pStyle w:val="11"/>
        <w:ind w:firstLine="560"/>
        <w:rPr>
          <w:rFonts w:ascii="宋体" w:hAnsi="宋体" w:cs="宋体"/>
          <w:sz w:val="28"/>
          <w:szCs w:val="28"/>
        </w:rPr>
      </w:pPr>
      <w:r>
        <w:rPr>
          <w:rFonts w:hint="eastAsia" w:ascii="宋体" w:hAnsi="宋体" w:cs="宋体"/>
          <w:sz w:val="28"/>
          <w:szCs w:val="28"/>
        </w:rPr>
        <w:t>（1）经济资产指标：不适用；</w:t>
      </w:r>
    </w:p>
    <w:p w14:paraId="27F7B71E">
      <w:pPr>
        <w:pStyle w:val="11"/>
        <w:ind w:firstLine="560"/>
        <w:rPr>
          <w:rFonts w:ascii="宋体" w:hAnsi="宋体" w:cs="宋体"/>
          <w:sz w:val="28"/>
          <w:szCs w:val="28"/>
        </w:rPr>
      </w:pPr>
      <w:r>
        <w:rPr>
          <w:rFonts w:hint="eastAsia" w:ascii="宋体" w:hAnsi="宋体" w:cs="宋体"/>
          <w:sz w:val="28"/>
          <w:szCs w:val="28"/>
        </w:rPr>
        <w:t>（2）社会效益指标：民众幸福满足感提高，推动社会公共事业发展；促进保障社会和谐、稳定发展；维护特困人员基本生存权益，改善和提高特困人员、优抚对象生活状况和生活质量；使广大群众的生活水平和生活质量随着经济社会发展得到普遍提高。</w:t>
      </w:r>
    </w:p>
    <w:p w14:paraId="084C41C4">
      <w:pPr>
        <w:pStyle w:val="11"/>
        <w:ind w:firstLine="560"/>
        <w:rPr>
          <w:rFonts w:ascii="宋体" w:hAnsi="宋体" w:cs="宋体"/>
          <w:sz w:val="28"/>
          <w:szCs w:val="28"/>
        </w:rPr>
      </w:pPr>
      <w:r>
        <w:rPr>
          <w:rFonts w:hint="eastAsia" w:ascii="宋体" w:hAnsi="宋体" w:cs="宋体"/>
          <w:sz w:val="28"/>
          <w:szCs w:val="28"/>
        </w:rPr>
        <w:t>（3）环境效益指标：提升社区居民生活质量，改善社区生活环境；</w:t>
      </w:r>
    </w:p>
    <w:p w14:paraId="2B6C6D95">
      <w:pPr>
        <w:pStyle w:val="11"/>
        <w:ind w:firstLine="560"/>
        <w:rPr>
          <w:rFonts w:hint="eastAsia" w:ascii="宋体" w:hAnsi="宋体" w:cs="宋体"/>
          <w:sz w:val="28"/>
          <w:szCs w:val="28"/>
        </w:rPr>
      </w:pPr>
      <w:r>
        <w:rPr>
          <w:rFonts w:hint="eastAsia" w:ascii="宋体" w:hAnsi="宋体" w:cs="宋体"/>
          <w:sz w:val="28"/>
          <w:szCs w:val="28"/>
        </w:rPr>
        <w:t>（4）可持续影响指标: 确保社会稳定，建立良好的建设环境；完善街道救助体系；完善社会服务体系，提升公共服务水平，进一步发挥好“为民服务”的职能。</w:t>
      </w:r>
    </w:p>
    <w:p w14:paraId="44482B92">
      <w:pPr>
        <w:pStyle w:val="11"/>
        <w:ind w:firstLine="560"/>
        <w:rPr>
          <w:rFonts w:ascii="宋体" w:hAnsi="宋体" w:cs="宋体"/>
          <w:sz w:val="28"/>
          <w:szCs w:val="28"/>
        </w:rPr>
      </w:pPr>
      <w:r>
        <w:rPr>
          <w:rFonts w:hint="eastAsia" w:ascii="宋体" w:hAnsi="宋体" w:cs="宋体"/>
          <w:sz w:val="28"/>
          <w:szCs w:val="28"/>
        </w:rPr>
        <w:t>（5）社会公众或服务对象满意度指标：社区居民满意度85%；工作及服务质量投诉率为5%。</w:t>
      </w:r>
    </w:p>
    <w:p w14:paraId="6561AB14">
      <w:pPr>
        <w:pStyle w:val="11"/>
        <w:ind w:firstLine="560"/>
        <w:rPr>
          <w:rFonts w:hint="eastAsia" w:ascii="宋体" w:hAnsi="宋体" w:cs="宋体"/>
          <w:sz w:val="28"/>
          <w:szCs w:val="28"/>
        </w:rPr>
      </w:pPr>
    </w:p>
    <w:p w14:paraId="1BDA78B8">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二、项目绩效分析</w:t>
      </w:r>
    </w:p>
    <w:p w14:paraId="0BD040F3">
      <w:pPr>
        <w:spacing w:line="360" w:lineRule="auto"/>
        <w:ind w:firstLine="560" w:firstLineChars="200"/>
        <w:rPr>
          <w:rFonts w:hint="eastAsia" w:ascii="楷体_GB2312" w:eastAsia="楷体_GB2312"/>
          <w:sz w:val="28"/>
        </w:rPr>
      </w:pPr>
      <w:r>
        <w:rPr>
          <w:rFonts w:hint="eastAsia" w:ascii="楷体_GB2312" w:eastAsia="楷体_GB2312"/>
          <w:sz w:val="28"/>
        </w:rPr>
        <w:t>（一）项目管理情况</w:t>
      </w:r>
    </w:p>
    <w:p w14:paraId="579C7BC6">
      <w:pPr>
        <w:spacing w:line="360" w:lineRule="auto"/>
        <w:ind w:firstLine="560" w:firstLineChars="200"/>
        <w:rPr>
          <w:sz w:val="28"/>
        </w:rPr>
      </w:pPr>
      <w:r>
        <w:rPr>
          <w:rFonts w:hint="eastAsia"/>
          <w:sz w:val="28"/>
        </w:rPr>
        <w:t>l</w:t>
      </w:r>
      <w:bookmarkStart w:id="1" w:name="_Hlk513801887"/>
      <w:r>
        <w:rPr>
          <w:rFonts w:hint="eastAsia"/>
          <w:sz w:val="28"/>
        </w:rPr>
        <w:t>．</w:t>
      </w:r>
      <w:bookmarkEnd w:id="1"/>
      <w:r>
        <w:rPr>
          <w:rFonts w:hint="eastAsia"/>
          <w:sz w:val="28"/>
        </w:rPr>
        <w:t>业务管理情况（包括：</w:t>
      </w:r>
      <w:r>
        <w:rPr>
          <w:rFonts w:hint="eastAsia" w:ascii="宋体" w:hAnsi="宋体"/>
          <w:sz w:val="28"/>
        </w:rPr>
        <w:t>①</w:t>
      </w:r>
      <w:r>
        <w:rPr>
          <w:rFonts w:hint="eastAsia"/>
          <w:sz w:val="28"/>
        </w:rPr>
        <w:t>项目基础资料是否齐备；</w:t>
      </w:r>
      <w:r>
        <w:rPr>
          <w:rFonts w:hint="eastAsia" w:ascii="宋体" w:hAnsi="宋体"/>
          <w:sz w:val="28"/>
        </w:rPr>
        <w:t>②</w:t>
      </w:r>
      <w:r>
        <w:rPr>
          <w:rFonts w:hint="eastAsia"/>
          <w:sz w:val="28"/>
        </w:rPr>
        <w:t>项目质量控制采取的措施；</w:t>
      </w:r>
      <w:r>
        <w:rPr>
          <w:rFonts w:hint="eastAsia" w:ascii="宋体" w:hAnsi="宋体"/>
          <w:sz w:val="28"/>
        </w:rPr>
        <w:t>③</w:t>
      </w:r>
      <w:r>
        <w:rPr>
          <w:rFonts w:hint="eastAsia"/>
          <w:sz w:val="28"/>
        </w:rPr>
        <w:t>项目验收情况）</w:t>
      </w:r>
    </w:p>
    <w:p w14:paraId="4743D122">
      <w:pPr>
        <w:spacing w:line="360" w:lineRule="auto"/>
        <w:ind w:firstLine="560" w:firstLineChars="200"/>
        <w:rPr>
          <w:sz w:val="28"/>
        </w:rPr>
      </w:pPr>
      <w:bookmarkStart w:id="2" w:name="_Hlk515012678"/>
      <w:r>
        <w:rPr>
          <w:rFonts w:hint="eastAsia" w:ascii="宋体" w:hAnsi="宋体"/>
          <w:sz w:val="28"/>
        </w:rPr>
        <w:t>①</w:t>
      </w:r>
      <w:bookmarkEnd w:id="2"/>
      <w:r>
        <w:rPr>
          <w:rFonts w:hint="eastAsia"/>
          <w:sz w:val="28"/>
        </w:rPr>
        <w:t>项目基础资料</w:t>
      </w:r>
    </w:p>
    <w:p w14:paraId="35090F61">
      <w:pPr>
        <w:widowControl/>
        <w:spacing w:line="600" w:lineRule="exact"/>
        <w:ind w:firstLine="560" w:firstLineChars="200"/>
        <w:jc w:val="left"/>
        <w:rPr>
          <w:sz w:val="28"/>
        </w:rPr>
      </w:pPr>
      <w:r>
        <w:rPr>
          <w:rFonts w:hint="eastAsia"/>
          <w:sz w:val="28"/>
        </w:rPr>
        <w:t>根据设置的评价指标，项目各阶段、各环节资料均保存完好，包括预算计划资料、经费分配资料、资金划拨资料等，均妥善整理归档。</w:t>
      </w:r>
    </w:p>
    <w:p w14:paraId="2A64BD7C">
      <w:pPr>
        <w:spacing w:line="360" w:lineRule="auto"/>
        <w:ind w:firstLine="560" w:firstLineChars="200"/>
        <w:rPr>
          <w:sz w:val="28"/>
        </w:rPr>
      </w:pPr>
      <w:r>
        <w:rPr>
          <w:rFonts w:hint="eastAsia" w:ascii="宋体" w:hAnsi="宋体"/>
          <w:sz w:val="28"/>
        </w:rPr>
        <w:t>②</w:t>
      </w:r>
      <w:r>
        <w:rPr>
          <w:rFonts w:hint="eastAsia"/>
          <w:sz w:val="28"/>
        </w:rPr>
        <w:t>项目质量控制</w:t>
      </w:r>
    </w:p>
    <w:p w14:paraId="1ECE3803">
      <w:pPr>
        <w:spacing w:line="360" w:lineRule="auto"/>
        <w:ind w:firstLine="560" w:firstLineChars="200"/>
        <w:rPr>
          <w:rFonts w:hint="eastAsia"/>
          <w:sz w:val="28"/>
        </w:rPr>
      </w:pPr>
      <w:r>
        <w:rPr>
          <w:rFonts w:hint="eastAsia"/>
          <w:sz w:val="28"/>
        </w:rPr>
        <w:t>项目执行部门采取了多项措施，建立了良好的工作机制和工作流程并得以有效执行，确保公开、公平、公正，经费支出即保证正常工作需要，又不造成浪费，并形成有效记录和档案，便于追溯可查。</w:t>
      </w:r>
    </w:p>
    <w:p w14:paraId="598D1D3B">
      <w:pPr>
        <w:ind w:firstLine="560" w:firstLineChars="200"/>
        <w:rPr>
          <w:rFonts w:ascii="宋体" w:hAnsi="宋体" w:cs="宋体"/>
          <w:sz w:val="28"/>
          <w:szCs w:val="28"/>
        </w:rPr>
      </w:pPr>
      <w:r>
        <w:rPr>
          <w:rFonts w:hint="eastAsia" w:ascii="宋体" w:hAnsi="宋体" w:cs="宋体"/>
          <w:sz w:val="28"/>
          <w:szCs w:val="28"/>
        </w:rPr>
        <w:t>认真收集统计社会福利、抚恤等发放社会保障资金人员的范围和人数，做好前期准备工作。对每一个发放经费家庭的实际情况进行统计、备案，确保发放情况属实，无遗漏、无错发现象。发放过程中资金要确保全部到位，不存在被克扣的现象。设立项目公示机制，对拟发放社会福利、抚恤等社会保障资金人员情况及发放标准进行公示，接受群众监督，公示期满后每月按时发放。</w:t>
      </w:r>
    </w:p>
    <w:p w14:paraId="4F3AF441">
      <w:pPr>
        <w:spacing w:line="360" w:lineRule="auto"/>
        <w:ind w:firstLine="560" w:firstLineChars="200"/>
        <w:rPr>
          <w:sz w:val="28"/>
        </w:rPr>
      </w:pPr>
      <w:r>
        <w:rPr>
          <w:rFonts w:hint="eastAsia" w:ascii="宋体" w:hAnsi="宋体"/>
          <w:sz w:val="28"/>
        </w:rPr>
        <w:t>③</w:t>
      </w:r>
      <w:r>
        <w:rPr>
          <w:rFonts w:hint="eastAsia"/>
          <w:sz w:val="28"/>
        </w:rPr>
        <w:t>项目验收</w:t>
      </w:r>
    </w:p>
    <w:p w14:paraId="3175A63A">
      <w:pPr>
        <w:spacing w:line="360" w:lineRule="auto"/>
        <w:ind w:firstLine="560" w:firstLineChars="200"/>
        <w:rPr>
          <w:rFonts w:hint="eastAsia"/>
          <w:sz w:val="28"/>
        </w:rPr>
      </w:pPr>
      <w:r>
        <w:rPr>
          <w:sz w:val="28"/>
        </w:rPr>
        <w:t>街道工作委员会</w:t>
      </w:r>
      <w:r>
        <w:rPr>
          <w:rFonts w:hint="eastAsia"/>
          <w:sz w:val="28"/>
        </w:rPr>
        <w:t>提交了《2017年九峰街道基层党建工作总结》，九峰街道推进“红色引擎工程”工作领导小组提交了《九峰街道“红色物业”工作情况总结》，社会事务办公室提交了《2017年事务办工作总结》，建立了项目监督机制和项目考核机制，有效支持了社区相关事务的正常开展，又丰富了社区群众生活内容。</w:t>
      </w:r>
    </w:p>
    <w:p w14:paraId="48DF3CFD">
      <w:pPr>
        <w:spacing w:line="360" w:lineRule="auto"/>
        <w:ind w:firstLine="560" w:firstLineChars="200"/>
        <w:rPr>
          <w:sz w:val="28"/>
        </w:rPr>
      </w:pPr>
      <w:r>
        <w:rPr>
          <w:rFonts w:hint="eastAsia"/>
          <w:sz w:val="28"/>
        </w:rPr>
        <w:t>2．财务管理情况（包括项目支出预算安排情况、实际资金到位情况、实际支出情况以及实际与预算差异的原因等）</w:t>
      </w:r>
    </w:p>
    <w:p w14:paraId="038C6C68">
      <w:pPr>
        <w:ind w:firstLine="560" w:firstLineChars="200"/>
        <w:rPr>
          <w:rFonts w:hint="eastAsia"/>
          <w:sz w:val="28"/>
        </w:rPr>
      </w:pPr>
      <w:bookmarkStart w:id="3" w:name="_Hlk515719457"/>
      <w:r>
        <w:rPr>
          <w:rFonts w:hint="eastAsia"/>
          <w:sz w:val="28"/>
        </w:rPr>
        <w:t>九峰街道办事处制订了严格的财务管理措施，尤其对各项业务支出和费用支出规定了明确的授权和审核、签批流程，从会计账簿中抽查部分重要支出事项的原始单据或记录来看，支出手续齐全，单证规范，标准相符，财务把关严格，会计核算准确、完整，未出现异常现象。</w:t>
      </w:r>
    </w:p>
    <w:p w14:paraId="6B718BCA">
      <w:pPr>
        <w:ind w:firstLine="560" w:firstLineChars="200"/>
        <w:rPr>
          <w:rFonts w:hint="eastAsia"/>
          <w:sz w:val="28"/>
        </w:rPr>
      </w:pPr>
      <w:r>
        <w:rPr>
          <w:rFonts w:hint="eastAsia"/>
          <w:sz w:val="28"/>
        </w:rPr>
        <w:t>根据《武汉</w:t>
      </w:r>
      <w:r>
        <w:rPr>
          <w:sz w:val="28"/>
        </w:rPr>
        <w:t>东湖新技术开发区</w:t>
      </w:r>
      <w:r>
        <w:rPr>
          <w:rFonts w:hint="eastAsia"/>
          <w:sz w:val="28"/>
        </w:rPr>
        <w:t>九峰街道办事处2017年部门预算编制说明》</w:t>
      </w:r>
      <w:bookmarkEnd w:id="3"/>
      <w:r>
        <w:rPr>
          <w:rFonts w:hint="eastAsia"/>
          <w:sz w:val="28"/>
        </w:rPr>
        <w:t>社会保障和就业资金为673.98万元，实际使用经费为882.83万元，超出预算208.85万元，，主要原因是：部分经费，如残疾人事业、最低生活保障等未列入本单位预算；农民社区管理补助经费、离任村主职干部生活困难补贴年初单立项目做预算，未纳入本项目内，具体情况如下：</w:t>
      </w:r>
    </w:p>
    <w:tbl>
      <w:tblPr>
        <w:tblStyle w:val="5"/>
        <w:tblW w:w="885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2835"/>
        <w:gridCol w:w="851"/>
        <w:gridCol w:w="850"/>
        <w:gridCol w:w="1134"/>
        <w:gridCol w:w="993"/>
        <w:gridCol w:w="2192"/>
      </w:tblGrid>
      <w:tr w14:paraId="77E8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02" w:hRule="atLeast"/>
          <w:jc w:val="right"/>
        </w:trPr>
        <w:tc>
          <w:tcPr>
            <w:tcW w:w="2835" w:type="dxa"/>
            <w:shd w:val="clear" w:color="auto" w:fill="auto"/>
            <w:vAlign w:val="center"/>
          </w:tcPr>
          <w:p w14:paraId="290F7320">
            <w:pPr>
              <w:widowControl/>
              <w:jc w:val="center"/>
              <w:rPr>
                <w:rFonts w:ascii="宋体" w:hAnsi="宋体" w:cs="宋体"/>
                <w:bCs/>
                <w:kern w:val="0"/>
                <w:szCs w:val="21"/>
              </w:rPr>
            </w:pPr>
            <w:r>
              <w:rPr>
                <w:rFonts w:hint="eastAsia" w:ascii="宋体" w:hAnsi="宋体" w:cs="宋体"/>
                <w:bCs/>
                <w:kern w:val="0"/>
                <w:szCs w:val="21"/>
              </w:rPr>
              <w:t>项目</w:t>
            </w:r>
          </w:p>
        </w:tc>
        <w:tc>
          <w:tcPr>
            <w:tcW w:w="851" w:type="dxa"/>
            <w:shd w:val="clear" w:color="auto" w:fill="auto"/>
            <w:vAlign w:val="center"/>
          </w:tcPr>
          <w:p w14:paraId="7891C77D">
            <w:pPr>
              <w:widowControl/>
              <w:jc w:val="center"/>
              <w:rPr>
                <w:rFonts w:hint="eastAsia" w:ascii="宋体" w:hAnsi="宋体" w:cs="宋体"/>
                <w:bCs/>
                <w:kern w:val="0"/>
                <w:szCs w:val="21"/>
              </w:rPr>
            </w:pPr>
            <w:r>
              <w:rPr>
                <w:rFonts w:hint="eastAsia" w:ascii="宋体" w:hAnsi="宋体" w:cs="宋体"/>
                <w:bCs/>
                <w:kern w:val="0"/>
                <w:szCs w:val="21"/>
              </w:rPr>
              <w:t>预算数</w:t>
            </w:r>
          </w:p>
          <w:p w14:paraId="772AA442">
            <w:pPr>
              <w:widowControl/>
              <w:jc w:val="center"/>
              <w:rPr>
                <w:rFonts w:ascii="宋体" w:hAnsi="宋体" w:cs="宋体"/>
                <w:bCs/>
                <w:kern w:val="0"/>
                <w:szCs w:val="21"/>
              </w:rPr>
            </w:pPr>
            <w:r>
              <w:rPr>
                <w:rFonts w:hint="eastAsia" w:ascii="宋体" w:hAnsi="宋体" w:cs="宋体"/>
                <w:bCs/>
                <w:kern w:val="0"/>
                <w:szCs w:val="21"/>
              </w:rPr>
              <w:t>（万元）</w:t>
            </w:r>
          </w:p>
        </w:tc>
        <w:tc>
          <w:tcPr>
            <w:tcW w:w="850" w:type="dxa"/>
            <w:shd w:val="clear" w:color="auto" w:fill="auto"/>
            <w:vAlign w:val="center"/>
          </w:tcPr>
          <w:p w14:paraId="70A8043C">
            <w:pPr>
              <w:widowControl/>
              <w:jc w:val="center"/>
              <w:rPr>
                <w:rFonts w:hint="eastAsia" w:ascii="宋体" w:hAnsi="宋体" w:cs="宋体"/>
                <w:bCs/>
                <w:kern w:val="0"/>
                <w:szCs w:val="21"/>
              </w:rPr>
            </w:pPr>
            <w:r>
              <w:rPr>
                <w:rFonts w:hint="eastAsia" w:ascii="宋体" w:hAnsi="宋体" w:cs="宋体"/>
                <w:bCs/>
                <w:kern w:val="0"/>
                <w:szCs w:val="21"/>
              </w:rPr>
              <w:t>决算数</w:t>
            </w:r>
          </w:p>
          <w:p w14:paraId="034961DF">
            <w:pPr>
              <w:widowControl/>
              <w:jc w:val="center"/>
              <w:rPr>
                <w:rFonts w:ascii="宋体" w:hAnsi="宋体" w:cs="宋体"/>
                <w:bCs/>
                <w:kern w:val="0"/>
                <w:szCs w:val="21"/>
              </w:rPr>
            </w:pPr>
            <w:r>
              <w:rPr>
                <w:rFonts w:hint="eastAsia" w:ascii="宋体" w:hAnsi="宋体" w:cs="宋体"/>
                <w:bCs/>
                <w:kern w:val="0"/>
                <w:szCs w:val="21"/>
              </w:rPr>
              <w:t>（万元）</w:t>
            </w:r>
          </w:p>
        </w:tc>
        <w:tc>
          <w:tcPr>
            <w:tcW w:w="1134" w:type="dxa"/>
            <w:shd w:val="clear" w:color="auto" w:fill="auto"/>
            <w:vAlign w:val="center"/>
          </w:tcPr>
          <w:p w14:paraId="780ED93E">
            <w:pPr>
              <w:widowControl/>
              <w:jc w:val="center"/>
              <w:rPr>
                <w:rFonts w:hint="eastAsia" w:ascii="宋体" w:hAnsi="宋体" w:cs="宋体"/>
                <w:bCs/>
                <w:kern w:val="0"/>
                <w:szCs w:val="21"/>
              </w:rPr>
            </w:pPr>
            <w:r>
              <w:rPr>
                <w:rFonts w:hint="eastAsia" w:ascii="宋体" w:hAnsi="宋体" w:cs="宋体"/>
                <w:bCs/>
                <w:kern w:val="0"/>
                <w:szCs w:val="21"/>
              </w:rPr>
              <w:t>超出（节约）</w:t>
            </w:r>
          </w:p>
          <w:p w14:paraId="1597C0AB">
            <w:pPr>
              <w:widowControl/>
              <w:jc w:val="center"/>
              <w:rPr>
                <w:rFonts w:hint="eastAsia" w:ascii="宋体" w:hAnsi="宋体" w:cs="宋体"/>
                <w:bCs/>
                <w:kern w:val="0"/>
                <w:szCs w:val="21"/>
              </w:rPr>
            </w:pPr>
            <w:r>
              <w:rPr>
                <w:rFonts w:hint="eastAsia" w:ascii="宋体" w:hAnsi="宋体" w:cs="宋体"/>
                <w:bCs/>
                <w:kern w:val="0"/>
                <w:szCs w:val="21"/>
              </w:rPr>
              <w:t>金额（万元）</w:t>
            </w:r>
          </w:p>
        </w:tc>
        <w:tc>
          <w:tcPr>
            <w:tcW w:w="993" w:type="dxa"/>
            <w:shd w:val="clear" w:color="auto" w:fill="auto"/>
            <w:vAlign w:val="center"/>
          </w:tcPr>
          <w:p w14:paraId="0EAAEC47">
            <w:pPr>
              <w:widowControl/>
              <w:jc w:val="center"/>
              <w:rPr>
                <w:rFonts w:ascii="宋体" w:hAnsi="宋体" w:cs="宋体"/>
                <w:bCs/>
                <w:kern w:val="0"/>
                <w:szCs w:val="21"/>
              </w:rPr>
            </w:pPr>
            <w:r>
              <w:rPr>
                <w:rFonts w:hint="eastAsia" w:ascii="宋体" w:hAnsi="宋体" w:cs="宋体"/>
                <w:bCs/>
                <w:kern w:val="0"/>
                <w:szCs w:val="21"/>
              </w:rPr>
              <w:t>决算/预算(%)　</w:t>
            </w:r>
          </w:p>
        </w:tc>
        <w:tc>
          <w:tcPr>
            <w:tcW w:w="2192" w:type="dxa"/>
            <w:shd w:val="clear" w:color="auto" w:fill="auto"/>
            <w:vAlign w:val="center"/>
          </w:tcPr>
          <w:p w14:paraId="31508CEE">
            <w:pPr>
              <w:widowControl/>
              <w:jc w:val="center"/>
              <w:rPr>
                <w:rFonts w:ascii="宋体" w:hAnsi="宋体" w:cs="宋体"/>
                <w:bCs/>
                <w:kern w:val="0"/>
                <w:szCs w:val="21"/>
              </w:rPr>
            </w:pPr>
            <w:r>
              <w:rPr>
                <w:rFonts w:hint="eastAsia" w:ascii="宋体" w:hAnsi="宋体" w:cs="宋体"/>
                <w:bCs/>
                <w:kern w:val="0"/>
                <w:szCs w:val="21"/>
              </w:rPr>
              <w:t>备注</w:t>
            </w:r>
          </w:p>
        </w:tc>
      </w:tr>
      <w:tr w14:paraId="03B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610F0D7D">
            <w:pPr>
              <w:widowControl/>
              <w:jc w:val="center"/>
              <w:rPr>
                <w:rFonts w:ascii="宋体" w:hAnsi="宋体" w:cs="宋体"/>
                <w:bCs/>
                <w:kern w:val="0"/>
                <w:szCs w:val="21"/>
              </w:rPr>
            </w:pPr>
            <w:r>
              <w:rPr>
                <w:rFonts w:hint="eastAsia" w:ascii="宋体" w:hAnsi="宋体" w:cs="宋体"/>
                <w:bCs/>
                <w:kern w:val="0"/>
                <w:szCs w:val="21"/>
              </w:rPr>
              <w:t>合     计</w:t>
            </w:r>
          </w:p>
        </w:tc>
        <w:tc>
          <w:tcPr>
            <w:tcW w:w="851" w:type="dxa"/>
            <w:shd w:val="clear" w:color="auto" w:fill="auto"/>
            <w:vAlign w:val="center"/>
          </w:tcPr>
          <w:p w14:paraId="47D85B0B">
            <w:pPr>
              <w:widowControl/>
              <w:jc w:val="right"/>
              <w:rPr>
                <w:rFonts w:ascii="宋体" w:hAnsi="宋体" w:cs="宋体"/>
                <w:bCs/>
                <w:kern w:val="0"/>
                <w:szCs w:val="21"/>
              </w:rPr>
            </w:pPr>
            <w:r>
              <w:rPr>
                <w:rFonts w:hint="eastAsia" w:ascii="宋体" w:hAnsi="宋体" w:cs="宋体"/>
                <w:bCs/>
                <w:kern w:val="0"/>
                <w:szCs w:val="21"/>
              </w:rPr>
              <w:t xml:space="preserve">673.98 </w:t>
            </w:r>
          </w:p>
        </w:tc>
        <w:tc>
          <w:tcPr>
            <w:tcW w:w="850" w:type="dxa"/>
            <w:shd w:val="clear" w:color="auto" w:fill="auto"/>
            <w:vAlign w:val="center"/>
          </w:tcPr>
          <w:p w14:paraId="408A8ABE">
            <w:pPr>
              <w:widowControl/>
              <w:jc w:val="right"/>
              <w:rPr>
                <w:rFonts w:ascii="宋体" w:hAnsi="宋体" w:cs="宋体"/>
                <w:bCs/>
                <w:kern w:val="0"/>
                <w:szCs w:val="21"/>
              </w:rPr>
            </w:pPr>
            <w:r>
              <w:rPr>
                <w:rFonts w:hint="eastAsia" w:ascii="宋体" w:hAnsi="宋体" w:cs="宋体"/>
                <w:bCs/>
                <w:kern w:val="0"/>
                <w:szCs w:val="21"/>
              </w:rPr>
              <w:t xml:space="preserve">882.83 </w:t>
            </w:r>
          </w:p>
        </w:tc>
        <w:tc>
          <w:tcPr>
            <w:tcW w:w="1134" w:type="dxa"/>
            <w:shd w:val="clear" w:color="auto" w:fill="auto"/>
            <w:vAlign w:val="center"/>
          </w:tcPr>
          <w:p w14:paraId="780EBC85">
            <w:pPr>
              <w:jc w:val="right"/>
              <w:rPr>
                <w:rFonts w:ascii="宋体" w:hAnsi="宋体" w:cs="宋体"/>
                <w:kern w:val="0"/>
                <w:szCs w:val="21"/>
              </w:rPr>
            </w:pPr>
            <w:r>
              <w:rPr>
                <w:rFonts w:hint="eastAsia" w:ascii="宋体" w:hAnsi="宋体" w:cs="宋体"/>
                <w:kern w:val="0"/>
                <w:szCs w:val="21"/>
              </w:rPr>
              <w:t xml:space="preserve">   208.85 </w:t>
            </w:r>
          </w:p>
        </w:tc>
        <w:tc>
          <w:tcPr>
            <w:tcW w:w="993" w:type="dxa"/>
            <w:shd w:val="clear" w:color="auto" w:fill="auto"/>
            <w:vAlign w:val="center"/>
          </w:tcPr>
          <w:p w14:paraId="246F0089">
            <w:pPr>
              <w:widowControl/>
              <w:jc w:val="right"/>
              <w:rPr>
                <w:rFonts w:ascii="宋体" w:hAnsi="宋体" w:cs="宋体"/>
                <w:bCs/>
                <w:kern w:val="0"/>
                <w:szCs w:val="21"/>
              </w:rPr>
            </w:pPr>
            <w:r>
              <w:rPr>
                <w:rFonts w:hint="eastAsia" w:ascii="宋体" w:hAnsi="宋体" w:cs="宋体"/>
                <w:bCs/>
                <w:kern w:val="0"/>
                <w:szCs w:val="21"/>
              </w:rPr>
              <w:t xml:space="preserve">　130.99 </w:t>
            </w:r>
          </w:p>
        </w:tc>
        <w:tc>
          <w:tcPr>
            <w:tcW w:w="2192" w:type="dxa"/>
            <w:shd w:val="clear" w:color="auto" w:fill="auto"/>
            <w:vAlign w:val="center"/>
          </w:tcPr>
          <w:p w14:paraId="2F7C9860">
            <w:pPr>
              <w:widowControl/>
              <w:jc w:val="right"/>
              <w:rPr>
                <w:rFonts w:ascii="宋体" w:hAnsi="宋体" w:cs="宋体"/>
                <w:kern w:val="0"/>
                <w:szCs w:val="21"/>
              </w:rPr>
            </w:pPr>
            <w:r>
              <w:rPr>
                <w:rFonts w:hint="eastAsia" w:ascii="宋体" w:hAnsi="宋体" w:cs="宋体"/>
                <w:kern w:val="0"/>
                <w:szCs w:val="21"/>
              </w:rPr>
              <w:t>　</w:t>
            </w:r>
          </w:p>
        </w:tc>
      </w:tr>
      <w:tr w14:paraId="61A8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1DBCA09B">
            <w:pPr>
              <w:widowControl/>
              <w:jc w:val="left"/>
              <w:rPr>
                <w:rFonts w:ascii="宋体" w:hAnsi="宋体" w:cs="宋体"/>
                <w:bCs/>
                <w:kern w:val="0"/>
                <w:szCs w:val="21"/>
              </w:rPr>
            </w:pPr>
            <w:r>
              <w:rPr>
                <w:rFonts w:hint="eastAsia" w:ascii="宋体" w:hAnsi="宋体" w:cs="宋体"/>
                <w:bCs/>
                <w:kern w:val="0"/>
                <w:szCs w:val="21"/>
              </w:rPr>
              <w:t>一、基层建设和社区管理</w:t>
            </w:r>
          </w:p>
        </w:tc>
        <w:tc>
          <w:tcPr>
            <w:tcW w:w="851" w:type="dxa"/>
            <w:shd w:val="clear" w:color="auto" w:fill="auto"/>
            <w:vAlign w:val="center"/>
          </w:tcPr>
          <w:p w14:paraId="70E6099D">
            <w:pPr>
              <w:widowControl/>
              <w:jc w:val="right"/>
              <w:rPr>
                <w:rFonts w:ascii="宋体" w:hAnsi="宋体" w:cs="宋体"/>
                <w:bCs/>
                <w:kern w:val="0"/>
                <w:szCs w:val="21"/>
              </w:rPr>
            </w:pPr>
            <w:r>
              <w:rPr>
                <w:rFonts w:hint="eastAsia" w:ascii="宋体" w:hAnsi="宋体" w:cs="宋体"/>
                <w:bCs/>
                <w:kern w:val="0"/>
                <w:szCs w:val="21"/>
              </w:rPr>
              <w:t xml:space="preserve">209.04 </w:t>
            </w:r>
          </w:p>
        </w:tc>
        <w:tc>
          <w:tcPr>
            <w:tcW w:w="850" w:type="dxa"/>
            <w:shd w:val="clear" w:color="auto" w:fill="auto"/>
            <w:vAlign w:val="center"/>
          </w:tcPr>
          <w:p w14:paraId="1DBF13C0">
            <w:pPr>
              <w:widowControl/>
              <w:jc w:val="right"/>
              <w:rPr>
                <w:rFonts w:ascii="宋体" w:hAnsi="宋体" w:cs="宋体"/>
                <w:bCs/>
                <w:kern w:val="0"/>
                <w:szCs w:val="21"/>
              </w:rPr>
            </w:pPr>
            <w:r>
              <w:rPr>
                <w:rFonts w:hint="eastAsia" w:ascii="宋体" w:hAnsi="宋体" w:cs="宋体"/>
                <w:bCs/>
                <w:kern w:val="0"/>
                <w:szCs w:val="21"/>
              </w:rPr>
              <w:t xml:space="preserve">298.05 </w:t>
            </w:r>
          </w:p>
        </w:tc>
        <w:tc>
          <w:tcPr>
            <w:tcW w:w="1134" w:type="dxa"/>
            <w:shd w:val="clear" w:color="auto" w:fill="auto"/>
            <w:vAlign w:val="center"/>
          </w:tcPr>
          <w:p w14:paraId="46A032B1">
            <w:pPr>
              <w:jc w:val="right"/>
              <w:rPr>
                <w:rFonts w:ascii="宋体" w:hAnsi="宋体" w:cs="宋体"/>
                <w:kern w:val="0"/>
                <w:szCs w:val="21"/>
              </w:rPr>
            </w:pPr>
            <w:r>
              <w:rPr>
                <w:rFonts w:hint="eastAsia" w:ascii="宋体" w:hAnsi="宋体" w:cs="宋体"/>
                <w:kern w:val="0"/>
                <w:szCs w:val="21"/>
              </w:rPr>
              <w:t xml:space="preserve">     89.01 </w:t>
            </w:r>
          </w:p>
        </w:tc>
        <w:tc>
          <w:tcPr>
            <w:tcW w:w="993" w:type="dxa"/>
            <w:shd w:val="clear" w:color="auto" w:fill="auto"/>
            <w:vAlign w:val="center"/>
          </w:tcPr>
          <w:p w14:paraId="1789B90E">
            <w:pPr>
              <w:widowControl/>
              <w:jc w:val="right"/>
              <w:rPr>
                <w:rFonts w:ascii="宋体" w:hAnsi="宋体" w:cs="宋体"/>
                <w:bCs/>
                <w:kern w:val="0"/>
                <w:szCs w:val="21"/>
              </w:rPr>
            </w:pPr>
            <w:r>
              <w:rPr>
                <w:rFonts w:hint="eastAsia" w:ascii="宋体" w:hAnsi="宋体" w:cs="宋体"/>
                <w:bCs/>
                <w:kern w:val="0"/>
                <w:szCs w:val="21"/>
              </w:rPr>
              <w:t xml:space="preserve">142.58 </w:t>
            </w:r>
          </w:p>
        </w:tc>
        <w:tc>
          <w:tcPr>
            <w:tcW w:w="2192" w:type="dxa"/>
            <w:shd w:val="clear" w:color="auto" w:fill="auto"/>
            <w:vAlign w:val="center"/>
          </w:tcPr>
          <w:p w14:paraId="4208191F">
            <w:pPr>
              <w:widowControl/>
              <w:jc w:val="right"/>
              <w:rPr>
                <w:rFonts w:ascii="宋体" w:hAnsi="宋体" w:cs="宋体"/>
                <w:kern w:val="0"/>
                <w:szCs w:val="21"/>
              </w:rPr>
            </w:pPr>
          </w:p>
        </w:tc>
      </w:tr>
      <w:tr w14:paraId="511D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6" w:hRule="atLeast"/>
          <w:jc w:val="right"/>
        </w:trPr>
        <w:tc>
          <w:tcPr>
            <w:tcW w:w="2835" w:type="dxa"/>
            <w:shd w:val="clear" w:color="auto" w:fill="auto"/>
            <w:vAlign w:val="center"/>
          </w:tcPr>
          <w:p w14:paraId="20225517">
            <w:pPr>
              <w:widowControl/>
              <w:jc w:val="left"/>
              <w:rPr>
                <w:rFonts w:ascii="宋体" w:hAnsi="宋体" w:cs="宋体"/>
                <w:kern w:val="0"/>
                <w:szCs w:val="21"/>
              </w:rPr>
            </w:pPr>
            <w:r>
              <w:rPr>
                <w:rFonts w:hint="eastAsia" w:ascii="宋体" w:hAnsi="宋体" w:cs="宋体"/>
                <w:kern w:val="0"/>
                <w:szCs w:val="21"/>
              </w:rPr>
              <w:t>（一）社区工作经费</w:t>
            </w:r>
          </w:p>
        </w:tc>
        <w:tc>
          <w:tcPr>
            <w:tcW w:w="851" w:type="dxa"/>
            <w:shd w:val="clear" w:color="auto" w:fill="auto"/>
            <w:vAlign w:val="center"/>
          </w:tcPr>
          <w:p w14:paraId="495744B6">
            <w:pPr>
              <w:widowControl/>
              <w:jc w:val="right"/>
              <w:rPr>
                <w:rFonts w:ascii="宋体" w:hAnsi="宋体" w:cs="宋体"/>
                <w:kern w:val="0"/>
                <w:szCs w:val="21"/>
              </w:rPr>
            </w:pPr>
            <w:r>
              <w:rPr>
                <w:rFonts w:hint="eastAsia" w:ascii="宋体" w:hAnsi="宋体" w:cs="宋体"/>
                <w:kern w:val="0"/>
                <w:szCs w:val="21"/>
              </w:rPr>
              <w:t>42</w:t>
            </w:r>
          </w:p>
        </w:tc>
        <w:tc>
          <w:tcPr>
            <w:tcW w:w="850" w:type="dxa"/>
            <w:vMerge w:val="restart"/>
            <w:shd w:val="clear" w:color="auto" w:fill="auto"/>
            <w:vAlign w:val="center"/>
          </w:tcPr>
          <w:p w14:paraId="23C9B14B">
            <w:pPr>
              <w:widowControl/>
              <w:jc w:val="right"/>
              <w:rPr>
                <w:rFonts w:ascii="宋体" w:hAnsi="宋体" w:cs="宋体"/>
                <w:kern w:val="0"/>
                <w:szCs w:val="21"/>
              </w:rPr>
            </w:pPr>
            <w:r>
              <w:rPr>
                <w:rFonts w:hint="eastAsia" w:ascii="宋体" w:hAnsi="宋体" w:cs="宋体"/>
                <w:kern w:val="0"/>
                <w:szCs w:val="21"/>
              </w:rPr>
              <w:t xml:space="preserve">60.00 </w:t>
            </w:r>
          </w:p>
        </w:tc>
        <w:tc>
          <w:tcPr>
            <w:tcW w:w="1134" w:type="dxa"/>
            <w:shd w:val="clear" w:color="auto" w:fill="auto"/>
            <w:vAlign w:val="center"/>
          </w:tcPr>
          <w:p w14:paraId="6DD3A960">
            <w:pPr>
              <w:jc w:val="right"/>
              <w:rPr>
                <w:rFonts w:ascii="宋体" w:hAnsi="宋体" w:cs="宋体"/>
                <w:kern w:val="0"/>
                <w:szCs w:val="21"/>
              </w:rPr>
            </w:pPr>
            <w:r>
              <w:rPr>
                <w:rFonts w:hint="eastAsia" w:ascii="宋体" w:hAnsi="宋体" w:cs="宋体"/>
                <w:kern w:val="0"/>
                <w:szCs w:val="21"/>
              </w:rPr>
              <w:t xml:space="preserve">       -   </w:t>
            </w:r>
          </w:p>
        </w:tc>
        <w:tc>
          <w:tcPr>
            <w:tcW w:w="993" w:type="dxa"/>
            <w:vMerge w:val="restart"/>
            <w:shd w:val="clear" w:color="auto" w:fill="auto"/>
            <w:vAlign w:val="center"/>
          </w:tcPr>
          <w:p w14:paraId="43AD34FF">
            <w:pPr>
              <w:widowControl/>
              <w:jc w:val="right"/>
              <w:rPr>
                <w:rFonts w:ascii="宋体" w:hAnsi="宋体" w:cs="宋体"/>
                <w:bCs/>
                <w:kern w:val="0"/>
                <w:szCs w:val="21"/>
              </w:rPr>
            </w:pPr>
            <w:r>
              <w:rPr>
                <w:rFonts w:hint="eastAsia" w:ascii="宋体" w:hAnsi="宋体" w:cs="宋体"/>
                <w:bCs/>
                <w:kern w:val="0"/>
                <w:szCs w:val="21"/>
              </w:rPr>
              <w:t xml:space="preserve">100.00 </w:t>
            </w:r>
          </w:p>
        </w:tc>
        <w:tc>
          <w:tcPr>
            <w:tcW w:w="2192" w:type="dxa"/>
            <w:shd w:val="clear" w:color="auto" w:fill="auto"/>
            <w:vAlign w:val="center"/>
          </w:tcPr>
          <w:p w14:paraId="76444295">
            <w:pPr>
              <w:widowControl/>
              <w:jc w:val="left"/>
              <w:rPr>
                <w:rFonts w:ascii="宋体" w:hAnsi="宋体" w:cs="宋体"/>
                <w:kern w:val="0"/>
                <w:szCs w:val="21"/>
              </w:rPr>
            </w:pPr>
            <w:r>
              <w:rPr>
                <w:rFonts w:hint="eastAsia" w:ascii="宋体" w:hAnsi="宋体" w:cs="宋体"/>
                <w:kern w:val="0"/>
                <w:szCs w:val="21"/>
              </w:rPr>
              <w:t>6个社区*7万</w:t>
            </w:r>
          </w:p>
        </w:tc>
      </w:tr>
      <w:tr w14:paraId="3008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3E396AC2">
            <w:pPr>
              <w:widowControl/>
              <w:jc w:val="left"/>
              <w:rPr>
                <w:rFonts w:ascii="宋体" w:hAnsi="宋体" w:cs="宋体"/>
                <w:kern w:val="0"/>
                <w:szCs w:val="21"/>
              </w:rPr>
            </w:pPr>
            <w:r>
              <w:rPr>
                <w:rFonts w:hint="eastAsia" w:ascii="宋体" w:hAnsi="宋体" w:cs="宋体"/>
                <w:kern w:val="0"/>
                <w:szCs w:val="21"/>
              </w:rPr>
              <w:t>（二）党务经费</w:t>
            </w:r>
          </w:p>
        </w:tc>
        <w:tc>
          <w:tcPr>
            <w:tcW w:w="851" w:type="dxa"/>
            <w:shd w:val="clear" w:color="auto" w:fill="auto"/>
            <w:vAlign w:val="center"/>
          </w:tcPr>
          <w:p w14:paraId="62F18047">
            <w:pPr>
              <w:widowControl/>
              <w:jc w:val="right"/>
              <w:rPr>
                <w:rFonts w:ascii="宋体" w:hAnsi="宋体" w:cs="宋体"/>
                <w:kern w:val="0"/>
                <w:szCs w:val="21"/>
              </w:rPr>
            </w:pPr>
            <w:r>
              <w:rPr>
                <w:rFonts w:hint="eastAsia" w:ascii="宋体" w:hAnsi="宋体" w:cs="宋体"/>
                <w:kern w:val="0"/>
                <w:szCs w:val="21"/>
              </w:rPr>
              <w:t>18</w:t>
            </w:r>
          </w:p>
        </w:tc>
        <w:tc>
          <w:tcPr>
            <w:tcW w:w="850" w:type="dxa"/>
            <w:vMerge w:val="continue"/>
            <w:shd w:val="clear" w:color="auto" w:fill="auto"/>
            <w:vAlign w:val="center"/>
          </w:tcPr>
          <w:p w14:paraId="3CF78B1B">
            <w:pPr>
              <w:widowControl/>
              <w:jc w:val="right"/>
              <w:rPr>
                <w:rFonts w:ascii="宋体" w:hAnsi="宋体" w:cs="宋体"/>
                <w:kern w:val="0"/>
                <w:szCs w:val="21"/>
              </w:rPr>
            </w:pPr>
          </w:p>
        </w:tc>
        <w:tc>
          <w:tcPr>
            <w:tcW w:w="1134" w:type="dxa"/>
            <w:shd w:val="clear" w:color="auto" w:fill="auto"/>
            <w:vAlign w:val="center"/>
          </w:tcPr>
          <w:p w14:paraId="17279B49">
            <w:pPr>
              <w:jc w:val="right"/>
              <w:rPr>
                <w:rFonts w:ascii="宋体" w:hAnsi="宋体" w:cs="宋体"/>
                <w:kern w:val="0"/>
                <w:szCs w:val="21"/>
              </w:rPr>
            </w:pPr>
          </w:p>
        </w:tc>
        <w:tc>
          <w:tcPr>
            <w:tcW w:w="993" w:type="dxa"/>
            <w:vMerge w:val="continue"/>
            <w:shd w:val="clear" w:color="auto" w:fill="auto"/>
            <w:vAlign w:val="center"/>
          </w:tcPr>
          <w:p w14:paraId="02C39BEC">
            <w:pPr>
              <w:widowControl/>
              <w:jc w:val="right"/>
              <w:rPr>
                <w:rFonts w:ascii="宋体" w:hAnsi="宋体" w:cs="宋体"/>
                <w:bCs/>
                <w:kern w:val="0"/>
                <w:szCs w:val="21"/>
              </w:rPr>
            </w:pPr>
          </w:p>
        </w:tc>
        <w:tc>
          <w:tcPr>
            <w:tcW w:w="2192" w:type="dxa"/>
            <w:shd w:val="clear" w:color="auto" w:fill="auto"/>
            <w:vAlign w:val="center"/>
          </w:tcPr>
          <w:p w14:paraId="7A741771">
            <w:pPr>
              <w:widowControl/>
              <w:jc w:val="left"/>
              <w:rPr>
                <w:rFonts w:ascii="宋体" w:hAnsi="宋体" w:cs="宋体"/>
                <w:kern w:val="0"/>
                <w:szCs w:val="21"/>
              </w:rPr>
            </w:pPr>
            <w:r>
              <w:rPr>
                <w:rFonts w:hint="eastAsia" w:ascii="宋体" w:hAnsi="宋体" w:cs="宋体"/>
                <w:kern w:val="0"/>
                <w:szCs w:val="21"/>
              </w:rPr>
              <w:t>6个社区*3万</w:t>
            </w:r>
          </w:p>
        </w:tc>
      </w:tr>
      <w:tr w14:paraId="73D5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0" w:hRule="atLeast"/>
          <w:jc w:val="right"/>
        </w:trPr>
        <w:tc>
          <w:tcPr>
            <w:tcW w:w="2835" w:type="dxa"/>
            <w:shd w:val="clear" w:color="auto" w:fill="auto"/>
            <w:vAlign w:val="center"/>
          </w:tcPr>
          <w:p w14:paraId="3DC13D2A">
            <w:pPr>
              <w:widowControl/>
              <w:jc w:val="left"/>
              <w:rPr>
                <w:rFonts w:ascii="宋体" w:hAnsi="宋体" w:cs="宋体"/>
                <w:kern w:val="0"/>
                <w:szCs w:val="21"/>
              </w:rPr>
            </w:pPr>
            <w:r>
              <w:rPr>
                <w:rFonts w:hint="eastAsia" w:ascii="宋体" w:hAnsi="宋体" w:cs="宋体"/>
                <w:kern w:val="0"/>
                <w:szCs w:val="21"/>
              </w:rPr>
              <w:t>（三）社区惠民项目经费</w:t>
            </w:r>
          </w:p>
        </w:tc>
        <w:tc>
          <w:tcPr>
            <w:tcW w:w="851" w:type="dxa"/>
            <w:shd w:val="clear" w:color="auto" w:fill="auto"/>
            <w:vAlign w:val="center"/>
          </w:tcPr>
          <w:p w14:paraId="4780EE60">
            <w:pPr>
              <w:widowControl/>
              <w:jc w:val="right"/>
              <w:rPr>
                <w:rFonts w:ascii="宋体" w:hAnsi="宋体" w:cs="宋体"/>
                <w:kern w:val="0"/>
                <w:szCs w:val="21"/>
              </w:rPr>
            </w:pPr>
            <w:r>
              <w:rPr>
                <w:rFonts w:hint="eastAsia" w:ascii="宋体" w:hAnsi="宋体" w:cs="宋体"/>
                <w:kern w:val="0"/>
                <w:szCs w:val="21"/>
              </w:rPr>
              <w:t>120</w:t>
            </w:r>
          </w:p>
        </w:tc>
        <w:tc>
          <w:tcPr>
            <w:tcW w:w="850" w:type="dxa"/>
            <w:shd w:val="clear" w:color="auto" w:fill="auto"/>
            <w:vAlign w:val="center"/>
          </w:tcPr>
          <w:p w14:paraId="52AFADBB">
            <w:pPr>
              <w:widowControl/>
              <w:jc w:val="right"/>
              <w:rPr>
                <w:rFonts w:ascii="宋体" w:hAnsi="宋体" w:cs="宋体"/>
                <w:kern w:val="0"/>
                <w:szCs w:val="21"/>
              </w:rPr>
            </w:pPr>
            <w:r>
              <w:rPr>
                <w:rFonts w:hint="eastAsia" w:ascii="宋体" w:hAnsi="宋体" w:cs="宋体"/>
                <w:kern w:val="0"/>
                <w:szCs w:val="21"/>
              </w:rPr>
              <w:t xml:space="preserve">120.00 </w:t>
            </w:r>
          </w:p>
        </w:tc>
        <w:tc>
          <w:tcPr>
            <w:tcW w:w="1134" w:type="dxa"/>
            <w:shd w:val="clear" w:color="auto" w:fill="auto"/>
            <w:vAlign w:val="center"/>
          </w:tcPr>
          <w:p w14:paraId="24645747">
            <w:pPr>
              <w:jc w:val="right"/>
              <w:rPr>
                <w:rFonts w:ascii="宋体" w:hAnsi="宋体" w:cs="宋体"/>
                <w:kern w:val="0"/>
                <w:szCs w:val="21"/>
              </w:rPr>
            </w:pPr>
            <w:r>
              <w:rPr>
                <w:rFonts w:hint="eastAsia" w:ascii="宋体" w:hAnsi="宋体" w:cs="宋体"/>
                <w:kern w:val="0"/>
                <w:szCs w:val="21"/>
              </w:rPr>
              <w:t xml:space="preserve">       -   </w:t>
            </w:r>
          </w:p>
        </w:tc>
        <w:tc>
          <w:tcPr>
            <w:tcW w:w="993" w:type="dxa"/>
            <w:shd w:val="clear" w:color="auto" w:fill="auto"/>
            <w:vAlign w:val="center"/>
          </w:tcPr>
          <w:p w14:paraId="09E229E0">
            <w:pPr>
              <w:widowControl/>
              <w:jc w:val="right"/>
              <w:rPr>
                <w:rFonts w:ascii="宋体" w:hAnsi="宋体" w:cs="宋体"/>
                <w:bCs/>
                <w:kern w:val="0"/>
                <w:szCs w:val="21"/>
              </w:rPr>
            </w:pPr>
            <w:r>
              <w:rPr>
                <w:rFonts w:hint="eastAsia" w:ascii="宋体" w:hAnsi="宋体" w:cs="宋体"/>
                <w:bCs/>
                <w:kern w:val="0"/>
                <w:szCs w:val="21"/>
              </w:rPr>
              <w:t xml:space="preserve">100.00 </w:t>
            </w:r>
          </w:p>
        </w:tc>
        <w:tc>
          <w:tcPr>
            <w:tcW w:w="2192" w:type="dxa"/>
            <w:shd w:val="clear" w:color="auto" w:fill="auto"/>
            <w:vAlign w:val="center"/>
          </w:tcPr>
          <w:p w14:paraId="26B1959E">
            <w:pPr>
              <w:widowControl/>
              <w:jc w:val="left"/>
              <w:rPr>
                <w:rFonts w:ascii="宋体" w:hAnsi="宋体" w:cs="宋体"/>
                <w:kern w:val="0"/>
                <w:szCs w:val="21"/>
              </w:rPr>
            </w:pPr>
            <w:r>
              <w:rPr>
                <w:rFonts w:hint="eastAsia" w:ascii="宋体" w:hAnsi="宋体" w:cs="宋体"/>
                <w:kern w:val="0"/>
                <w:szCs w:val="21"/>
              </w:rPr>
              <w:t>6个社区*20万</w:t>
            </w:r>
          </w:p>
        </w:tc>
      </w:tr>
      <w:tr w14:paraId="7709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0" w:hRule="atLeast"/>
          <w:jc w:val="right"/>
        </w:trPr>
        <w:tc>
          <w:tcPr>
            <w:tcW w:w="2835" w:type="dxa"/>
            <w:shd w:val="clear" w:color="auto" w:fill="auto"/>
            <w:vAlign w:val="center"/>
          </w:tcPr>
          <w:p w14:paraId="38842A5B">
            <w:pPr>
              <w:widowControl/>
              <w:jc w:val="left"/>
              <w:rPr>
                <w:rFonts w:ascii="宋体" w:hAnsi="宋体" w:cs="宋体"/>
                <w:kern w:val="0"/>
                <w:szCs w:val="21"/>
              </w:rPr>
            </w:pPr>
            <w:r>
              <w:rPr>
                <w:rFonts w:hint="eastAsia" w:ascii="宋体" w:hAnsi="宋体" w:cs="宋体"/>
                <w:kern w:val="0"/>
                <w:szCs w:val="21"/>
              </w:rPr>
              <w:t>（四）基层建设和社区管理（单位缴纳部分）</w:t>
            </w:r>
          </w:p>
        </w:tc>
        <w:tc>
          <w:tcPr>
            <w:tcW w:w="851" w:type="dxa"/>
            <w:shd w:val="clear" w:color="auto" w:fill="auto"/>
            <w:vAlign w:val="center"/>
          </w:tcPr>
          <w:p w14:paraId="14A999CC">
            <w:pPr>
              <w:widowControl/>
              <w:jc w:val="right"/>
              <w:rPr>
                <w:rFonts w:ascii="宋体" w:hAnsi="宋体" w:cs="宋体"/>
                <w:kern w:val="0"/>
                <w:szCs w:val="21"/>
              </w:rPr>
            </w:pPr>
            <w:r>
              <w:rPr>
                <w:rFonts w:hint="eastAsia" w:ascii="宋体" w:hAnsi="宋体" w:cs="宋体"/>
                <w:kern w:val="0"/>
                <w:szCs w:val="21"/>
              </w:rPr>
              <w:t xml:space="preserve">29.04 </w:t>
            </w:r>
          </w:p>
        </w:tc>
        <w:tc>
          <w:tcPr>
            <w:tcW w:w="850" w:type="dxa"/>
            <w:shd w:val="clear" w:color="auto" w:fill="auto"/>
            <w:vAlign w:val="center"/>
          </w:tcPr>
          <w:p w14:paraId="657915C7">
            <w:pPr>
              <w:widowControl/>
              <w:jc w:val="right"/>
              <w:rPr>
                <w:rFonts w:ascii="宋体" w:hAnsi="宋体" w:cs="宋体"/>
                <w:kern w:val="0"/>
                <w:szCs w:val="21"/>
              </w:rPr>
            </w:pPr>
            <w:r>
              <w:rPr>
                <w:rFonts w:hint="eastAsia" w:ascii="宋体" w:hAnsi="宋体" w:cs="宋体"/>
                <w:kern w:val="0"/>
                <w:szCs w:val="21"/>
              </w:rPr>
              <w:t xml:space="preserve">24.69 </w:t>
            </w:r>
          </w:p>
        </w:tc>
        <w:tc>
          <w:tcPr>
            <w:tcW w:w="1134" w:type="dxa"/>
            <w:shd w:val="clear" w:color="auto" w:fill="auto"/>
            <w:vAlign w:val="center"/>
          </w:tcPr>
          <w:p w14:paraId="5569F49D">
            <w:pPr>
              <w:jc w:val="right"/>
              <w:rPr>
                <w:rFonts w:ascii="宋体" w:hAnsi="宋体" w:cs="宋体"/>
                <w:kern w:val="0"/>
                <w:szCs w:val="21"/>
              </w:rPr>
            </w:pPr>
            <w:r>
              <w:rPr>
                <w:rFonts w:hint="eastAsia" w:ascii="宋体" w:hAnsi="宋体" w:cs="宋体"/>
                <w:kern w:val="0"/>
                <w:szCs w:val="21"/>
              </w:rPr>
              <w:t xml:space="preserve">     -4.35 </w:t>
            </w:r>
          </w:p>
        </w:tc>
        <w:tc>
          <w:tcPr>
            <w:tcW w:w="993" w:type="dxa"/>
            <w:shd w:val="clear" w:color="auto" w:fill="auto"/>
            <w:vAlign w:val="center"/>
          </w:tcPr>
          <w:p w14:paraId="142BF03E">
            <w:pPr>
              <w:widowControl/>
              <w:jc w:val="right"/>
              <w:rPr>
                <w:rFonts w:ascii="宋体" w:hAnsi="宋体" w:cs="宋体"/>
                <w:bCs/>
                <w:kern w:val="0"/>
                <w:szCs w:val="21"/>
              </w:rPr>
            </w:pPr>
            <w:r>
              <w:rPr>
                <w:rFonts w:hint="eastAsia" w:ascii="宋体" w:hAnsi="宋体" w:cs="宋体"/>
                <w:bCs/>
                <w:kern w:val="0"/>
                <w:szCs w:val="21"/>
              </w:rPr>
              <w:t xml:space="preserve">85.01 </w:t>
            </w:r>
          </w:p>
        </w:tc>
        <w:tc>
          <w:tcPr>
            <w:tcW w:w="2192" w:type="dxa"/>
            <w:vMerge w:val="restart"/>
            <w:shd w:val="clear" w:color="auto" w:fill="auto"/>
            <w:vAlign w:val="center"/>
          </w:tcPr>
          <w:p w14:paraId="1EAF4E9B">
            <w:pPr>
              <w:widowControl/>
              <w:jc w:val="left"/>
              <w:rPr>
                <w:rFonts w:ascii="宋体" w:hAnsi="宋体" w:cs="宋体"/>
                <w:kern w:val="0"/>
                <w:szCs w:val="21"/>
              </w:rPr>
            </w:pPr>
            <w:r>
              <w:rPr>
                <w:rFonts w:hint="eastAsia" w:ascii="宋体" w:hAnsi="宋体" w:cs="宋体"/>
                <w:kern w:val="0"/>
                <w:szCs w:val="21"/>
              </w:rPr>
              <w:t>社区工作人员合理配置，降低了不必要的浪费，充分发挥现有社区人员作用</w:t>
            </w:r>
          </w:p>
        </w:tc>
      </w:tr>
      <w:tr w14:paraId="36FE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0" w:hRule="atLeast"/>
          <w:jc w:val="right"/>
        </w:trPr>
        <w:tc>
          <w:tcPr>
            <w:tcW w:w="2835" w:type="dxa"/>
            <w:shd w:val="clear" w:color="auto" w:fill="auto"/>
            <w:vAlign w:val="center"/>
          </w:tcPr>
          <w:p w14:paraId="16ED44A6">
            <w:pPr>
              <w:widowControl/>
              <w:jc w:val="left"/>
              <w:rPr>
                <w:rFonts w:ascii="宋体" w:hAnsi="宋体" w:cs="宋体"/>
                <w:kern w:val="0"/>
                <w:szCs w:val="21"/>
              </w:rPr>
            </w:pPr>
            <w:r>
              <w:rPr>
                <w:rFonts w:hint="eastAsia" w:ascii="宋体" w:hAnsi="宋体" w:cs="宋体"/>
                <w:kern w:val="0"/>
                <w:szCs w:val="21"/>
              </w:rPr>
              <w:t>1、社区工作者公积金</w:t>
            </w:r>
          </w:p>
        </w:tc>
        <w:tc>
          <w:tcPr>
            <w:tcW w:w="851" w:type="dxa"/>
            <w:shd w:val="clear" w:color="auto" w:fill="auto"/>
            <w:vAlign w:val="center"/>
          </w:tcPr>
          <w:p w14:paraId="2194DFC5">
            <w:pPr>
              <w:widowControl/>
              <w:jc w:val="right"/>
              <w:rPr>
                <w:rFonts w:ascii="宋体" w:hAnsi="宋体" w:cs="宋体"/>
                <w:kern w:val="0"/>
                <w:szCs w:val="21"/>
              </w:rPr>
            </w:pPr>
            <w:r>
              <w:rPr>
                <w:rFonts w:hint="eastAsia" w:ascii="宋体" w:hAnsi="宋体" w:cs="宋体"/>
                <w:kern w:val="0"/>
                <w:szCs w:val="21"/>
              </w:rPr>
              <w:t xml:space="preserve">21.12 </w:t>
            </w:r>
          </w:p>
        </w:tc>
        <w:tc>
          <w:tcPr>
            <w:tcW w:w="850" w:type="dxa"/>
            <w:shd w:val="clear" w:color="auto" w:fill="auto"/>
            <w:vAlign w:val="center"/>
          </w:tcPr>
          <w:p w14:paraId="35EE2772">
            <w:pPr>
              <w:widowControl/>
              <w:jc w:val="right"/>
              <w:rPr>
                <w:rFonts w:ascii="宋体" w:hAnsi="宋体" w:cs="宋体"/>
                <w:kern w:val="0"/>
                <w:szCs w:val="21"/>
              </w:rPr>
            </w:pPr>
            <w:r>
              <w:rPr>
                <w:rFonts w:hint="eastAsia" w:ascii="宋体" w:hAnsi="宋体" w:cs="宋体"/>
                <w:kern w:val="0"/>
                <w:szCs w:val="21"/>
              </w:rPr>
              <w:t xml:space="preserve">17.03 </w:t>
            </w:r>
          </w:p>
        </w:tc>
        <w:tc>
          <w:tcPr>
            <w:tcW w:w="1134" w:type="dxa"/>
            <w:shd w:val="clear" w:color="auto" w:fill="auto"/>
            <w:vAlign w:val="center"/>
          </w:tcPr>
          <w:p w14:paraId="1A9A2C2B">
            <w:pPr>
              <w:jc w:val="right"/>
              <w:rPr>
                <w:rFonts w:ascii="宋体" w:hAnsi="宋体" w:cs="宋体"/>
                <w:kern w:val="0"/>
                <w:szCs w:val="21"/>
              </w:rPr>
            </w:pPr>
            <w:r>
              <w:rPr>
                <w:rFonts w:hint="eastAsia" w:ascii="宋体" w:hAnsi="宋体" w:cs="宋体"/>
                <w:kern w:val="0"/>
                <w:szCs w:val="21"/>
              </w:rPr>
              <w:t xml:space="preserve">     -4.09 </w:t>
            </w:r>
          </w:p>
        </w:tc>
        <w:tc>
          <w:tcPr>
            <w:tcW w:w="993" w:type="dxa"/>
            <w:shd w:val="clear" w:color="auto" w:fill="auto"/>
            <w:vAlign w:val="center"/>
          </w:tcPr>
          <w:p w14:paraId="085932D0">
            <w:pPr>
              <w:widowControl/>
              <w:jc w:val="right"/>
              <w:rPr>
                <w:rFonts w:ascii="宋体" w:hAnsi="宋体" w:cs="宋体"/>
                <w:bCs/>
                <w:kern w:val="0"/>
                <w:szCs w:val="21"/>
              </w:rPr>
            </w:pPr>
            <w:r>
              <w:rPr>
                <w:rFonts w:hint="eastAsia" w:ascii="宋体" w:hAnsi="宋体" w:cs="宋体"/>
                <w:bCs/>
                <w:kern w:val="0"/>
                <w:szCs w:val="21"/>
              </w:rPr>
              <w:t xml:space="preserve">80.62 </w:t>
            </w:r>
          </w:p>
        </w:tc>
        <w:tc>
          <w:tcPr>
            <w:tcW w:w="2192" w:type="dxa"/>
            <w:vMerge w:val="continue"/>
            <w:shd w:val="clear" w:color="auto" w:fill="auto"/>
            <w:vAlign w:val="center"/>
          </w:tcPr>
          <w:p w14:paraId="3990CED5">
            <w:pPr>
              <w:jc w:val="left"/>
              <w:rPr>
                <w:rFonts w:ascii="宋体" w:hAnsi="宋体" w:cs="宋体"/>
                <w:kern w:val="0"/>
                <w:szCs w:val="21"/>
              </w:rPr>
            </w:pPr>
          </w:p>
        </w:tc>
      </w:tr>
      <w:tr w14:paraId="1105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0" w:hRule="atLeast"/>
          <w:jc w:val="right"/>
        </w:trPr>
        <w:tc>
          <w:tcPr>
            <w:tcW w:w="2835" w:type="dxa"/>
            <w:shd w:val="clear" w:color="auto" w:fill="auto"/>
            <w:vAlign w:val="center"/>
          </w:tcPr>
          <w:p w14:paraId="73A438C9">
            <w:pPr>
              <w:widowControl/>
              <w:jc w:val="left"/>
              <w:rPr>
                <w:rFonts w:ascii="宋体" w:hAnsi="宋体" w:cs="宋体"/>
                <w:kern w:val="0"/>
                <w:szCs w:val="21"/>
              </w:rPr>
            </w:pPr>
            <w:r>
              <w:rPr>
                <w:rFonts w:hint="eastAsia" w:ascii="宋体" w:hAnsi="宋体" w:cs="宋体"/>
                <w:kern w:val="0"/>
                <w:szCs w:val="21"/>
              </w:rPr>
              <w:t>2、社区网格化管理员公积金</w:t>
            </w:r>
          </w:p>
        </w:tc>
        <w:tc>
          <w:tcPr>
            <w:tcW w:w="851" w:type="dxa"/>
            <w:shd w:val="clear" w:color="auto" w:fill="auto"/>
            <w:vAlign w:val="center"/>
          </w:tcPr>
          <w:p w14:paraId="4C5DA2EC">
            <w:pPr>
              <w:widowControl/>
              <w:jc w:val="right"/>
              <w:rPr>
                <w:rFonts w:ascii="宋体" w:hAnsi="宋体" w:cs="宋体"/>
                <w:kern w:val="0"/>
                <w:szCs w:val="21"/>
              </w:rPr>
            </w:pPr>
            <w:r>
              <w:rPr>
                <w:rFonts w:hint="eastAsia" w:ascii="宋体" w:hAnsi="宋体" w:cs="宋体"/>
                <w:kern w:val="0"/>
                <w:szCs w:val="21"/>
              </w:rPr>
              <w:t xml:space="preserve">7.66 </w:t>
            </w:r>
          </w:p>
        </w:tc>
        <w:tc>
          <w:tcPr>
            <w:tcW w:w="850" w:type="dxa"/>
            <w:shd w:val="clear" w:color="auto" w:fill="auto"/>
            <w:vAlign w:val="center"/>
          </w:tcPr>
          <w:p w14:paraId="1A6DAF69">
            <w:pPr>
              <w:widowControl/>
              <w:jc w:val="right"/>
              <w:rPr>
                <w:rFonts w:ascii="宋体" w:hAnsi="宋体" w:cs="宋体"/>
                <w:kern w:val="0"/>
                <w:szCs w:val="21"/>
              </w:rPr>
            </w:pPr>
            <w:r>
              <w:rPr>
                <w:rFonts w:hint="eastAsia" w:ascii="宋体" w:hAnsi="宋体" w:cs="宋体"/>
                <w:kern w:val="0"/>
                <w:szCs w:val="21"/>
              </w:rPr>
              <w:t xml:space="preserve">7.66 </w:t>
            </w:r>
          </w:p>
        </w:tc>
        <w:tc>
          <w:tcPr>
            <w:tcW w:w="1134" w:type="dxa"/>
            <w:shd w:val="clear" w:color="auto" w:fill="auto"/>
            <w:vAlign w:val="center"/>
          </w:tcPr>
          <w:p w14:paraId="32F2382A">
            <w:pPr>
              <w:jc w:val="right"/>
              <w:rPr>
                <w:rFonts w:ascii="宋体" w:hAnsi="宋体" w:cs="宋体"/>
                <w:kern w:val="0"/>
                <w:szCs w:val="21"/>
              </w:rPr>
            </w:pPr>
            <w:r>
              <w:rPr>
                <w:rFonts w:hint="eastAsia" w:ascii="宋体" w:hAnsi="宋体" w:cs="宋体"/>
                <w:kern w:val="0"/>
                <w:szCs w:val="21"/>
              </w:rPr>
              <w:t xml:space="preserve">       -   </w:t>
            </w:r>
          </w:p>
        </w:tc>
        <w:tc>
          <w:tcPr>
            <w:tcW w:w="993" w:type="dxa"/>
            <w:shd w:val="clear" w:color="auto" w:fill="auto"/>
            <w:vAlign w:val="center"/>
          </w:tcPr>
          <w:p w14:paraId="7612B6C7">
            <w:pPr>
              <w:widowControl/>
              <w:jc w:val="right"/>
              <w:rPr>
                <w:rFonts w:ascii="宋体" w:hAnsi="宋体" w:cs="宋体"/>
                <w:bCs/>
                <w:kern w:val="0"/>
                <w:szCs w:val="21"/>
              </w:rPr>
            </w:pPr>
            <w:r>
              <w:rPr>
                <w:rFonts w:hint="eastAsia" w:ascii="宋体" w:hAnsi="宋体" w:cs="宋体"/>
                <w:bCs/>
                <w:kern w:val="0"/>
                <w:szCs w:val="21"/>
              </w:rPr>
              <w:t xml:space="preserve">100.00 </w:t>
            </w:r>
          </w:p>
        </w:tc>
        <w:tc>
          <w:tcPr>
            <w:tcW w:w="2192" w:type="dxa"/>
            <w:vMerge w:val="continue"/>
            <w:shd w:val="clear" w:color="auto" w:fill="auto"/>
            <w:vAlign w:val="center"/>
          </w:tcPr>
          <w:p w14:paraId="278C5A62">
            <w:pPr>
              <w:jc w:val="left"/>
              <w:rPr>
                <w:rFonts w:ascii="宋体" w:hAnsi="宋体" w:cs="宋体"/>
                <w:kern w:val="0"/>
                <w:szCs w:val="21"/>
              </w:rPr>
            </w:pPr>
          </w:p>
        </w:tc>
      </w:tr>
      <w:tr w14:paraId="3893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0" w:hRule="atLeast"/>
          <w:jc w:val="right"/>
        </w:trPr>
        <w:tc>
          <w:tcPr>
            <w:tcW w:w="2835" w:type="dxa"/>
            <w:shd w:val="clear" w:color="auto" w:fill="auto"/>
            <w:vAlign w:val="center"/>
          </w:tcPr>
          <w:p w14:paraId="268A9C61">
            <w:pPr>
              <w:widowControl/>
              <w:jc w:val="left"/>
              <w:rPr>
                <w:rFonts w:ascii="宋体" w:hAnsi="宋体" w:cs="宋体"/>
                <w:kern w:val="0"/>
                <w:szCs w:val="21"/>
              </w:rPr>
            </w:pPr>
            <w:r>
              <w:rPr>
                <w:rFonts w:hint="eastAsia" w:ascii="宋体" w:hAnsi="宋体" w:cs="宋体"/>
                <w:kern w:val="0"/>
                <w:szCs w:val="21"/>
              </w:rPr>
              <w:t>3、其他公益性岗位公积金</w:t>
            </w:r>
          </w:p>
        </w:tc>
        <w:tc>
          <w:tcPr>
            <w:tcW w:w="851" w:type="dxa"/>
            <w:shd w:val="clear" w:color="auto" w:fill="auto"/>
            <w:vAlign w:val="center"/>
          </w:tcPr>
          <w:p w14:paraId="2AC7597C">
            <w:pPr>
              <w:widowControl/>
              <w:jc w:val="right"/>
              <w:rPr>
                <w:rFonts w:ascii="宋体" w:hAnsi="宋体" w:cs="宋体"/>
                <w:kern w:val="0"/>
                <w:szCs w:val="21"/>
              </w:rPr>
            </w:pPr>
            <w:r>
              <w:rPr>
                <w:rFonts w:hint="eastAsia" w:ascii="宋体" w:hAnsi="宋体" w:cs="宋体"/>
                <w:kern w:val="0"/>
                <w:szCs w:val="21"/>
              </w:rPr>
              <w:t xml:space="preserve">0.26 </w:t>
            </w:r>
          </w:p>
        </w:tc>
        <w:tc>
          <w:tcPr>
            <w:tcW w:w="850" w:type="dxa"/>
            <w:shd w:val="clear" w:color="auto" w:fill="auto"/>
            <w:vAlign w:val="center"/>
          </w:tcPr>
          <w:p w14:paraId="3D771662">
            <w:pPr>
              <w:widowControl/>
              <w:jc w:val="right"/>
              <w:rPr>
                <w:rFonts w:ascii="宋体" w:hAnsi="宋体" w:cs="宋体"/>
                <w:kern w:val="0"/>
                <w:szCs w:val="21"/>
              </w:rPr>
            </w:pPr>
            <w:r>
              <w:rPr>
                <w:rFonts w:hint="eastAsia" w:ascii="宋体" w:hAnsi="宋体" w:cs="宋体"/>
                <w:kern w:val="0"/>
                <w:szCs w:val="21"/>
              </w:rPr>
              <w:t xml:space="preserve">-   </w:t>
            </w:r>
          </w:p>
        </w:tc>
        <w:tc>
          <w:tcPr>
            <w:tcW w:w="1134" w:type="dxa"/>
            <w:shd w:val="clear" w:color="auto" w:fill="auto"/>
            <w:vAlign w:val="center"/>
          </w:tcPr>
          <w:p w14:paraId="1F296A1A">
            <w:pPr>
              <w:jc w:val="right"/>
              <w:rPr>
                <w:rFonts w:ascii="宋体" w:hAnsi="宋体" w:cs="宋体"/>
                <w:kern w:val="0"/>
                <w:szCs w:val="21"/>
              </w:rPr>
            </w:pPr>
            <w:r>
              <w:rPr>
                <w:rFonts w:hint="eastAsia" w:ascii="宋体" w:hAnsi="宋体" w:cs="宋体"/>
                <w:kern w:val="0"/>
                <w:szCs w:val="21"/>
              </w:rPr>
              <w:t xml:space="preserve">     -0.26 </w:t>
            </w:r>
          </w:p>
        </w:tc>
        <w:tc>
          <w:tcPr>
            <w:tcW w:w="993" w:type="dxa"/>
            <w:shd w:val="clear" w:color="auto" w:fill="auto"/>
            <w:vAlign w:val="center"/>
          </w:tcPr>
          <w:p w14:paraId="4758DA4B">
            <w:pPr>
              <w:widowControl/>
              <w:jc w:val="right"/>
              <w:rPr>
                <w:rFonts w:ascii="宋体" w:hAnsi="宋体" w:cs="宋体"/>
                <w:bCs/>
                <w:kern w:val="0"/>
                <w:szCs w:val="21"/>
              </w:rPr>
            </w:pPr>
            <w:r>
              <w:rPr>
                <w:rFonts w:hint="eastAsia" w:ascii="宋体" w:hAnsi="宋体" w:cs="宋体"/>
                <w:bCs/>
                <w:kern w:val="0"/>
                <w:szCs w:val="21"/>
              </w:rPr>
              <w:t xml:space="preserve">      -   </w:t>
            </w:r>
          </w:p>
        </w:tc>
        <w:tc>
          <w:tcPr>
            <w:tcW w:w="2192" w:type="dxa"/>
            <w:vMerge w:val="continue"/>
            <w:shd w:val="clear" w:color="auto" w:fill="auto"/>
            <w:vAlign w:val="center"/>
          </w:tcPr>
          <w:p w14:paraId="5DE0D250">
            <w:pPr>
              <w:widowControl/>
              <w:jc w:val="left"/>
              <w:rPr>
                <w:rFonts w:ascii="宋体" w:hAnsi="宋体" w:cs="宋体"/>
                <w:kern w:val="0"/>
                <w:szCs w:val="21"/>
              </w:rPr>
            </w:pPr>
          </w:p>
        </w:tc>
      </w:tr>
      <w:tr w14:paraId="67CB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0" w:hRule="atLeast"/>
          <w:jc w:val="right"/>
        </w:trPr>
        <w:tc>
          <w:tcPr>
            <w:tcW w:w="2835" w:type="dxa"/>
            <w:shd w:val="clear" w:color="auto" w:fill="auto"/>
            <w:vAlign w:val="center"/>
          </w:tcPr>
          <w:p w14:paraId="3634366D">
            <w:pPr>
              <w:widowControl/>
              <w:jc w:val="left"/>
              <w:rPr>
                <w:rFonts w:ascii="宋体" w:hAnsi="宋体" w:cs="宋体"/>
                <w:color w:val="000000"/>
                <w:kern w:val="0"/>
                <w:szCs w:val="21"/>
              </w:rPr>
            </w:pPr>
            <w:r>
              <w:rPr>
                <w:rFonts w:hint="eastAsia" w:ascii="宋体" w:hAnsi="宋体" w:cs="宋体"/>
                <w:color w:val="000000"/>
                <w:kern w:val="0"/>
                <w:szCs w:val="21"/>
              </w:rPr>
              <w:t>(五)农民社区管理补助经费</w:t>
            </w:r>
          </w:p>
        </w:tc>
        <w:tc>
          <w:tcPr>
            <w:tcW w:w="851" w:type="dxa"/>
            <w:shd w:val="clear" w:color="auto" w:fill="auto"/>
            <w:vAlign w:val="center"/>
          </w:tcPr>
          <w:p w14:paraId="746B04E5">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2E9E0CF3">
            <w:pPr>
              <w:widowControl/>
              <w:jc w:val="right"/>
              <w:rPr>
                <w:rFonts w:ascii="宋体" w:hAnsi="宋体" w:cs="宋体"/>
                <w:kern w:val="0"/>
                <w:szCs w:val="21"/>
              </w:rPr>
            </w:pPr>
            <w:r>
              <w:rPr>
                <w:rFonts w:hint="eastAsia" w:ascii="宋体" w:hAnsi="宋体" w:cs="宋体"/>
                <w:kern w:val="0"/>
                <w:szCs w:val="21"/>
              </w:rPr>
              <w:t xml:space="preserve">80.00 </w:t>
            </w:r>
          </w:p>
        </w:tc>
        <w:tc>
          <w:tcPr>
            <w:tcW w:w="1134" w:type="dxa"/>
            <w:shd w:val="clear" w:color="auto" w:fill="auto"/>
            <w:vAlign w:val="center"/>
          </w:tcPr>
          <w:p w14:paraId="0B8E5BB3">
            <w:pPr>
              <w:jc w:val="right"/>
              <w:rPr>
                <w:rFonts w:ascii="宋体" w:hAnsi="宋体" w:cs="宋体"/>
                <w:kern w:val="0"/>
                <w:szCs w:val="21"/>
              </w:rPr>
            </w:pPr>
            <w:r>
              <w:rPr>
                <w:rFonts w:hint="eastAsia" w:ascii="宋体" w:hAnsi="宋体" w:cs="宋体"/>
                <w:kern w:val="0"/>
                <w:szCs w:val="21"/>
              </w:rPr>
              <w:t xml:space="preserve">     80.00 </w:t>
            </w:r>
          </w:p>
        </w:tc>
        <w:tc>
          <w:tcPr>
            <w:tcW w:w="993" w:type="dxa"/>
            <w:shd w:val="clear" w:color="auto" w:fill="auto"/>
            <w:vAlign w:val="center"/>
          </w:tcPr>
          <w:p w14:paraId="3AFEEDDD">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16C64F68">
            <w:pPr>
              <w:widowControl/>
              <w:jc w:val="left"/>
              <w:rPr>
                <w:rFonts w:ascii="宋体" w:hAnsi="宋体" w:cs="宋体"/>
                <w:kern w:val="0"/>
                <w:szCs w:val="21"/>
              </w:rPr>
            </w:pPr>
            <w:r>
              <w:rPr>
                <w:rFonts w:hint="eastAsia" w:ascii="宋体" w:hAnsi="宋体" w:cs="宋体"/>
                <w:kern w:val="0"/>
                <w:szCs w:val="21"/>
              </w:rPr>
              <w:t>年初单立项做预算，未纳入未项目内； 支出与年初预算一致</w:t>
            </w:r>
          </w:p>
        </w:tc>
      </w:tr>
      <w:tr w14:paraId="51E1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0" w:hRule="atLeast"/>
          <w:jc w:val="right"/>
        </w:trPr>
        <w:tc>
          <w:tcPr>
            <w:tcW w:w="2835" w:type="dxa"/>
            <w:shd w:val="clear" w:color="auto" w:fill="auto"/>
            <w:vAlign w:val="center"/>
          </w:tcPr>
          <w:p w14:paraId="01A2AEF2">
            <w:pPr>
              <w:widowControl/>
              <w:jc w:val="left"/>
              <w:rPr>
                <w:rFonts w:ascii="宋体" w:hAnsi="宋体" w:cs="宋体"/>
                <w:color w:val="000000"/>
                <w:kern w:val="0"/>
                <w:szCs w:val="21"/>
              </w:rPr>
            </w:pPr>
            <w:r>
              <w:rPr>
                <w:rFonts w:hint="eastAsia" w:ascii="宋体" w:hAnsi="宋体" w:cs="宋体"/>
                <w:color w:val="000000"/>
                <w:kern w:val="0"/>
                <w:szCs w:val="21"/>
              </w:rPr>
              <w:t>(六）离任村主职干部生活困难补贴</w:t>
            </w:r>
          </w:p>
        </w:tc>
        <w:tc>
          <w:tcPr>
            <w:tcW w:w="851" w:type="dxa"/>
            <w:shd w:val="clear" w:color="auto" w:fill="auto"/>
            <w:vAlign w:val="center"/>
          </w:tcPr>
          <w:p w14:paraId="53A0CB33">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41524488">
            <w:pPr>
              <w:widowControl/>
              <w:jc w:val="right"/>
              <w:rPr>
                <w:rFonts w:ascii="宋体" w:hAnsi="宋体" w:cs="宋体"/>
                <w:kern w:val="0"/>
                <w:szCs w:val="21"/>
              </w:rPr>
            </w:pPr>
            <w:r>
              <w:rPr>
                <w:rFonts w:hint="eastAsia" w:ascii="宋体" w:hAnsi="宋体" w:cs="宋体"/>
                <w:kern w:val="0"/>
                <w:szCs w:val="21"/>
              </w:rPr>
              <w:t xml:space="preserve">13.36 </w:t>
            </w:r>
          </w:p>
        </w:tc>
        <w:tc>
          <w:tcPr>
            <w:tcW w:w="1134" w:type="dxa"/>
            <w:shd w:val="clear" w:color="auto" w:fill="auto"/>
            <w:vAlign w:val="center"/>
          </w:tcPr>
          <w:p w14:paraId="1BE5F7D5">
            <w:pPr>
              <w:jc w:val="right"/>
              <w:rPr>
                <w:rFonts w:ascii="宋体" w:hAnsi="宋体" w:cs="宋体"/>
                <w:kern w:val="0"/>
                <w:szCs w:val="21"/>
              </w:rPr>
            </w:pPr>
            <w:r>
              <w:rPr>
                <w:rFonts w:hint="eastAsia" w:ascii="宋体" w:hAnsi="宋体" w:cs="宋体"/>
                <w:kern w:val="0"/>
                <w:szCs w:val="21"/>
              </w:rPr>
              <w:t xml:space="preserve">     13.36 </w:t>
            </w:r>
          </w:p>
        </w:tc>
        <w:tc>
          <w:tcPr>
            <w:tcW w:w="993" w:type="dxa"/>
            <w:shd w:val="clear" w:color="auto" w:fill="auto"/>
            <w:vAlign w:val="center"/>
          </w:tcPr>
          <w:p w14:paraId="071DF5D4">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064B4A4C">
            <w:pPr>
              <w:widowControl/>
              <w:jc w:val="left"/>
              <w:rPr>
                <w:rFonts w:ascii="宋体" w:hAnsi="宋体" w:cs="宋体"/>
                <w:kern w:val="0"/>
                <w:szCs w:val="21"/>
              </w:rPr>
            </w:pPr>
            <w:r>
              <w:rPr>
                <w:rFonts w:hint="eastAsia" w:ascii="宋体" w:hAnsi="宋体" w:cs="宋体"/>
                <w:kern w:val="0"/>
                <w:szCs w:val="21"/>
              </w:rPr>
              <w:t>年初单立项做预算，未纳入未项目内； 支出与年初预算一致</w:t>
            </w:r>
          </w:p>
        </w:tc>
      </w:tr>
      <w:tr w14:paraId="0FBE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78E2C4DE">
            <w:pPr>
              <w:widowControl/>
              <w:jc w:val="left"/>
              <w:rPr>
                <w:rFonts w:ascii="宋体" w:hAnsi="宋体" w:cs="宋体"/>
                <w:bCs/>
                <w:kern w:val="0"/>
                <w:szCs w:val="21"/>
              </w:rPr>
            </w:pPr>
            <w:r>
              <w:rPr>
                <w:rFonts w:hint="eastAsia" w:ascii="宋体" w:hAnsi="宋体" w:cs="宋体"/>
                <w:bCs/>
                <w:kern w:val="0"/>
                <w:szCs w:val="21"/>
              </w:rPr>
              <w:t>二、就业补助</w:t>
            </w:r>
          </w:p>
        </w:tc>
        <w:tc>
          <w:tcPr>
            <w:tcW w:w="851" w:type="dxa"/>
            <w:shd w:val="clear" w:color="auto" w:fill="auto"/>
            <w:vAlign w:val="center"/>
          </w:tcPr>
          <w:p w14:paraId="7BF28990">
            <w:pPr>
              <w:widowControl/>
              <w:jc w:val="right"/>
              <w:rPr>
                <w:rFonts w:ascii="宋体" w:hAnsi="宋体"/>
                <w:bCs/>
                <w:kern w:val="0"/>
                <w:szCs w:val="21"/>
              </w:rPr>
            </w:pPr>
            <w:r>
              <w:rPr>
                <w:rFonts w:ascii="宋体" w:hAnsi="宋体"/>
                <w:bCs/>
                <w:kern w:val="0"/>
                <w:szCs w:val="21"/>
              </w:rPr>
              <w:t xml:space="preserve">409.93 </w:t>
            </w:r>
          </w:p>
        </w:tc>
        <w:tc>
          <w:tcPr>
            <w:tcW w:w="850" w:type="dxa"/>
            <w:shd w:val="clear" w:color="auto" w:fill="auto"/>
            <w:vAlign w:val="center"/>
          </w:tcPr>
          <w:p w14:paraId="1C2F3F12">
            <w:pPr>
              <w:widowControl/>
              <w:jc w:val="right"/>
              <w:rPr>
                <w:rFonts w:ascii="宋体" w:hAnsi="宋体" w:cs="宋体"/>
                <w:bCs/>
                <w:kern w:val="0"/>
                <w:szCs w:val="21"/>
              </w:rPr>
            </w:pPr>
            <w:r>
              <w:rPr>
                <w:rFonts w:hint="eastAsia" w:ascii="宋体" w:hAnsi="宋体" w:cs="宋体"/>
                <w:bCs/>
                <w:kern w:val="0"/>
                <w:szCs w:val="21"/>
              </w:rPr>
              <w:t>367.26</w:t>
            </w:r>
          </w:p>
        </w:tc>
        <w:tc>
          <w:tcPr>
            <w:tcW w:w="1134" w:type="dxa"/>
            <w:shd w:val="clear" w:color="auto" w:fill="auto"/>
            <w:vAlign w:val="center"/>
          </w:tcPr>
          <w:p w14:paraId="1A04222A">
            <w:pPr>
              <w:jc w:val="right"/>
              <w:rPr>
                <w:rFonts w:ascii="宋体" w:hAnsi="宋体" w:cs="宋体"/>
                <w:kern w:val="0"/>
                <w:szCs w:val="21"/>
              </w:rPr>
            </w:pPr>
            <w:r>
              <w:rPr>
                <w:rFonts w:hint="eastAsia" w:ascii="宋体" w:hAnsi="宋体" w:cs="宋体"/>
                <w:kern w:val="0"/>
                <w:szCs w:val="21"/>
              </w:rPr>
              <w:t xml:space="preserve">    -42.67 </w:t>
            </w:r>
          </w:p>
        </w:tc>
        <w:tc>
          <w:tcPr>
            <w:tcW w:w="993" w:type="dxa"/>
            <w:shd w:val="clear" w:color="auto" w:fill="auto"/>
            <w:vAlign w:val="center"/>
          </w:tcPr>
          <w:p w14:paraId="6125E70B">
            <w:pPr>
              <w:widowControl/>
              <w:jc w:val="right"/>
              <w:rPr>
                <w:rFonts w:ascii="宋体" w:hAnsi="宋体" w:cs="宋体"/>
                <w:bCs/>
                <w:kern w:val="0"/>
                <w:szCs w:val="21"/>
              </w:rPr>
            </w:pPr>
            <w:r>
              <w:rPr>
                <w:rFonts w:hint="eastAsia" w:ascii="宋体" w:hAnsi="宋体" w:cs="宋体"/>
                <w:bCs/>
                <w:kern w:val="0"/>
                <w:szCs w:val="21"/>
              </w:rPr>
              <w:t xml:space="preserve">89.59 </w:t>
            </w:r>
          </w:p>
        </w:tc>
        <w:tc>
          <w:tcPr>
            <w:tcW w:w="2192" w:type="dxa"/>
            <w:vMerge w:val="restart"/>
            <w:shd w:val="clear" w:color="auto" w:fill="auto"/>
            <w:vAlign w:val="center"/>
          </w:tcPr>
          <w:p w14:paraId="256CD0BA">
            <w:pPr>
              <w:jc w:val="left"/>
              <w:rPr>
                <w:rFonts w:ascii="宋体" w:hAnsi="宋体" w:cs="宋体"/>
                <w:kern w:val="0"/>
                <w:szCs w:val="21"/>
              </w:rPr>
            </w:pPr>
            <w:r>
              <w:rPr>
                <w:rFonts w:hint="eastAsia" w:ascii="宋体" w:hAnsi="宋体" w:cs="宋体"/>
                <w:kern w:val="0"/>
                <w:szCs w:val="21"/>
              </w:rPr>
              <w:t>社区工作人员合理配置，降低了不必要的浪费，充分发挥现有社区人员作用</w:t>
            </w:r>
          </w:p>
        </w:tc>
      </w:tr>
      <w:tr w14:paraId="2F83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0" w:hRule="atLeast"/>
          <w:jc w:val="right"/>
        </w:trPr>
        <w:tc>
          <w:tcPr>
            <w:tcW w:w="2835" w:type="dxa"/>
            <w:shd w:val="clear" w:color="auto" w:fill="auto"/>
            <w:vAlign w:val="center"/>
          </w:tcPr>
          <w:p w14:paraId="400749CA">
            <w:pPr>
              <w:widowControl/>
              <w:jc w:val="left"/>
              <w:rPr>
                <w:rFonts w:ascii="宋体" w:hAnsi="宋体" w:cs="宋体"/>
                <w:kern w:val="0"/>
                <w:szCs w:val="21"/>
              </w:rPr>
            </w:pPr>
            <w:r>
              <w:rPr>
                <w:rFonts w:hint="eastAsia" w:ascii="宋体" w:hAnsi="宋体" w:cs="宋体"/>
                <w:kern w:val="0"/>
                <w:szCs w:val="21"/>
              </w:rPr>
              <w:t>（一）公益性岗位社会保险（单位缴纳部分）</w:t>
            </w:r>
          </w:p>
        </w:tc>
        <w:tc>
          <w:tcPr>
            <w:tcW w:w="851" w:type="dxa"/>
            <w:shd w:val="clear" w:color="auto" w:fill="auto"/>
            <w:vAlign w:val="center"/>
          </w:tcPr>
          <w:p w14:paraId="4A92DDC0">
            <w:pPr>
              <w:widowControl/>
              <w:jc w:val="right"/>
              <w:rPr>
                <w:rFonts w:ascii="宋体" w:hAnsi="宋体" w:cs="宋体"/>
                <w:kern w:val="0"/>
                <w:szCs w:val="21"/>
              </w:rPr>
            </w:pPr>
            <w:r>
              <w:rPr>
                <w:rFonts w:hint="eastAsia" w:ascii="宋体" w:hAnsi="宋体" w:cs="宋体"/>
                <w:kern w:val="0"/>
                <w:szCs w:val="21"/>
              </w:rPr>
              <w:t xml:space="preserve">103.62 </w:t>
            </w:r>
          </w:p>
        </w:tc>
        <w:tc>
          <w:tcPr>
            <w:tcW w:w="850" w:type="dxa"/>
            <w:shd w:val="clear" w:color="auto" w:fill="auto"/>
            <w:vAlign w:val="center"/>
          </w:tcPr>
          <w:p w14:paraId="22E872BF">
            <w:pPr>
              <w:widowControl/>
              <w:jc w:val="right"/>
              <w:rPr>
                <w:rFonts w:ascii="宋体" w:hAnsi="宋体" w:cs="宋体"/>
                <w:kern w:val="0"/>
                <w:szCs w:val="21"/>
              </w:rPr>
            </w:pPr>
            <w:r>
              <w:rPr>
                <w:rFonts w:hint="eastAsia" w:ascii="宋体" w:hAnsi="宋体" w:cs="宋体"/>
                <w:kern w:val="0"/>
                <w:szCs w:val="21"/>
              </w:rPr>
              <w:t xml:space="preserve">89.84 </w:t>
            </w:r>
          </w:p>
        </w:tc>
        <w:tc>
          <w:tcPr>
            <w:tcW w:w="1134" w:type="dxa"/>
            <w:shd w:val="clear" w:color="auto" w:fill="auto"/>
            <w:vAlign w:val="center"/>
          </w:tcPr>
          <w:p w14:paraId="5CCE4CCB">
            <w:pPr>
              <w:jc w:val="right"/>
              <w:rPr>
                <w:rFonts w:ascii="宋体" w:hAnsi="宋体" w:cs="宋体"/>
                <w:kern w:val="0"/>
                <w:szCs w:val="21"/>
              </w:rPr>
            </w:pPr>
            <w:r>
              <w:rPr>
                <w:rFonts w:hint="eastAsia" w:ascii="宋体" w:hAnsi="宋体" w:cs="宋体"/>
                <w:kern w:val="0"/>
                <w:szCs w:val="21"/>
              </w:rPr>
              <w:t xml:space="preserve">    -13.78 </w:t>
            </w:r>
          </w:p>
        </w:tc>
        <w:tc>
          <w:tcPr>
            <w:tcW w:w="993" w:type="dxa"/>
            <w:shd w:val="clear" w:color="auto" w:fill="auto"/>
            <w:vAlign w:val="center"/>
          </w:tcPr>
          <w:p w14:paraId="21C770C7">
            <w:pPr>
              <w:widowControl/>
              <w:jc w:val="right"/>
              <w:rPr>
                <w:rFonts w:ascii="宋体" w:hAnsi="宋体" w:cs="宋体"/>
                <w:bCs/>
                <w:kern w:val="0"/>
                <w:szCs w:val="21"/>
              </w:rPr>
            </w:pPr>
            <w:r>
              <w:rPr>
                <w:rFonts w:hint="eastAsia" w:ascii="宋体" w:hAnsi="宋体" w:cs="宋体"/>
                <w:bCs/>
                <w:kern w:val="0"/>
                <w:szCs w:val="21"/>
              </w:rPr>
              <w:t xml:space="preserve">86.70 </w:t>
            </w:r>
          </w:p>
        </w:tc>
        <w:tc>
          <w:tcPr>
            <w:tcW w:w="2192" w:type="dxa"/>
            <w:vMerge w:val="continue"/>
            <w:shd w:val="clear" w:color="auto" w:fill="auto"/>
            <w:vAlign w:val="center"/>
          </w:tcPr>
          <w:p w14:paraId="26F0A21E">
            <w:pPr>
              <w:jc w:val="right"/>
              <w:rPr>
                <w:rFonts w:ascii="宋体" w:hAnsi="宋体" w:cs="宋体"/>
                <w:kern w:val="0"/>
                <w:szCs w:val="21"/>
              </w:rPr>
            </w:pPr>
          </w:p>
        </w:tc>
      </w:tr>
      <w:tr w14:paraId="6739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47D76A33">
            <w:pPr>
              <w:widowControl/>
              <w:jc w:val="left"/>
              <w:rPr>
                <w:rFonts w:ascii="宋体" w:hAnsi="宋体" w:cs="宋体"/>
                <w:kern w:val="0"/>
                <w:szCs w:val="21"/>
              </w:rPr>
            </w:pPr>
            <w:r>
              <w:rPr>
                <w:rFonts w:hint="eastAsia" w:ascii="宋体" w:hAnsi="宋体" w:cs="宋体"/>
                <w:kern w:val="0"/>
                <w:szCs w:val="21"/>
              </w:rPr>
              <w:t>1、社区工作者社保补贴</w:t>
            </w:r>
          </w:p>
        </w:tc>
        <w:tc>
          <w:tcPr>
            <w:tcW w:w="851" w:type="dxa"/>
            <w:shd w:val="clear" w:color="auto" w:fill="auto"/>
            <w:vAlign w:val="center"/>
          </w:tcPr>
          <w:p w14:paraId="5EDE0011">
            <w:pPr>
              <w:widowControl/>
              <w:jc w:val="right"/>
              <w:rPr>
                <w:rFonts w:ascii="宋体" w:hAnsi="宋体" w:cs="宋体"/>
                <w:kern w:val="0"/>
                <w:szCs w:val="21"/>
              </w:rPr>
            </w:pPr>
            <w:r>
              <w:rPr>
                <w:rFonts w:hint="eastAsia" w:ascii="宋体" w:hAnsi="宋体" w:cs="宋体"/>
                <w:kern w:val="0"/>
                <w:szCs w:val="21"/>
              </w:rPr>
              <w:t xml:space="preserve">69.08 </w:t>
            </w:r>
          </w:p>
        </w:tc>
        <w:tc>
          <w:tcPr>
            <w:tcW w:w="850" w:type="dxa"/>
            <w:shd w:val="clear" w:color="auto" w:fill="auto"/>
            <w:vAlign w:val="center"/>
          </w:tcPr>
          <w:p w14:paraId="00B9B630">
            <w:pPr>
              <w:widowControl/>
              <w:jc w:val="right"/>
              <w:rPr>
                <w:rFonts w:ascii="宋体" w:hAnsi="宋体" w:cs="宋体"/>
                <w:kern w:val="0"/>
                <w:szCs w:val="21"/>
              </w:rPr>
            </w:pPr>
            <w:r>
              <w:rPr>
                <w:rFonts w:hint="eastAsia" w:ascii="宋体" w:hAnsi="宋体" w:cs="宋体"/>
                <w:kern w:val="0"/>
                <w:szCs w:val="21"/>
              </w:rPr>
              <w:t xml:space="preserve">67.82 </w:t>
            </w:r>
          </w:p>
        </w:tc>
        <w:tc>
          <w:tcPr>
            <w:tcW w:w="1134" w:type="dxa"/>
            <w:shd w:val="clear" w:color="auto" w:fill="auto"/>
            <w:vAlign w:val="center"/>
          </w:tcPr>
          <w:p w14:paraId="7ED740E1">
            <w:pPr>
              <w:jc w:val="right"/>
              <w:rPr>
                <w:rFonts w:ascii="宋体" w:hAnsi="宋体" w:cs="宋体"/>
                <w:kern w:val="0"/>
                <w:szCs w:val="21"/>
              </w:rPr>
            </w:pPr>
            <w:r>
              <w:rPr>
                <w:rFonts w:hint="eastAsia" w:ascii="宋体" w:hAnsi="宋体" w:cs="宋体"/>
                <w:kern w:val="0"/>
                <w:szCs w:val="21"/>
              </w:rPr>
              <w:t xml:space="preserve">     -1.26 </w:t>
            </w:r>
          </w:p>
        </w:tc>
        <w:tc>
          <w:tcPr>
            <w:tcW w:w="993" w:type="dxa"/>
            <w:shd w:val="clear" w:color="auto" w:fill="auto"/>
            <w:vAlign w:val="center"/>
          </w:tcPr>
          <w:p w14:paraId="145AD2CD">
            <w:pPr>
              <w:widowControl/>
              <w:jc w:val="right"/>
              <w:rPr>
                <w:rFonts w:ascii="宋体" w:hAnsi="宋体" w:cs="宋体"/>
                <w:bCs/>
                <w:kern w:val="0"/>
                <w:szCs w:val="21"/>
              </w:rPr>
            </w:pPr>
            <w:r>
              <w:rPr>
                <w:rFonts w:hint="eastAsia" w:ascii="宋体" w:hAnsi="宋体" w:cs="宋体"/>
                <w:bCs/>
                <w:kern w:val="0"/>
                <w:szCs w:val="21"/>
              </w:rPr>
              <w:t xml:space="preserve">98.18 </w:t>
            </w:r>
          </w:p>
        </w:tc>
        <w:tc>
          <w:tcPr>
            <w:tcW w:w="2192" w:type="dxa"/>
            <w:vMerge w:val="continue"/>
            <w:shd w:val="clear" w:color="auto" w:fill="auto"/>
            <w:vAlign w:val="center"/>
          </w:tcPr>
          <w:p w14:paraId="3E4A6CD7">
            <w:pPr>
              <w:jc w:val="right"/>
              <w:rPr>
                <w:rFonts w:ascii="宋体" w:hAnsi="宋体" w:cs="宋体"/>
                <w:kern w:val="0"/>
                <w:szCs w:val="21"/>
              </w:rPr>
            </w:pPr>
          </w:p>
        </w:tc>
      </w:tr>
      <w:tr w14:paraId="67A2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0" w:hRule="atLeast"/>
          <w:jc w:val="right"/>
        </w:trPr>
        <w:tc>
          <w:tcPr>
            <w:tcW w:w="2835" w:type="dxa"/>
            <w:shd w:val="clear" w:color="auto" w:fill="auto"/>
            <w:vAlign w:val="center"/>
          </w:tcPr>
          <w:p w14:paraId="3DC47A18">
            <w:pPr>
              <w:widowControl/>
              <w:jc w:val="left"/>
              <w:rPr>
                <w:rFonts w:ascii="宋体" w:hAnsi="宋体" w:cs="宋体"/>
                <w:kern w:val="0"/>
                <w:szCs w:val="21"/>
              </w:rPr>
            </w:pPr>
            <w:r>
              <w:rPr>
                <w:rFonts w:hint="eastAsia" w:ascii="宋体" w:hAnsi="宋体" w:cs="宋体"/>
                <w:kern w:val="0"/>
                <w:szCs w:val="21"/>
              </w:rPr>
              <w:t>2、社区网格化管理员社保补贴</w:t>
            </w:r>
          </w:p>
        </w:tc>
        <w:tc>
          <w:tcPr>
            <w:tcW w:w="851" w:type="dxa"/>
            <w:shd w:val="clear" w:color="auto" w:fill="auto"/>
            <w:vAlign w:val="center"/>
          </w:tcPr>
          <w:p w14:paraId="1D9F1CB1">
            <w:pPr>
              <w:widowControl/>
              <w:jc w:val="right"/>
              <w:rPr>
                <w:rFonts w:ascii="宋体" w:hAnsi="宋体" w:cs="宋体"/>
                <w:kern w:val="0"/>
                <w:szCs w:val="21"/>
              </w:rPr>
            </w:pPr>
            <w:r>
              <w:rPr>
                <w:rFonts w:hint="eastAsia" w:ascii="宋体" w:hAnsi="宋体" w:cs="宋体"/>
                <w:kern w:val="0"/>
                <w:szCs w:val="21"/>
              </w:rPr>
              <w:t xml:space="preserve">32.24 </w:t>
            </w:r>
          </w:p>
        </w:tc>
        <w:tc>
          <w:tcPr>
            <w:tcW w:w="850" w:type="dxa"/>
            <w:shd w:val="clear" w:color="auto" w:fill="auto"/>
            <w:vAlign w:val="center"/>
          </w:tcPr>
          <w:p w14:paraId="2E018038">
            <w:pPr>
              <w:widowControl/>
              <w:jc w:val="right"/>
              <w:rPr>
                <w:rFonts w:ascii="宋体" w:hAnsi="宋体" w:cs="宋体"/>
                <w:kern w:val="0"/>
                <w:szCs w:val="21"/>
              </w:rPr>
            </w:pPr>
            <w:r>
              <w:rPr>
                <w:rFonts w:hint="eastAsia" w:ascii="宋体" w:hAnsi="宋体" w:cs="宋体"/>
                <w:kern w:val="0"/>
                <w:szCs w:val="21"/>
              </w:rPr>
              <w:t xml:space="preserve">22.02 </w:t>
            </w:r>
          </w:p>
        </w:tc>
        <w:tc>
          <w:tcPr>
            <w:tcW w:w="1134" w:type="dxa"/>
            <w:shd w:val="clear" w:color="auto" w:fill="auto"/>
            <w:vAlign w:val="center"/>
          </w:tcPr>
          <w:p w14:paraId="2E18E28F">
            <w:pPr>
              <w:jc w:val="right"/>
              <w:rPr>
                <w:rFonts w:ascii="宋体" w:hAnsi="宋体" w:cs="宋体"/>
                <w:kern w:val="0"/>
                <w:szCs w:val="21"/>
              </w:rPr>
            </w:pPr>
            <w:r>
              <w:rPr>
                <w:rFonts w:hint="eastAsia" w:ascii="宋体" w:hAnsi="宋体" w:cs="宋体"/>
                <w:kern w:val="0"/>
                <w:szCs w:val="21"/>
              </w:rPr>
              <w:t xml:space="preserve">    -10.22 </w:t>
            </w:r>
          </w:p>
        </w:tc>
        <w:tc>
          <w:tcPr>
            <w:tcW w:w="993" w:type="dxa"/>
            <w:shd w:val="clear" w:color="auto" w:fill="auto"/>
            <w:vAlign w:val="center"/>
          </w:tcPr>
          <w:p w14:paraId="58AF5AAF">
            <w:pPr>
              <w:widowControl/>
              <w:jc w:val="right"/>
              <w:rPr>
                <w:rFonts w:ascii="宋体" w:hAnsi="宋体" w:cs="宋体"/>
                <w:bCs/>
                <w:kern w:val="0"/>
                <w:szCs w:val="21"/>
              </w:rPr>
            </w:pPr>
            <w:r>
              <w:rPr>
                <w:rFonts w:hint="eastAsia" w:ascii="宋体" w:hAnsi="宋体" w:cs="宋体"/>
                <w:bCs/>
                <w:kern w:val="0"/>
                <w:szCs w:val="21"/>
              </w:rPr>
              <w:t xml:space="preserve">68.31 </w:t>
            </w:r>
          </w:p>
        </w:tc>
        <w:tc>
          <w:tcPr>
            <w:tcW w:w="2192" w:type="dxa"/>
            <w:vMerge w:val="continue"/>
            <w:shd w:val="clear" w:color="auto" w:fill="auto"/>
            <w:vAlign w:val="center"/>
          </w:tcPr>
          <w:p w14:paraId="7A1E8D11">
            <w:pPr>
              <w:jc w:val="right"/>
              <w:rPr>
                <w:rFonts w:ascii="宋体" w:hAnsi="宋体" w:cs="宋体"/>
                <w:kern w:val="0"/>
                <w:szCs w:val="21"/>
              </w:rPr>
            </w:pPr>
          </w:p>
        </w:tc>
      </w:tr>
      <w:tr w14:paraId="727A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7630C5E0">
            <w:pPr>
              <w:widowControl/>
              <w:jc w:val="left"/>
              <w:rPr>
                <w:rFonts w:ascii="宋体" w:hAnsi="宋体" w:cs="宋体"/>
                <w:kern w:val="0"/>
                <w:szCs w:val="21"/>
              </w:rPr>
            </w:pPr>
            <w:r>
              <w:rPr>
                <w:rFonts w:hint="eastAsia" w:ascii="宋体" w:hAnsi="宋体" w:cs="宋体"/>
                <w:kern w:val="0"/>
                <w:szCs w:val="21"/>
              </w:rPr>
              <w:t>3、其他公益性岗位社保补贴</w:t>
            </w:r>
          </w:p>
        </w:tc>
        <w:tc>
          <w:tcPr>
            <w:tcW w:w="851" w:type="dxa"/>
            <w:shd w:val="clear" w:color="auto" w:fill="auto"/>
            <w:vAlign w:val="center"/>
          </w:tcPr>
          <w:p w14:paraId="5940738D">
            <w:pPr>
              <w:widowControl/>
              <w:jc w:val="right"/>
              <w:rPr>
                <w:rFonts w:ascii="宋体" w:hAnsi="宋体" w:cs="宋体"/>
                <w:kern w:val="0"/>
                <w:szCs w:val="21"/>
              </w:rPr>
            </w:pPr>
            <w:r>
              <w:rPr>
                <w:rFonts w:hint="eastAsia" w:ascii="宋体" w:hAnsi="宋体" w:cs="宋体"/>
                <w:kern w:val="0"/>
                <w:szCs w:val="21"/>
              </w:rPr>
              <w:t xml:space="preserve">2.30 </w:t>
            </w:r>
          </w:p>
        </w:tc>
        <w:tc>
          <w:tcPr>
            <w:tcW w:w="850" w:type="dxa"/>
            <w:shd w:val="clear" w:color="auto" w:fill="auto"/>
            <w:vAlign w:val="center"/>
          </w:tcPr>
          <w:p w14:paraId="3B8A95A8">
            <w:pPr>
              <w:widowControl/>
              <w:jc w:val="right"/>
              <w:rPr>
                <w:rFonts w:ascii="宋体" w:hAnsi="宋体" w:cs="宋体"/>
                <w:kern w:val="0"/>
                <w:szCs w:val="21"/>
              </w:rPr>
            </w:pPr>
            <w:r>
              <w:rPr>
                <w:rFonts w:hint="eastAsia" w:ascii="宋体" w:hAnsi="宋体" w:cs="宋体"/>
                <w:kern w:val="0"/>
                <w:szCs w:val="21"/>
              </w:rPr>
              <w:t xml:space="preserve">-   </w:t>
            </w:r>
          </w:p>
        </w:tc>
        <w:tc>
          <w:tcPr>
            <w:tcW w:w="1134" w:type="dxa"/>
            <w:shd w:val="clear" w:color="auto" w:fill="auto"/>
            <w:vAlign w:val="center"/>
          </w:tcPr>
          <w:p w14:paraId="1F5BC8B5">
            <w:pPr>
              <w:jc w:val="right"/>
              <w:rPr>
                <w:rFonts w:ascii="宋体" w:hAnsi="宋体" w:cs="宋体"/>
                <w:kern w:val="0"/>
                <w:szCs w:val="21"/>
              </w:rPr>
            </w:pPr>
            <w:r>
              <w:rPr>
                <w:rFonts w:hint="eastAsia" w:ascii="宋体" w:hAnsi="宋体" w:cs="宋体"/>
                <w:kern w:val="0"/>
                <w:szCs w:val="21"/>
              </w:rPr>
              <w:t xml:space="preserve">     -2.30 </w:t>
            </w:r>
          </w:p>
        </w:tc>
        <w:tc>
          <w:tcPr>
            <w:tcW w:w="993" w:type="dxa"/>
            <w:shd w:val="clear" w:color="auto" w:fill="auto"/>
            <w:vAlign w:val="center"/>
          </w:tcPr>
          <w:p w14:paraId="0BBAEE79">
            <w:pPr>
              <w:widowControl/>
              <w:jc w:val="right"/>
              <w:rPr>
                <w:rFonts w:ascii="宋体" w:hAnsi="宋体" w:cs="宋体"/>
                <w:bCs/>
                <w:kern w:val="0"/>
                <w:szCs w:val="21"/>
              </w:rPr>
            </w:pPr>
            <w:r>
              <w:rPr>
                <w:rFonts w:hint="eastAsia" w:ascii="宋体" w:hAnsi="宋体" w:cs="宋体"/>
                <w:bCs/>
                <w:kern w:val="0"/>
                <w:szCs w:val="21"/>
              </w:rPr>
              <w:t xml:space="preserve">      -   </w:t>
            </w:r>
          </w:p>
        </w:tc>
        <w:tc>
          <w:tcPr>
            <w:tcW w:w="2192" w:type="dxa"/>
            <w:vMerge w:val="continue"/>
            <w:shd w:val="clear" w:color="auto" w:fill="auto"/>
            <w:vAlign w:val="center"/>
          </w:tcPr>
          <w:p w14:paraId="51D0DE0D">
            <w:pPr>
              <w:jc w:val="right"/>
              <w:rPr>
                <w:rFonts w:ascii="宋体" w:hAnsi="宋体" w:cs="宋体"/>
                <w:kern w:val="0"/>
                <w:szCs w:val="21"/>
              </w:rPr>
            </w:pPr>
          </w:p>
        </w:tc>
      </w:tr>
      <w:tr w14:paraId="0521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227B8A67">
            <w:pPr>
              <w:widowControl/>
              <w:jc w:val="left"/>
              <w:rPr>
                <w:rFonts w:ascii="宋体" w:hAnsi="宋体" w:cs="宋体"/>
                <w:kern w:val="0"/>
                <w:szCs w:val="21"/>
              </w:rPr>
            </w:pPr>
            <w:r>
              <w:rPr>
                <w:rFonts w:hint="eastAsia" w:ascii="宋体" w:hAnsi="宋体" w:cs="宋体"/>
                <w:kern w:val="0"/>
                <w:szCs w:val="21"/>
              </w:rPr>
              <w:t>（二）公益性岗位补贴（工资部分）</w:t>
            </w:r>
          </w:p>
        </w:tc>
        <w:tc>
          <w:tcPr>
            <w:tcW w:w="851" w:type="dxa"/>
            <w:shd w:val="clear" w:color="auto" w:fill="auto"/>
            <w:vAlign w:val="center"/>
          </w:tcPr>
          <w:p w14:paraId="10E4BE0C">
            <w:pPr>
              <w:widowControl/>
              <w:jc w:val="right"/>
              <w:rPr>
                <w:rFonts w:ascii="宋体" w:hAnsi="宋体" w:cs="宋体"/>
                <w:kern w:val="0"/>
                <w:szCs w:val="21"/>
              </w:rPr>
            </w:pPr>
            <w:r>
              <w:rPr>
                <w:rFonts w:hint="eastAsia" w:ascii="宋体" w:hAnsi="宋体" w:cs="宋体"/>
                <w:kern w:val="0"/>
                <w:szCs w:val="21"/>
              </w:rPr>
              <w:t>306.31</w:t>
            </w:r>
          </w:p>
        </w:tc>
        <w:tc>
          <w:tcPr>
            <w:tcW w:w="850" w:type="dxa"/>
            <w:shd w:val="clear" w:color="auto" w:fill="auto"/>
            <w:vAlign w:val="center"/>
          </w:tcPr>
          <w:p w14:paraId="3B7ADD07">
            <w:pPr>
              <w:widowControl/>
              <w:jc w:val="right"/>
              <w:rPr>
                <w:rFonts w:ascii="宋体" w:hAnsi="宋体" w:cs="宋体"/>
                <w:kern w:val="0"/>
                <w:szCs w:val="21"/>
              </w:rPr>
            </w:pPr>
            <w:r>
              <w:rPr>
                <w:rFonts w:hint="eastAsia" w:ascii="宋体" w:hAnsi="宋体" w:cs="宋体"/>
                <w:kern w:val="0"/>
                <w:szCs w:val="21"/>
              </w:rPr>
              <w:t xml:space="preserve">277.42 </w:t>
            </w:r>
          </w:p>
        </w:tc>
        <w:tc>
          <w:tcPr>
            <w:tcW w:w="1134" w:type="dxa"/>
            <w:shd w:val="clear" w:color="auto" w:fill="auto"/>
            <w:vAlign w:val="center"/>
          </w:tcPr>
          <w:p w14:paraId="333EE270">
            <w:pPr>
              <w:jc w:val="right"/>
              <w:rPr>
                <w:rFonts w:ascii="宋体" w:hAnsi="宋体" w:cs="宋体"/>
                <w:kern w:val="0"/>
                <w:szCs w:val="21"/>
              </w:rPr>
            </w:pPr>
            <w:r>
              <w:rPr>
                <w:rFonts w:hint="eastAsia" w:ascii="宋体" w:hAnsi="宋体" w:cs="宋体"/>
                <w:kern w:val="0"/>
                <w:szCs w:val="21"/>
              </w:rPr>
              <w:t xml:space="preserve">    -28.89 </w:t>
            </w:r>
          </w:p>
        </w:tc>
        <w:tc>
          <w:tcPr>
            <w:tcW w:w="993" w:type="dxa"/>
            <w:shd w:val="clear" w:color="auto" w:fill="auto"/>
            <w:vAlign w:val="center"/>
          </w:tcPr>
          <w:p w14:paraId="5FEB69A0">
            <w:pPr>
              <w:widowControl/>
              <w:jc w:val="right"/>
              <w:rPr>
                <w:rFonts w:ascii="宋体" w:hAnsi="宋体" w:cs="宋体"/>
                <w:bCs/>
                <w:kern w:val="0"/>
                <w:szCs w:val="21"/>
              </w:rPr>
            </w:pPr>
            <w:r>
              <w:rPr>
                <w:rFonts w:hint="eastAsia" w:ascii="宋体" w:hAnsi="宋体" w:cs="宋体"/>
                <w:bCs/>
                <w:kern w:val="0"/>
                <w:szCs w:val="21"/>
              </w:rPr>
              <w:t xml:space="preserve">90.57 </w:t>
            </w:r>
          </w:p>
        </w:tc>
        <w:tc>
          <w:tcPr>
            <w:tcW w:w="2192" w:type="dxa"/>
            <w:vMerge w:val="continue"/>
            <w:shd w:val="clear" w:color="auto" w:fill="auto"/>
            <w:vAlign w:val="center"/>
          </w:tcPr>
          <w:p w14:paraId="22D3EC60">
            <w:pPr>
              <w:jc w:val="right"/>
              <w:rPr>
                <w:rFonts w:ascii="宋体" w:hAnsi="宋体" w:cs="宋体"/>
                <w:kern w:val="0"/>
                <w:szCs w:val="21"/>
              </w:rPr>
            </w:pPr>
          </w:p>
        </w:tc>
      </w:tr>
      <w:tr w14:paraId="0C45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82" w:hRule="atLeast"/>
          <w:jc w:val="right"/>
        </w:trPr>
        <w:tc>
          <w:tcPr>
            <w:tcW w:w="2835" w:type="dxa"/>
            <w:shd w:val="clear" w:color="auto" w:fill="auto"/>
            <w:vAlign w:val="center"/>
          </w:tcPr>
          <w:p w14:paraId="0CFA4AA9">
            <w:pPr>
              <w:widowControl/>
              <w:jc w:val="left"/>
              <w:rPr>
                <w:rFonts w:ascii="宋体" w:hAnsi="宋体" w:cs="宋体"/>
                <w:kern w:val="0"/>
                <w:szCs w:val="21"/>
              </w:rPr>
            </w:pPr>
            <w:r>
              <w:rPr>
                <w:rFonts w:hint="eastAsia" w:ascii="宋体" w:hAnsi="宋体" w:cs="宋体"/>
                <w:kern w:val="0"/>
                <w:szCs w:val="21"/>
              </w:rPr>
              <w:t>1、劳动监察网格人员</w:t>
            </w:r>
          </w:p>
        </w:tc>
        <w:tc>
          <w:tcPr>
            <w:tcW w:w="851" w:type="dxa"/>
            <w:shd w:val="clear" w:color="auto" w:fill="auto"/>
            <w:vAlign w:val="center"/>
          </w:tcPr>
          <w:p w14:paraId="71463DF2">
            <w:pPr>
              <w:widowControl/>
              <w:jc w:val="right"/>
              <w:rPr>
                <w:rFonts w:ascii="宋体" w:hAnsi="宋体" w:cs="宋体"/>
                <w:kern w:val="0"/>
                <w:szCs w:val="21"/>
              </w:rPr>
            </w:pPr>
            <w:r>
              <w:rPr>
                <w:rFonts w:hint="eastAsia" w:ascii="宋体" w:hAnsi="宋体" w:cs="宋体"/>
                <w:kern w:val="0"/>
                <w:szCs w:val="21"/>
              </w:rPr>
              <w:t>3.14</w:t>
            </w:r>
          </w:p>
        </w:tc>
        <w:tc>
          <w:tcPr>
            <w:tcW w:w="850" w:type="dxa"/>
            <w:shd w:val="clear" w:color="auto" w:fill="auto"/>
            <w:vAlign w:val="center"/>
          </w:tcPr>
          <w:p w14:paraId="48E4BAD9">
            <w:pPr>
              <w:widowControl/>
              <w:jc w:val="right"/>
              <w:rPr>
                <w:rFonts w:ascii="宋体" w:hAnsi="宋体" w:cs="宋体"/>
                <w:kern w:val="0"/>
                <w:szCs w:val="21"/>
              </w:rPr>
            </w:pPr>
            <w:r>
              <w:rPr>
                <w:rFonts w:hint="eastAsia" w:ascii="宋体" w:hAnsi="宋体" w:cs="宋体"/>
                <w:kern w:val="0"/>
                <w:szCs w:val="21"/>
              </w:rPr>
              <w:t xml:space="preserve">1.50 </w:t>
            </w:r>
          </w:p>
        </w:tc>
        <w:tc>
          <w:tcPr>
            <w:tcW w:w="1134" w:type="dxa"/>
            <w:shd w:val="clear" w:color="auto" w:fill="auto"/>
            <w:vAlign w:val="center"/>
          </w:tcPr>
          <w:p w14:paraId="1F919D6F">
            <w:pPr>
              <w:jc w:val="right"/>
              <w:rPr>
                <w:rFonts w:ascii="宋体" w:hAnsi="宋体" w:cs="宋体"/>
                <w:kern w:val="0"/>
                <w:szCs w:val="21"/>
              </w:rPr>
            </w:pPr>
            <w:r>
              <w:rPr>
                <w:rFonts w:hint="eastAsia" w:ascii="宋体" w:hAnsi="宋体" w:cs="宋体"/>
                <w:kern w:val="0"/>
                <w:szCs w:val="21"/>
              </w:rPr>
              <w:t xml:space="preserve">     -1.64 </w:t>
            </w:r>
          </w:p>
        </w:tc>
        <w:tc>
          <w:tcPr>
            <w:tcW w:w="993" w:type="dxa"/>
            <w:shd w:val="clear" w:color="auto" w:fill="auto"/>
            <w:vAlign w:val="center"/>
          </w:tcPr>
          <w:p w14:paraId="507262B1">
            <w:pPr>
              <w:widowControl/>
              <w:jc w:val="right"/>
              <w:rPr>
                <w:rFonts w:ascii="宋体" w:hAnsi="宋体" w:cs="宋体"/>
                <w:bCs/>
                <w:kern w:val="0"/>
                <w:szCs w:val="21"/>
              </w:rPr>
            </w:pPr>
            <w:r>
              <w:rPr>
                <w:rFonts w:hint="eastAsia" w:ascii="宋体" w:hAnsi="宋体" w:cs="宋体"/>
                <w:bCs/>
                <w:kern w:val="0"/>
                <w:szCs w:val="21"/>
              </w:rPr>
              <w:t xml:space="preserve">47.73 </w:t>
            </w:r>
          </w:p>
        </w:tc>
        <w:tc>
          <w:tcPr>
            <w:tcW w:w="2192" w:type="dxa"/>
            <w:vMerge w:val="continue"/>
            <w:shd w:val="clear" w:color="auto" w:fill="auto"/>
            <w:vAlign w:val="center"/>
          </w:tcPr>
          <w:p w14:paraId="09F9D591">
            <w:pPr>
              <w:jc w:val="right"/>
              <w:rPr>
                <w:rFonts w:ascii="宋体" w:hAnsi="宋体" w:cs="宋体"/>
                <w:kern w:val="0"/>
                <w:szCs w:val="21"/>
              </w:rPr>
            </w:pPr>
          </w:p>
        </w:tc>
      </w:tr>
      <w:tr w14:paraId="5D7C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1B24CBAC">
            <w:pPr>
              <w:widowControl/>
              <w:jc w:val="left"/>
              <w:rPr>
                <w:rFonts w:ascii="宋体" w:hAnsi="宋体" w:cs="宋体"/>
                <w:kern w:val="0"/>
                <w:szCs w:val="21"/>
              </w:rPr>
            </w:pPr>
            <w:r>
              <w:rPr>
                <w:rFonts w:hint="eastAsia" w:ascii="宋体" w:hAnsi="宋体" w:cs="宋体"/>
                <w:kern w:val="0"/>
                <w:szCs w:val="21"/>
              </w:rPr>
              <w:t>2、社区岗位补贴</w:t>
            </w:r>
          </w:p>
        </w:tc>
        <w:tc>
          <w:tcPr>
            <w:tcW w:w="851" w:type="dxa"/>
            <w:shd w:val="clear" w:color="auto" w:fill="auto"/>
            <w:vAlign w:val="center"/>
          </w:tcPr>
          <w:p w14:paraId="5B83CC42">
            <w:pPr>
              <w:widowControl/>
              <w:jc w:val="right"/>
              <w:rPr>
                <w:rFonts w:ascii="宋体" w:hAnsi="宋体" w:cs="宋体"/>
                <w:kern w:val="0"/>
                <w:szCs w:val="21"/>
              </w:rPr>
            </w:pPr>
            <w:r>
              <w:rPr>
                <w:rFonts w:hint="eastAsia" w:ascii="宋体" w:hAnsi="宋体" w:cs="宋体"/>
                <w:kern w:val="0"/>
                <w:szCs w:val="21"/>
              </w:rPr>
              <w:t>217.01</w:t>
            </w:r>
          </w:p>
        </w:tc>
        <w:tc>
          <w:tcPr>
            <w:tcW w:w="850" w:type="dxa"/>
            <w:shd w:val="clear" w:color="auto" w:fill="auto"/>
            <w:vAlign w:val="center"/>
          </w:tcPr>
          <w:p w14:paraId="60B956C6">
            <w:pPr>
              <w:widowControl/>
              <w:jc w:val="right"/>
              <w:rPr>
                <w:rFonts w:ascii="宋体" w:hAnsi="宋体" w:cs="宋体"/>
                <w:bCs/>
                <w:kern w:val="0"/>
                <w:szCs w:val="21"/>
              </w:rPr>
            </w:pPr>
            <w:r>
              <w:rPr>
                <w:rFonts w:hint="eastAsia" w:ascii="宋体" w:hAnsi="宋体" w:cs="宋体"/>
                <w:bCs/>
                <w:kern w:val="0"/>
                <w:szCs w:val="21"/>
              </w:rPr>
              <w:t xml:space="preserve">192.52 </w:t>
            </w:r>
          </w:p>
        </w:tc>
        <w:tc>
          <w:tcPr>
            <w:tcW w:w="1134" w:type="dxa"/>
            <w:shd w:val="clear" w:color="auto" w:fill="auto"/>
            <w:vAlign w:val="center"/>
          </w:tcPr>
          <w:p w14:paraId="6B86712B">
            <w:pPr>
              <w:jc w:val="right"/>
              <w:rPr>
                <w:rFonts w:ascii="宋体" w:hAnsi="宋体" w:cs="宋体"/>
                <w:kern w:val="0"/>
                <w:szCs w:val="21"/>
              </w:rPr>
            </w:pPr>
            <w:r>
              <w:rPr>
                <w:rFonts w:hint="eastAsia" w:ascii="宋体" w:hAnsi="宋体" w:cs="宋体"/>
                <w:kern w:val="0"/>
                <w:szCs w:val="21"/>
              </w:rPr>
              <w:t xml:space="preserve">    -24.49 </w:t>
            </w:r>
          </w:p>
        </w:tc>
        <w:tc>
          <w:tcPr>
            <w:tcW w:w="993" w:type="dxa"/>
            <w:shd w:val="clear" w:color="auto" w:fill="auto"/>
            <w:vAlign w:val="center"/>
          </w:tcPr>
          <w:p w14:paraId="7CA2971B">
            <w:pPr>
              <w:widowControl/>
              <w:jc w:val="right"/>
              <w:rPr>
                <w:rFonts w:ascii="宋体" w:hAnsi="宋体" w:cs="宋体"/>
                <w:bCs/>
                <w:kern w:val="0"/>
                <w:szCs w:val="21"/>
              </w:rPr>
            </w:pPr>
            <w:r>
              <w:rPr>
                <w:rFonts w:hint="eastAsia" w:ascii="宋体" w:hAnsi="宋体" w:cs="宋体"/>
                <w:bCs/>
                <w:kern w:val="0"/>
                <w:szCs w:val="21"/>
              </w:rPr>
              <w:t xml:space="preserve">88.71 </w:t>
            </w:r>
          </w:p>
        </w:tc>
        <w:tc>
          <w:tcPr>
            <w:tcW w:w="2192" w:type="dxa"/>
            <w:vMerge w:val="continue"/>
            <w:shd w:val="clear" w:color="auto" w:fill="auto"/>
            <w:vAlign w:val="center"/>
          </w:tcPr>
          <w:p w14:paraId="068DCB1B">
            <w:pPr>
              <w:jc w:val="right"/>
              <w:rPr>
                <w:rFonts w:ascii="宋体" w:hAnsi="宋体" w:cs="宋体"/>
                <w:kern w:val="0"/>
                <w:szCs w:val="21"/>
              </w:rPr>
            </w:pPr>
          </w:p>
        </w:tc>
      </w:tr>
      <w:tr w14:paraId="493F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3" w:hRule="atLeast"/>
          <w:jc w:val="right"/>
        </w:trPr>
        <w:tc>
          <w:tcPr>
            <w:tcW w:w="2835" w:type="dxa"/>
            <w:shd w:val="clear" w:color="auto" w:fill="auto"/>
            <w:vAlign w:val="center"/>
          </w:tcPr>
          <w:p w14:paraId="368561A5">
            <w:pPr>
              <w:widowControl/>
              <w:jc w:val="left"/>
              <w:rPr>
                <w:rFonts w:ascii="宋体" w:hAnsi="宋体" w:cs="宋体"/>
                <w:kern w:val="0"/>
                <w:szCs w:val="21"/>
              </w:rPr>
            </w:pPr>
            <w:r>
              <w:rPr>
                <w:rFonts w:hint="eastAsia" w:ascii="宋体" w:hAnsi="宋体" w:cs="宋体"/>
                <w:kern w:val="0"/>
                <w:szCs w:val="21"/>
              </w:rPr>
              <w:t>3、社区网格化管理员</w:t>
            </w:r>
          </w:p>
        </w:tc>
        <w:tc>
          <w:tcPr>
            <w:tcW w:w="851" w:type="dxa"/>
            <w:shd w:val="clear" w:color="auto" w:fill="auto"/>
            <w:vAlign w:val="center"/>
          </w:tcPr>
          <w:p w14:paraId="59F4511E">
            <w:pPr>
              <w:widowControl/>
              <w:jc w:val="right"/>
              <w:rPr>
                <w:rFonts w:ascii="宋体" w:hAnsi="宋体" w:cs="宋体"/>
                <w:kern w:val="0"/>
                <w:szCs w:val="21"/>
              </w:rPr>
            </w:pPr>
            <w:r>
              <w:rPr>
                <w:rFonts w:hint="eastAsia" w:ascii="宋体" w:hAnsi="宋体" w:cs="宋体"/>
                <w:kern w:val="0"/>
                <w:szCs w:val="21"/>
              </w:rPr>
              <w:t>86.16</w:t>
            </w:r>
          </w:p>
        </w:tc>
        <w:tc>
          <w:tcPr>
            <w:tcW w:w="850" w:type="dxa"/>
            <w:shd w:val="clear" w:color="auto" w:fill="auto"/>
            <w:vAlign w:val="center"/>
          </w:tcPr>
          <w:p w14:paraId="308AD4C5">
            <w:pPr>
              <w:widowControl/>
              <w:jc w:val="right"/>
              <w:rPr>
                <w:rFonts w:ascii="宋体" w:hAnsi="宋体" w:cs="宋体"/>
                <w:kern w:val="0"/>
                <w:szCs w:val="21"/>
              </w:rPr>
            </w:pPr>
            <w:r>
              <w:rPr>
                <w:rFonts w:hint="eastAsia" w:ascii="宋体" w:hAnsi="宋体" w:cs="宋体"/>
                <w:kern w:val="0"/>
                <w:szCs w:val="21"/>
              </w:rPr>
              <w:t xml:space="preserve">83.41 </w:t>
            </w:r>
          </w:p>
        </w:tc>
        <w:tc>
          <w:tcPr>
            <w:tcW w:w="1134" w:type="dxa"/>
            <w:shd w:val="clear" w:color="auto" w:fill="auto"/>
            <w:vAlign w:val="center"/>
          </w:tcPr>
          <w:p w14:paraId="38F418F2">
            <w:pPr>
              <w:jc w:val="right"/>
              <w:rPr>
                <w:rFonts w:ascii="宋体" w:hAnsi="宋体" w:cs="宋体"/>
                <w:kern w:val="0"/>
                <w:szCs w:val="21"/>
              </w:rPr>
            </w:pPr>
            <w:r>
              <w:rPr>
                <w:rFonts w:hint="eastAsia" w:ascii="宋体" w:hAnsi="宋体" w:cs="宋体"/>
                <w:kern w:val="0"/>
                <w:szCs w:val="21"/>
              </w:rPr>
              <w:t xml:space="preserve">     -2.75 </w:t>
            </w:r>
          </w:p>
        </w:tc>
        <w:tc>
          <w:tcPr>
            <w:tcW w:w="993" w:type="dxa"/>
            <w:shd w:val="clear" w:color="auto" w:fill="auto"/>
            <w:vAlign w:val="center"/>
          </w:tcPr>
          <w:p w14:paraId="6DFC362D">
            <w:pPr>
              <w:widowControl/>
              <w:jc w:val="right"/>
              <w:rPr>
                <w:rFonts w:ascii="宋体" w:hAnsi="宋体" w:cs="宋体"/>
                <w:bCs/>
                <w:kern w:val="0"/>
                <w:szCs w:val="21"/>
              </w:rPr>
            </w:pPr>
            <w:r>
              <w:rPr>
                <w:rFonts w:hint="eastAsia" w:ascii="宋体" w:hAnsi="宋体" w:cs="宋体"/>
                <w:bCs/>
                <w:kern w:val="0"/>
                <w:szCs w:val="21"/>
              </w:rPr>
              <w:t xml:space="preserve">96.81 </w:t>
            </w:r>
          </w:p>
        </w:tc>
        <w:tc>
          <w:tcPr>
            <w:tcW w:w="2192" w:type="dxa"/>
            <w:vMerge w:val="continue"/>
            <w:shd w:val="clear" w:color="auto" w:fill="auto"/>
            <w:vAlign w:val="center"/>
          </w:tcPr>
          <w:p w14:paraId="462CD0E5">
            <w:pPr>
              <w:widowControl/>
              <w:jc w:val="right"/>
              <w:rPr>
                <w:rFonts w:ascii="宋体" w:hAnsi="宋体" w:cs="宋体"/>
                <w:kern w:val="0"/>
                <w:szCs w:val="21"/>
              </w:rPr>
            </w:pPr>
          </w:p>
        </w:tc>
      </w:tr>
      <w:tr w14:paraId="3381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1617952E">
            <w:pPr>
              <w:widowControl/>
              <w:jc w:val="left"/>
              <w:rPr>
                <w:rFonts w:ascii="宋体" w:hAnsi="宋体" w:cs="宋体"/>
                <w:bCs/>
                <w:kern w:val="0"/>
                <w:szCs w:val="21"/>
              </w:rPr>
            </w:pPr>
            <w:r>
              <w:rPr>
                <w:rFonts w:hint="eastAsia" w:ascii="宋体" w:hAnsi="宋体" w:cs="宋体"/>
                <w:bCs/>
                <w:kern w:val="0"/>
                <w:szCs w:val="21"/>
              </w:rPr>
              <w:t>三、抚恤</w:t>
            </w:r>
          </w:p>
        </w:tc>
        <w:tc>
          <w:tcPr>
            <w:tcW w:w="851" w:type="dxa"/>
            <w:shd w:val="clear" w:color="auto" w:fill="auto"/>
            <w:vAlign w:val="center"/>
          </w:tcPr>
          <w:p w14:paraId="00A3E1AD">
            <w:pPr>
              <w:widowControl/>
              <w:jc w:val="right"/>
              <w:rPr>
                <w:rFonts w:ascii="宋体" w:hAnsi="宋体" w:cs="宋体"/>
                <w:bCs/>
                <w:kern w:val="0"/>
                <w:szCs w:val="21"/>
              </w:rPr>
            </w:pPr>
            <w:r>
              <w:rPr>
                <w:rFonts w:hint="eastAsia" w:ascii="宋体" w:hAnsi="宋体" w:cs="宋体"/>
                <w:bCs/>
                <w:kern w:val="0"/>
                <w:szCs w:val="21"/>
              </w:rPr>
              <w:t>3</w:t>
            </w:r>
          </w:p>
        </w:tc>
        <w:tc>
          <w:tcPr>
            <w:tcW w:w="850" w:type="dxa"/>
            <w:shd w:val="clear" w:color="auto" w:fill="auto"/>
            <w:vAlign w:val="center"/>
          </w:tcPr>
          <w:p w14:paraId="24B2C4A9">
            <w:pPr>
              <w:widowControl/>
              <w:jc w:val="right"/>
              <w:rPr>
                <w:rFonts w:ascii="宋体" w:hAnsi="宋体" w:cs="宋体"/>
                <w:bCs/>
                <w:kern w:val="0"/>
                <w:szCs w:val="21"/>
              </w:rPr>
            </w:pPr>
            <w:r>
              <w:rPr>
                <w:rFonts w:hint="eastAsia" w:ascii="宋体" w:hAnsi="宋体" w:cs="宋体"/>
                <w:bCs/>
                <w:kern w:val="0"/>
                <w:szCs w:val="21"/>
              </w:rPr>
              <w:t xml:space="preserve">19.81 </w:t>
            </w:r>
          </w:p>
        </w:tc>
        <w:tc>
          <w:tcPr>
            <w:tcW w:w="1134" w:type="dxa"/>
            <w:shd w:val="clear" w:color="auto" w:fill="auto"/>
            <w:vAlign w:val="center"/>
          </w:tcPr>
          <w:p w14:paraId="6CF9FD3F">
            <w:pPr>
              <w:jc w:val="right"/>
              <w:rPr>
                <w:rFonts w:ascii="宋体" w:hAnsi="宋体" w:cs="宋体"/>
                <w:kern w:val="0"/>
                <w:szCs w:val="21"/>
              </w:rPr>
            </w:pPr>
            <w:r>
              <w:rPr>
                <w:rFonts w:hint="eastAsia" w:ascii="宋体" w:hAnsi="宋体" w:cs="宋体"/>
                <w:kern w:val="0"/>
                <w:szCs w:val="21"/>
              </w:rPr>
              <w:t xml:space="preserve">     16.81 </w:t>
            </w:r>
          </w:p>
        </w:tc>
        <w:tc>
          <w:tcPr>
            <w:tcW w:w="993" w:type="dxa"/>
            <w:shd w:val="clear" w:color="auto" w:fill="auto"/>
            <w:vAlign w:val="center"/>
          </w:tcPr>
          <w:p w14:paraId="72D3737E">
            <w:pPr>
              <w:widowControl/>
              <w:jc w:val="right"/>
              <w:rPr>
                <w:rFonts w:ascii="宋体" w:hAnsi="宋体" w:cs="宋体"/>
                <w:bCs/>
                <w:kern w:val="0"/>
                <w:szCs w:val="21"/>
              </w:rPr>
            </w:pPr>
            <w:r>
              <w:rPr>
                <w:rFonts w:hint="eastAsia" w:ascii="宋体" w:hAnsi="宋体" w:cs="宋体"/>
                <w:bCs/>
                <w:kern w:val="0"/>
                <w:szCs w:val="21"/>
              </w:rPr>
              <w:t xml:space="preserve">660.40 </w:t>
            </w:r>
          </w:p>
        </w:tc>
        <w:tc>
          <w:tcPr>
            <w:tcW w:w="2192" w:type="dxa"/>
            <w:vMerge w:val="restart"/>
            <w:shd w:val="clear" w:color="auto" w:fill="auto"/>
            <w:vAlign w:val="center"/>
          </w:tcPr>
          <w:p w14:paraId="7FF452CD">
            <w:pPr>
              <w:widowControl/>
              <w:jc w:val="left"/>
              <w:rPr>
                <w:rFonts w:ascii="宋体" w:hAnsi="宋体" w:cs="宋体"/>
                <w:color w:val="FF0000"/>
                <w:kern w:val="0"/>
                <w:szCs w:val="21"/>
              </w:rPr>
            </w:pPr>
            <w:r>
              <w:rPr>
                <w:rFonts w:hint="eastAsia" w:ascii="宋体" w:hAnsi="宋体" w:cs="宋体"/>
                <w:kern w:val="0"/>
                <w:szCs w:val="21"/>
              </w:rPr>
              <w:t>除双拥经费外，其他项目列入社发局预算</w:t>
            </w:r>
          </w:p>
        </w:tc>
      </w:tr>
      <w:tr w14:paraId="0FE9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3A8715EB">
            <w:pPr>
              <w:widowControl/>
              <w:jc w:val="left"/>
              <w:rPr>
                <w:rFonts w:ascii="宋体" w:hAnsi="宋体" w:cs="宋体"/>
                <w:kern w:val="0"/>
                <w:szCs w:val="21"/>
              </w:rPr>
            </w:pPr>
            <w:r>
              <w:rPr>
                <w:rFonts w:hint="eastAsia" w:ascii="宋体" w:hAnsi="宋体" w:cs="宋体"/>
                <w:kern w:val="0"/>
                <w:szCs w:val="21"/>
              </w:rPr>
              <w:t>（一）死亡抚恤</w:t>
            </w:r>
          </w:p>
        </w:tc>
        <w:tc>
          <w:tcPr>
            <w:tcW w:w="851" w:type="dxa"/>
            <w:shd w:val="clear" w:color="auto" w:fill="auto"/>
            <w:vAlign w:val="center"/>
          </w:tcPr>
          <w:p w14:paraId="5D095381">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2C46BCE6">
            <w:pPr>
              <w:widowControl/>
              <w:jc w:val="right"/>
              <w:rPr>
                <w:rFonts w:ascii="宋体" w:hAnsi="宋体" w:cs="宋体"/>
                <w:kern w:val="0"/>
                <w:szCs w:val="21"/>
              </w:rPr>
            </w:pPr>
            <w:r>
              <w:rPr>
                <w:rFonts w:hint="eastAsia" w:ascii="宋体" w:hAnsi="宋体" w:cs="宋体"/>
                <w:kern w:val="0"/>
                <w:szCs w:val="21"/>
              </w:rPr>
              <w:t xml:space="preserve">8.26 </w:t>
            </w:r>
          </w:p>
        </w:tc>
        <w:tc>
          <w:tcPr>
            <w:tcW w:w="1134" w:type="dxa"/>
            <w:shd w:val="clear" w:color="auto" w:fill="auto"/>
            <w:vAlign w:val="center"/>
          </w:tcPr>
          <w:p w14:paraId="1075ADC5">
            <w:pPr>
              <w:jc w:val="right"/>
              <w:rPr>
                <w:rFonts w:ascii="宋体" w:hAnsi="宋体" w:cs="宋体"/>
                <w:kern w:val="0"/>
                <w:szCs w:val="21"/>
              </w:rPr>
            </w:pPr>
            <w:r>
              <w:rPr>
                <w:rFonts w:hint="eastAsia" w:ascii="宋体" w:hAnsi="宋体" w:cs="宋体"/>
                <w:kern w:val="0"/>
                <w:szCs w:val="21"/>
              </w:rPr>
              <w:t xml:space="preserve">      8.26 </w:t>
            </w:r>
          </w:p>
        </w:tc>
        <w:tc>
          <w:tcPr>
            <w:tcW w:w="993" w:type="dxa"/>
            <w:shd w:val="clear" w:color="auto" w:fill="auto"/>
            <w:vAlign w:val="center"/>
          </w:tcPr>
          <w:p w14:paraId="4C92D07D">
            <w:pPr>
              <w:widowControl/>
              <w:jc w:val="right"/>
              <w:rPr>
                <w:rFonts w:ascii="宋体" w:hAnsi="宋体" w:cs="宋体"/>
                <w:bCs/>
                <w:kern w:val="0"/>
                <w:szCs w:val="21"/>
              </w:rPr>
            </w:pPr>
            <w:r>
              <w:rPr>
                <w:rFonts w:hint="eastAsia" w:ascii="宋体" w:hAnsi="宋体" w:cs="宋体"/>
                <w:bCs/>
                <w:kern w:val="0"/>
                <w:szCs w:val="21"/>
              </w:rPr>
              <w:t>　</w:t>
            </w:r>
          </w:p>
        </w:tc>
        <w:tc>
          <w:tcPr>
            <w:tcW w:w="2192" w:type="dxa"/>
            <w:vMerge w:val="continue"/>
            <w:shd w:val="clear" w:color="auto" w:fill="auto"/>
            <w:vAlign w:val="center"/>
          </w:tcPr>
          <w:p w14:paraId="78E11FBD">
            <w:pPr>
              <w:jc w:val="left"/>
              <w:rPr>
                <w:rFonts w:ascii="宋体" w:hAnsi="宋体" w:cs="宋体"/>
                <w:color w:val="FF0000"/>
                <w:kern w:val="0"/>
                <w:szCs w:val="21"/>
              </w:rPr>
            </w:pPr>
          </w:p>
        </w:tc>
      </w:tr>
      <w:tr w14:paraId="070C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17BD7A7E">
            <w:pPr>
              <w:widowControl/>
              <w:jc w:val="left"/>
              <w:rPr>
                <w:rFonts w:ascii="宋体" w:hAnsi="宋体" w:cs="宋体"/>
                <w:kern w:val="0"/>
                <w:szCs w:val="21"/>
              </w:rPr>
            </w:pPr>
            <w:r>
              <w:rPr>
                <w:rFonts w:hint="eastAsia" w:ascii="宋体" w:hAnsi="宋体" w:cs="宋体"/>
                <w:kern w:val="0"/>
                <w:szCs w:val="21"/>
              </w:rPr>
              <w:t>（二）伤残抚恤</w:t>
            </w:r>
          </w:p>
        </w:tc>
        <w:tc>
          <w:tcPr>
            <w:tcW w:w="851" w:type="dxa"/>
            <w:shd w:val="clear" w:color="auto" w:fill="auto"/>
            <w:vAlign w:val="center"/>
          </w:tcPr>
          <w:p w14:paraId="6F590F05">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4620B5A0">
            <w:pPr>
              <w:widowControl/>
              <w:jc w:val="right"/>
              <w:rPr>
                <w:rFonts w:ascii="宋体" w:hAnsi="宋体" w:cs="宋体"/>
                <w:kern w:val="0"/>
                <w:szCs w:val="21"/>
              </w:rPr>
            </w:pPr>
            <w:r>
              <w:rPr>
                <w:rFonts w:hint="eastAsia" w:ascii="宋体" w:hAnsi="宋体" w:cs="宋体"/>
                <w:kern w:val="0"/>
                <w:szCs w:val="21"/>
              </w:rPr>
              <w:t xml:space="preserve">3.71 </w:t>
            </w:r>
          </w:p>
        </w:tc>
        <w:tc>
          <w:tcPr>
            <w:tcW w:w="1134" w:type="dxa"/>
            <w:shd w:val="clear" w:color="auto" w:fill="auto"/>
            <w:vAlign w:val="center"/>
          </w:tcPr>
          <w:p w14:paraId="1538DC80">
            <w:pPr>
              <w:jc w:val="right"/>
              <w:rPr>
                <w:rFonts w:ascii="宋体" w:hAnsi="宋体" w:cs="宋体"/>
                <w:kern w:val="0"/>
                <w:szCs w:val="21"/>
              </w:rPr>
            </w:pPr>
            <w:r>
              <w:rPr>
                <w:rFonts w:hint="eastAsia" w:ascii="宋体" w:hAnsi="宋体" w:cs="宋体"/>
                <w:kern w:val="0"/>
                <w:szCs w:val="21"/>
              </w:rPr>
              <w:t xml:space="preserve">      3.71 </w:t>
            </w:r>
          </w:p>
        </w:tc>
        <w:tc>
          <w:tcPr>
            <w:tcW w:w="993" w:type="dxa"/>
            <w:shd w:val="clear" w:color="auto" w:fill="auto"/>
            <w:vAlign w:val="center"/>
          </w:tcPr>
          <w:p w14:paraId="5F208F51">
            <w:pPr>
              <w:widowControl/>
              <w:jc w:val="right"/>
              <w:rPr>
                <w:rFonts w:ascii="宋体" w:hAnsi="宋体" w:cs="宋体"/>
                <w:bCs/>
                <w:kern w:val="0"/>
                <w:szCs w:val="21"/>
              </w:rPr>
            </w:pPr>
            <w:r>
              <w:rPr>
                <w:rFonts w:hint="eastAsia" w:ascii="宋体" w:hAnsi="宋体" w:cs="宋体"/>
                <w:bCs/>
                <w:kern w:val="0"/>
                <w:szCs w:val="21"/>
              </w:rPr>
              <w:t>　</w:t>
            </w:r>
          </w:p>
        </w:tc>
        <w:tc>
          <w:tcPr>
            <w:tcW w:w="2192" w:type="dxa"/>
            <w:vMerge w:val="continue"/>
            <w:shd w:val="clear" w:color="auto" w:fill="auto"/>
            <w:vAlign w:val="center"/>
          </w:tcPr>
          <w:p w14:paraId="592DA0D2">
            <w:pPr>
              <w:jc w:val="left"/>
              <w:rPr>
                <w:rFonts w:ascii="宋体" w:hAnsi="宋体" w:cs="宋体"/>
                <w:kern w:val="0"/>
                <w:szCs w:val="21"/>
              </w:rPr>
            </w:pPr>
          </w:p>
        </w:tc>
      </w:tr>
      <w:tr w14:paraId="1FB6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6B37A8BF">
            <w:pPr>
              <w:widowControl/>
              <w:jc w:val="left"/>
              <w:rPr>
                <w:rFonts w:ascii="宋体" w:hAnsi="宋体" w:cs="宋体"/>
                <w:kern w:val="0"/>
                <w:szCs w:val="21"/>
              </w:rPr>
            </w:pPr>
            <w:r>
              <w:rPr>
                <w:rFonts w:hint="eastAsia" w:ascii="宋体" w:hAnsi="宋体" w:cs="宋体"/>
                <w:kern w:val="0"/>
                <w:szCs w:val="21"/>
              </w:rPr>
              <w:t>（三）在乡复员、退伍军人生活补助</w:t>
            </w:r>
          </w:p>
        </w:tc>
        <w:tc>
          <w:tcPr>
            <w:tcW w:w="851" w:type="dxa"/>
            <w:shd w:val="clear" w:color="auto" w:fill="auto"/>
            <w:vAlign w:val="center"/>
          </w:tcPr>
          <w:p w14:paraId="00A90CA6">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5BCFF1D5">
            <w:pPr>
              <w:widowControl/>
              <w:jc w:val="right"/>
              <w:rPr>
                <w:rFonts w:ascii="宋体" w:hAnsi="宋体" w:cs="宋体"/>
                <w:kern w:val="0"/>
                <w:szCs w:val="21"/>
              </w:rPr>
            </w:pPr>
            <w:r>
              <w:rPr>
                <w:rFonts w:hint="eastAsia" w:ascii="宋体" w:hAnsi="宋体" w:cs="宋体"/>
                <w:kern w:val="0"/>
                <w:szCs w:val="21"/>
              </w:rPr>
              <w:t xml:space="preserve">5.62 </w:t>
            </w:r>
          </w:p>
        </w:tc>
        <w:tc>
          <w:tcPr>
            <w:tcW w:w="1134" w:type="dxa"/>
            <w:shd w:val="clear" w:color="auto" w:fill="auto"/>
            <w:vAlign w:val="center"/>
          </w:tcPr>
          <w:p w14:paraId="621939C7">
            <w:pPr>
              <w:jc w:val="right"/>
              <w:rPr>
                <w:rFonts w:ascii="宋体" w:hAnsi="宋体" w:cs="宋体"/>
                <w:kern w:val="0"/>
                <w:szCs w:val="21"/>
              </w:rPr>
            </w:pPr>
            <w:r>
              <w:rPr>
                <w:rFonts w:hint="eastAsia" w:ascii="宋体" w:hAnsi="宋体" w:cs="宋体"/>
                <w:kern w:val="0"/>
                <w:szCs w:val="21"/>
              </w:rPr>
              <w:t xml:space="preserve">      5.62 </w:t>
            </w:r>
          </w:p>
        </w:tc>
        <w:tc>
          <w:tcPr>
            <w:tcW w:w="993" w:type="dxa"/>
            <w:shd w:val="clear" w:color="auto" w:fill="auto"/>
            <w:vAlign w:val="center"/>
          </w:tcPr>
          <w:p w14:paraId="240BEEF3">
            <w:pPr>
              <w:widowControl/>
              <w:jc w:val="right"/>
              <w:rPr>
                <w:rFonts w:ascii="宋体" w:hAnsi="宋体" w:cs="宋体"/>
                <w:bCs/>
                <w:kern w:val="0"/>
                <w:szCs w:val="21"/>
              </w:rPr>
            </w:pPr>
            <w:r>
              <w:rPr>
                <w:rFonts w:hint="eastAsia" w:ascii="宋体" w:hAnsi="宋体" w:cs="宋体"/>
                <w:bCs/>
                <w:kern w:val="0"/>
                <w:szCs w:val="21"/>
              </w:rPr>
              <w:t>　</w:t>
            </w:r>
          </w:p>
        </w:tc>
        <w:tc>
          <w:tcPr>
            <w:tcW w:w="2192" w:type="dxa"/>
            <w:vMerge w:val="continue"/>
            <w:shd w:val="clear" w:color="auto" w:fill="auto"/>
            <w:vAlign w:val="center"/>
          </w:tcPr>
          <w:p w14:paraId="2F45ADF9">
            <w:pPr>
              <w:jc w:val="left"/>
              <w:rPr>
                <w:rFonts w:ascii="宋体" w:hAnsi="宋体" w:cs="宋体"/>
                <w:color w:val="FF0000"/>
                <w:kern w:val="0"/>
                <w:szCs w:val="21"/>
              </w:rPr>
            </w:pPr>
          </w:p>
        </w:tc>
      </w:tr>
      <w:tr w14:paraId="704F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2B721AC3">
            <w:pPr>
              <w:widowControl/>
              <w:jc w:val="left"/>
              <w:rPr>
                <w:rFonts w:ascii="宋体" w:hAnsi="宋体" w:cs="宋体"/>
                <w:kern w:val="0"/>
                <w:szCs w:val="21"/>
              </w:rPr>
            </w:pPr>
            <w:r>
              <w:rPr>
                <w:rFonts w:hint="eastAsia" w:ascii="宋体" w:hAnsi="宋体" w:cs="宋体"/>
                <w:kern w:val="0"/>
                <w:szCs w:val="21"/>
              </w:rPr>
              <w:t>(四）其他优抚支出</w:t>
            </w:r>
          </w:p>
        </w:tc>
        <w:tc>
          <w:tcPr>
            <w:tcW w:w="851" w:type="dxa"/>
            <w:shd w:val="clear" w:color="auto" w:fill="auto"/>
            <w:vAlign w:val="center"/>
          </w:tcPr>
          <w:p w14:paraId="1AD1AA64">
            <w:pPr>
              <w:widowControl/>
              <w:jc w:val="right"/>
              <w:rPr>
                <w:rFonts w:ascii="宋体" w:hAnsi="宋体" w:cs="宋体"/>
                <w:kern w:val="0"/>
                <w:szCs w:val="21"/>
              </w:rPr>
            </w:pPr>
            <w:r>
              <w:rPr>
                <w:rFonts w:hint="eastAsia" w:ascii="宋体" w:hAnsi="宋体" w:cs="宋体"/>
                <w:kern w:val="0"/>
                <w:szCs w:val="21"/>
              </w:rPr>
              <w:t>3</w:t>
            </w:r>
          </w:p>
        </w:tc>
        <w:tc>
          <w:tcPr>
            <w:tcW w:w="850" w:type="dxa"/>
            <w:shd w:val="clear" w:color="auto" w:fill="auto"/>
            <w:vAlign w:val="center"/>
          </w:tcPr>
          <w:p w14:paraId="4E223A53">
            <w:pPr>
              <w:widowControl/>
              <w:jc w:val="right"/>
              <w:rPr>
                <w:rFonts w:ascii="宋体" w:hAnsi="宋体" w:cs="宋体"/>
                <w:kern w:val="0"/>
                <w:szCs w:val="21"/>
              </w:rPr>
            </w:pPr>
            <w:r>
              <w:rPr>
                <w:rFonts w:hint="eastAsia" w:ascii="宋体" w:hAnsi="宋体" w:cs="宋体"/>
                <w:kern w:val="0"/>
                <w:szCs w:val="21"/>
              </w:rPr>
              <w:t xml:space="preserve">2.23 </w:t>
            </w:r>
          </w:p>
        </w:tc>
        <w:tc>
          <w:tcPr>
            <w:tcW w:w="1134" w:type="dxa"/>
            <w:shd w:val="clear" w:color="auto" w:fill="auto"/>
            <w:vAlign w:val="center"/>
          </w:tcPr>
          <w:p w14:paraId="15C09FF6">
            <w:pPr>
              <w:jc w:val="right"/>
              <w:rPr>
                <w:rFonts w:ascii="宋体" w:hAnsi="宋体" w:cs="宋体"/>
                <w:kern w:val="0"/>
                <w:szCs w:val="21"/>
              </w:rPr>
            </w:pPr>
            <w:r>
              <w:rPr>
                <w:rFonts w:hint="eastAsia" w:ascii="宋体" w:hAnsi="宋体" w:cs="宋体"/>
                <w:kern w:val="0"/>
                <w:szCs w:val="21"/>
              </w:rPr>
              <w:t xml:space="preserve">     -0.77 </w:t>
            </w:r>
          </w:p>
        </w:tc>
        <w:tc>
          <w:tcPr>
            <w:tcW w:w="993" w:type="dxa"/>
            <w:shd w:val="clear" w:color="auto" w:fill="auto"/>
            <w:vAlign w:val="center"/>
          </w:tcPr>
          <w:p w14:paraId="0E3B0DE0">
            <w:pPr>
              <w:widowControl/>
              <w:jc w:val="right"/>
              <w:rPr>
                <w:rFonts w:ascii="宋体" w:hAnsi="宋体" w:cs="宋体"/>
                <w:bCs/>
                <w:kern w:val="0"/>
                <w:szCs w:val="21"/>
              </w:rPr>
            </w:pPr>
            <w:r>
              <w:rPr>
                <w:rFonts w:hint="eastAsia" w:ascii="宋体" w:hAnsi="宋体" w:cs="宋体"/>
                <w:bCs/>
                <w:kern w:val="0"/>
                <w:szCs w:val="21"/>
              </w:rPr>
              <w:t>　</w:t>
            </w:r>
          </w:p>
        </w:tc>
        <w:tc>
          <w:tcPr>
            <w:tcW w:w="2192" w:type="dxa"/>
            <w:vMerge w:val="continue"/>
            <w:shd w:val="clear" w:color="auto" w:fill="auto"/>
            <w:vAlign w:val="center"/>
          </w:tcPr>
          <w:p w14:paraId="3B141152">
            <w:pPr>
              <w:jc w:val="left"/>
              <w:rPr>
                <w:rFonts w:ascii="宋体" w:hAnsi="宋体" w:cs="宋体"/>
                <w:kern w:val="0"/>
                <w:szCs w:val="21"/>
              </w:rPr>
            </w:pPr>
          </w:p>
        </w:tc>
      </w:tr>
      <w:tr w14:paraId="1068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5BDBBF83">
            <w:pPr>
              <w:widowControl/>
              <w:jc w:val="left"/>
              <w:rPr>
                <w:rFonts w:ascii="宋体" w:hAnsi="宋体" w:cs="宋体"/>
                <w:kern w:val="0"/>
                <w:szCs w:val="21"/>
              </w:rPr>
            </w:pPr>
            <w:r>
              <w:rPr>
                <w:rFonts w:hint="eastAsia" w:ascii="宋体" w:hAnsi="宋体" w:cs="宋体"/>
                <w:kern w:val="0"/>
                <w:szCs w:val="21"/>
              </w:rPr>
              <w:t>1、双拥经费</w:t>
            </w:r>
          </w:p>
        </w:tc>
        <w:tc>
          <w:tcPr>
            <w:tcW w:w="851" w:type="dxa"/>
            <w:shd w:val="clear" w:color="auto" w:fill="auto"/>
            <w:vAlign w:val="center"/>
          </w:tcPr>
          <w:p w14:paraId="5AE7AA1D">
            <w:pPr>
              <w:widowControl/>
              <w:jc w:val="right"/>
              <w:rPr>
                <w:rFonts w:ascii="宋体" w:hAnsi="宋体" w:cs="宋体"/>
                <w:kern w:val="0"/>
                <w:szCs w:val="21"/>
              </w:rPr>
            </w:pPr>
            <w:r>
              <w:rPr>
                <w:rFonts w:hint="eastAsia" w:ascii="宋体" w:hAnsi="宋体" w:cs="宋体"/>
                <w:kern w:val="0"/>
                <w:szCs w:val="21"/>
              </w:rPr>
              <w:t>3</w:t>
            </w:r>
          </w:p>
        </w:tc>
        <w:tc>
          <w:tcPr>
            <w:tcW w:w="850" w:type="dxa"/>
            <w:shd w:val="clear" w:color="auto" w:fill="auto"/>
            <w:vAlign w:val="center"/>
          </w:tcPr>
          <w:p w14:paraId="7115BCE2">
            <w:pPr>
              <w:widowControl/>
              <w:jc w:val="right"/>
              <w:rPr>
                <w:rFonts w:ascii="宋体" w:hAnsi="宋体" w:cs="宋体"/>
                <w:kern w:val="0"/>
                <w:szCs w:val="21"/>
              </w:rPr>
            </w:pPr>
            <w:r>
              <w:rPr>
                <w:rFonts w:hint="eastAsia" w:ascii="宋体" w:hAnsi="宋体" w:cs="宋体"/>
                <w:kern w:val="0"/>
                <w:szCs w:val="21"/>
              </w:rPr>
              <w:t xml:space="preserve">2.23 </w:t>
            </w:r>
          </w:p>
        </w:tc>
        <w:tc>
          <w:tcPr>
            <w:tcW w:w="1134" w:type="dxa"/>
            <w:shd w:val="clear" w:color="auto" w:fill="auto"/>
            <w:vAlign w:val="center"/>
          </w:tcPr>
          <w:p w14:paraId="4A5A08C0">
            <w:pPr>
              <w:jc w:val="right"/>
              <w:rPr>
                <w:rFonts w:ascii="宋体" w:hAnsi="宋体" w:cs="宋体"/>
                <w:kern w:val="0"/>
                <w:szCs w:val="21"/>
              </w:rPr>
            </w:pPr>
            <w:r>
              <w:rPr>
                <w:rFonts w:hint="eastAsia" w:ascii="宋体" w:hAnsi="宋体" w:cs="宋体"/>
                <w:kern w:val="0"/>
                <w:szCs w:val="21"/>
              </w:rPr>
              <w:t xml:space="preserve">     -0.77 </w:t>
            </w:r>
          </w:p>
        </w:tc>
        <w:tc>
          <w:tcPr>
            <w:tcW w:w="993" w:type="dxa"/>
            <w:shd w:val="clear" w:color="auto" w:fill="auto"/>
            <w:vAlign w:val="center"/>
          </w:tcPr>
          <w:p w14:paraId="2A3C2C9B">
            <w:pPr>
              <w:widowControl/>
              <w:jc w:val="right"/>
              <w:rPr>
                <w:rFonts w:ascii="宋体" w:hAnsi="宋体" w:cs="宋体"/>
                <w:bCs/>
                <w:kern w:val="0"/>
                <w:szCs w:val="21"/>
              </w:rPr>
            </w:pPr>
            <w:r>
              <w:rPr>
                <w:rFonts w:hint="eastAsia" w:ascii="宋体" w:hAnsi="宋体" w:cs="宋体"/>
                <w:bCs/>
                <w:kern w:val="0"/>
                <w:szCs w:val="21"/>
              </w:rPr>
              <w:t xml:space="preserve">74.35 </w:t>
            </w:r>
          </w:p>
        </w:tc>
        <w:tc>
          <w:tcPr>
            <w:tcW w:w="2192" w:type="dxa"/>
            <w:vMerge w:val="continue"/>
            <w:shd w:val="clear" w:color="auto" w:fill="auto"/>
            <w:vAlign w:val="center"/>
          </w:tcPr>
          <w:p w14:paraId="49F602DC">
            <w:pPr>
              <w:widowControl/>
              <w:jc w:val="left"/>
              <w:rPr>
                <w:rFonts w:ascii="宋体" w:hAnsi="宋体" w:cs="宋体"/>
                <w:kern w:val="0"/>
                <w:szCs w:val="21"/>
              </w:rPr>
            </w:pPr>
          </w:p>
        </w:tc>
      </w:tr>
      <w:tr w14:paraId="691C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7129228D">
            <w:pPr>
              <w:widowControl/>
              <w:jc w:val="left"/>
              <w:rPr>
                <w:rFonts w:ascii="宋体" w:hAnsi="宋体" w:cs="宋体"/>
                <w:bCs/>
                <w:kern w:val="0"/>
                <w:szCs w:val="21"/>
              </w:rPr>
            </w:pPr>
            <w:r>
              <w:rPr>
                <w:rFonts w:hint="eastAsia" w:ascii="宋体" w:hAnsi="宋体" w:cs="宋体"/>
                <w:bCs/>
                <w:kern w:val="0"/>
                <w:szCs w:val="21"/>
              </w:rPr>
              <w:t>四、退役安置</w:t>
            </w:r>
          </w:p>
        </w:tc>
        <w:tc>
          <w:tcPr>
            <w:tcW w:w="851" w:type="dxa"/>
            <w:shd w:val="clear" w:color="auto" w:fill="auto"/>
            <w:vAlign w:val="center"/>
          </w:tcPr>
          <w:p w14:paraId="70F2BA51">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2BD91B83">
            <w:pPr>
              <w:widowControl/>
              <w:jc w:val="right"/>
              <w:rPr>
                <w:rFonts w:ascii="宋体" w:hAnsi="宋体" w:cs="宋体"/>
                <w:kern w:val="0"/>
                <w:szCs w:val="21"/>
              </w:rPr>
            </w:pPr>
            <w:r>
              <w:rPr>
                <w:rFonts w:hint="eastAsia" w:ascii="宋体" w:hAnsi="宋体" w:cs="宋体"/>
                <w:kern w:val="0"/>
                <w:szCs w:val="21"/>
              </w:rPr>
              <w:t xml:space="preserve">16.54 </w:t>
            </w:r>
          </w:p>
        </w:tc>
        <w:tc>
          <w:tcPr>
            <w:tcW w:w="1134" w:type="dxa"/>
            <w:shd w:val="clear" w:color="auto" w:fill="auto"/>
            <w:vAlign w:val="center"/>
          </w:tcPr>
          <w:p w14:paraId="5D018B26">
            <w:pPr>
              <w:jc w:val="right"/>
              <w:rPr>
                <w:rFonts w:ascii="宋体" w:hAnsi="宋体" w:cs="宋体"/>
                <w:kern w:val="0"/>
                <w:szCs w:val="21"/>
              </w:rPr>
            </w:pPr>
            <w:r>
              <w:rPr>
                <w:rFonts w:hint="eastAsia" w:ascii="宋体" w:hAnsi="宋体" w:cs="宋体"/>
                <w:kern w:val="0"/>
                <w:szCs w:val="21"/>
              </w:rPr>
              <w:t xml:space="preserve">     16.54 </w:t>
            </w:r>
          </w:p>
        </w:tc>
        <w:tc>
          <w:tcPr>
            <w:tcW w:w="993" w:type="dxa"/>
            <w:shd w:val="clear" w:color="auto" w:fill="auto"/>
            <w:vAlign w:val="center"/>
          </w:tcPr>
          <w:p w14:paraId="35E077C6">
            <w:pPr>
              <w:widowControl/>
              <w:jc w:val="right"/>
              <w:rPr>
                <w:rFonts w:ascii="宋体" w:hAnsi="宋体" w:cs="宋体"/>
                <w:bCs/>
                <w:kern w:val="0"/>
                <w:szCs w:val="21"/>
              </w:rPr>
            </w:pPr>
          </w:p>
        </w:tc>
        <w:tc>
          <w:tcPr>
            <w:tcW w:w="2192" w:type="dxa"/>
            <w:shd w:val="clear" w:color="auto" w:fill="auto"/>
            <w:vAlign w:val="center"/>
          </w:tcPr>
          <w:p w14:paraId="3DDBD0EF">
            <w:pPr>
              <w:widowControl/>
              <w:jc w:val="left"/>
              <w:rPr>
                <w:rFonts w:ascii="宋体" w:hAnsi="宋体" w:cs="宋体"/>
                <w:kern w:val="0"/>
                <w:szCs w:val="21"/>
              </w:rPr>
            </w:pPr>
            <w:r>
              <w:rPr>
                <w:rFonts w:hint="eastAsia" w:ascii="宋体" w:hAnsi="宋体" w:cs="宋体"/>
                <w:kern w:val="0"/>
                <w:szCs w:val="21"/>
              </w:rPr>
              <w:t>年初未做预算</w:t>
            </w:r>
          </w:p>
        </w:tc>
      </w:tr>
      <w:tr w14:paraId="1C8E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05A52BA5">
            <w:pPr>
              <w:widowControl/>
              <w:jc w:val="left"/>
              <w:rPr>
                <w:rFonts w:ascii="宋体" w:hAnsi="宋体" w:cs="宋体"/>
                <w:bCs/>
                <w:kern w:val="0"/>
                <w:szCs w:val="21"/>
              </w:rPr>
            </w:pPr>
            <w:r>
              <w:rPr>
                <w:rFonts w:hint="eastAsia" w:ascii="宋体" w:hAnsi="宋体" w:cs="宋体"/>
                <w:bCs/>
                <w:kern w:val="0"/>
                <w:szCs w:val="21"/>
              </w:rPr>
              <w:t>五、社会福利</w:t>
            </w:r>
          </w:p>
        </w:tc>
        <w:tc>
          <w:tcPr>
            <w:tcW w:w="851" w:type="dxa"/>
            <w:shd w:val="clear" w:color="auto" w:fill="auto"/>
            <w:vAlign w:val="center"/>
          </w:tcPr>
          <w:p w14:paraId="61EB0CFF">
            <w:pPr>
              <w:widowControl/>
              <w:jc w:val="right"/>
              <w:rPr>
                <w:rFonts w:ascii="宋体" w:hAnsi="宋体"/>
                <w:bCs/>
                <w:kern w:val="0"/>
                <w:szCs w:val="21"/>
              </w:rPr>
            </w:pPr>
            <w:r>
              <w:rPr>
                <w:rFonts w:ascii="宋体" w:hAnsi="宋体"/>
                <w:bCs/>
                <w:kern w:val="0"/>
                <w:szCs w:val="21"/>
              </w:rPr>
              <w:t>32.01</w:t>
            </w:r>
          </w:p>
        </w:tc>
        <w:tc>
          <w:tcPr>
            <w:tcW w:w="850" w:type="dxa"/>
            <w:shd w:val="clear" w:color="auto" w:fill="auto"/>
            <w:vAlign w:val="center"/>
          </w:tcPr>
          <w:p w14:paraId="345DF25B">
            <w:pPr>
              <w:widowControl/>
              <w:jc w:val="right"/>
              <w:rPr>
                <w:rFonts w:ascii="宋体" w:hAnsi="宋体" w:cs="宋体"/>
                <w:bCs/>
                <w:kern w:val="0"/>
                <w:szCs w:val="21"/>
              </w:rPr>
            </w:pPr>
            <w:r>
              <w:rPr>
                <w:rFonts w:hint="eastAsia" w:ascii="宋体" w:hAnsi="宋体" w:cs="宋体"/>
                <w:bCs/>
                <w:kern w:val="0"/>
                <w:szCs w:val="21"/>
              </w:rPr>
              <w:t xml:space="preserve">63.71 </w:t>
            </w:r>
          </w:p>
        </w:tc>
        <w:tc>
          <w:tcPr>
            <w:tcW w:w="1134" w:type="dxa"/>
            <w:shd w:val="clear" w:color="auto" w:fill="auto"/>
            <w:vAlign w:val="center"/>
          </w:tcPr>
          <w:p w14:paraId="0650AC7B">
            <w:pPr>
              <w:jc w:val="right"/>
              <w:rPr>
                <w:rFonts w:ascii="宋体" w:hAnsi="宋体" w:cs="宋体"/>
                <w:kern w:val="0"/>
                <w:szCs w:val="21"/>
              </w:rPr>
            </w:pPr>
            <w:r>
              <w:rPr>
                <w:rFonts w:hint="eastAsia" w:ascii="宋体" w:hAnsi="宋体" w:cs="宋体"/>
                <w:kern w:val="0"/>
                <w:szCs w:val="21"/>
              </w:rPr>
              <w:t xml:space="preserve">     31.70 </w:t>
            </w:r>
          </w:p>
        </w:tc>
        <w:tc>
          <w:tcPr>
            <w:tcW w:w="993" w:type="dxa"/>
            <w:shd w:val="clear" w:color="auto" w:fill="auto"/>
            <w:vAlign w:val="center"/>
          </w:tcPr>
          <w:p w14:paraId="03867D2F">
            <w:pPr>
              <w:widowControl/>
              <w:jc w:val="right"/>
              <w:rPr>
                <w:rFonts w:ascii="宋体" w:hAnsi="宋体" w:cs="宋体"/>
                <w:bCs/>
                <w:kern w:val="0"/>
                <w:szCs w:val="21"/>
              </w:rPr>
            </w:pPr>
            <w:r>
              <w:rPr>
                <w:rFonts w:hint="eastAsia" w:ascii="宋体" w:hAnsi="宋体" w:cs="宋体"/>
                <w:bCs/>
                <w:kern w:val="0"/>
                <w:szCs w:val="21"/>
              </w:rPr>
              <w:t xml:space="preserve">199.02 </w:t>
            </w:r>
          </w:p>
        </w:tc>
        <w:tc>
          <w:tcPr>
            <w:tcW w:w="2192" w:type="dxa"/>
            <w:shd w:val="clear" w:color="auto" w:fill="auto"/>
            <w:vAlign w:val="center"/>
          </w:tcPr>
          <w:p w14:paraId="326FFA10">
            <w:pPr>
              <w:widowControl/>
              <w:jc w:val="left"/>
              <w:rPr>
                <w:rFonts w:ascii="宋体" w:hAnsi="宋体" w:cs="宋体"/>
                <w:kern w:val="0"/>
                <w:szCs w:val="21"/>
              </w:rPr>
            </w:pPr>
          </w:p>
        </w:tc>
      </w:tr>
      <w:tr w14:paraId="7621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450B4484">
            <w:pPr>
              <w:widowControl/>
              <w:jc w:val="left"/>
              <w:rPr>
                <w:rFonts w:ascii="宋体" w:hAnsi="宋体" w:cs="宋体"/>
                <w:kern w:val="0"/>
                <w:szCs w:val="21"/>
              </w:rPr>
            </w:pPr>
            <w:r>
              <w:rPr>
                <w:rFonts w:hint="eastAsia" w:ascii="宋体" w:hAnsi="宋体" w:cs="宋体"/>
                <w:kern w:val="0"/>
                <w:szCs w:val="21"/>
              </w:rPr>
              <w:t>（一）老年福利</w:t>
            </w:r>
          </w:p>
        </w:tc>
        <w:tc>
          <w:tcPr>
            <w:tcW w:w="851" w:type="dxa"/>
            <w:shd w:val="clear" w:color="auto" w:fill="auto"/>
            <w:vAlign w:val="center"/>
          </w:tcPr>
          <w:p w14:paraId="720D1C68">
            <w:pPr>
              <w:widowControl/>
              <w:jc w:val="right"/>
              <w:rPr>
                <w:rFonts w:ascii="宋体" w:hAnsi="宋体"/>
                <w:kern w:val="0"/>
                <w:szCs w:val="21"/>
              </w:rPr>
            </w:pPr>
            <w:r>
              <w:rPr>
                <w:rFonts w:ascii="宋体" w:hAnsi="宋体"/>
                <w:kern w:val="0"/>
                <w:szCs w:val="21"/>
              </w:rPr>
              <w:t>28.55</w:t>
            </w:r>
          </w:p>
        </w:tc>
        <w:tc>
          <w:tcPr>
            <w:tcW w:w="850" w:type="dxa"/>
            <w:shd w:val="clear" w:color="auto" w:fill="auto"/>
            <w:vAlign w:val="center"/>
          </w:tcPr>
          <w:p w14:paraId="088A25EE">
            <w:pPr>
              <w:widowControl/>
              <w:jc w:val="right"/>
              <w:rPr>
                <w:rFonts w:ascii="宋体" w:hAnsi="宋体" w:cs="宋体"/>
                <w:kern w:val="0"/>
                <w:szCs w:val="21"/>
              </w:rPr>
            </w:pPr>
            <w:r>
              <w:rPr>
                <w:rFonts w:hint="eastAsia" w:ascii="宋体" w:hAnsi="宋体" w:cs="宋体"/>
                <w:kern w:val="0"/>
                <w:szCs w:val="21"/>
              </w:rPr>
              <w:t xml:space="preserve">57.83 </w:t>
            </w:r>
          </w:p>
        </w:tc>
        <w:tc>
          <w:tcPr>
            <w:tcW w:w="1134" w:type="dxa"/>
            <w:shd w:val="clear" w:color="auto" w:fill="auto"/>
            <w:vAlign w:val="center"/>
          </w:tcPr>
          <w:p w14:paraId="2EF65D45">
            <w:pPr>
              <w:jc w:val="right"/>
              <w:rPr>
                <w:rFonts w:ascii="宋体" w:hAnsi="宋体" w:cs="宋体"/>
                <w:kern w:val="0"/>
                <w:szCs w:val="21"/>
              </w:rPr>
            </w:pPr>
            <w:r>
              <w:rPr>
                <w:rFonts w:hint="eastAsia" w:ascii="宋体" w:hAnsi="宋体" w:cs="宋体"/>
                <w:kern w:val="0"/>
                <w:szCs w:val="21"/>
              </w:rPr>
              <w:t xml:space="preserve">     29.28 </w:t>
            </w:r>
          </w:p>
        </w:tc>
        <w:tc>
          <w:tcPr>
            <w:tcW w:w="993" w:type="dxa"/>
            <w:shd w:val="clear" w:color="auto" w:fill="auto"/>
            <w:vAlign w:val="center"/>
          </w:tcPr>
          <w:p w14:paraId="2790CABD">
            <w:pPr>
              <w:widowControl/>
              <w:jc w:val="right"/>
              <w:rPr>
                <w:rFonts w:ascii="宋体" w:hAnsi="宋体" w:cs="宋体"/>
                <w:bCs/>
                <w:kern w:val="0"/>
                <w:szCs w:val="21"/>
              </w:rPr>
            </w:pPr>
            <w:r>
              <w:rPr>
                <w:rFonts w:hint="eastAsia" w:ascii="宋体" w:hAnsi="宋体" w:cs="宋体"/>
                <w:bCs/>
                <w:kern w:val="0"/>
                <w:szCs w:val="21"/>
              </w:rPr>
              <w:t xml:space="preserve">202.57 </w:t>
            </w:r>
          </w:p>
        </w:tc>
        <w:tc>
          <w:tcPr>
            <w:tcW w:w="2192" w:type="dxa"/>
            <w:shd w:val="clear" w:color="auto" w:fill="auto"/>
            <w:vAlign w:val="center"/>
          </w:tcPr>
          <w:p w14:paraId="0BFACE34">
            <w:pPr>
              <w:widowControl/>
              <w:jc w:val="left"/>
              <w:rPr>
                <w:rFonts w:ascii="宋体" w:hAnsi="宋体" w:cs="宋体"/>
                <w:kern w:val="0"/>
                <w:szCs w:val="21"/>
              </w:rPr>
            </w:pPr>
            <w:r>
              <w:rPr>
                <w:rFonts w:hint="eastAsia" w:ascii="宋体" w:hAnsi="宋体" w:cs="宋体"/>
                <w:kern w:val="0"/>
                <w:szCs w:val="21"/>
              </w:rPr>
              <w:t>有从转移支付中安排支付的</w:t>
            </w:r>
          </w:p>
        </w:tc>
      </w:tr>
      <w:tr w14:paraId="4804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0" w:hRule="atLeast"/>
          <w:jc w:val="right"/>
        </w:trPr>
        <w:tc>
          <w:tcPr>
            <w:tcW w:w="2835" w:type="dxa"/>
            <w:shd w:val="clear" w:color="auto" w:fill="auto"/>
            <w:vAlign w:val="center"/>
          </w:tcPr>
          <w:p w14:paraId="6961FB5F">
            <w:pPr>
              <w:widowControl/>
              <w:jc w:val="left"/>
              <w:rPr>
                <w:rFonts w:ascii="宋体" w:hAnsi="宋体" w:cs="宋体"/>
                <w:kern w:val="0"/>
                <w:szCs w:val="21"/>
              </w:rPr>
            </w:pPr>
            <w:r>
              <w:rPr>
                <w:rFonts w:hint="eastAsia" w:ascii="宋体" w:hAnsi="宋体" w:cs="宋体"/>
                <w:kern w:val="0"/>
                <w:szCs w:val="21"/>
              </w:rPr>
              <w:t>1、老人生活补贴</w:t>
            </w:r>
          </w:p>
        </w:tc>
        <w:tc>
          <w:tcPr>
            <w:tcW w:w="851" w:type="dxa"/>
            <w:shd w:val="clear" w:color="auto" w:fill="auto"/>
            <w:vAlign w:val="center"/>
          </w:tcPr>
          <w:p w14:paraId="6E1A8EEA">
            <w:pPr>
              <w:widowControl/>
              <w:jc w:val="right"/>
              <w:rPr>
                <w:rFonts w:ascii="宋体" w:hAnsi="宋体"/>
                <w:kern w:val="0"/>
                <w:szCs w:val="21"/>
              </w:rPr>
            </w:pPr>
            <w:r>
              <w:rPr>
                <w:rFonts w:ascii="宋体" w:hAnsi="宋体"/>
                <w:kern w:val="0"/>
                <w:szCs w:val="21"/>
              </w:rPr>
              <w:t>28.55</w:t>
            </w:r>
          </w:p>
        </w:tc>
        <w:tc>
          <w:tcPr>
            <w:tcW w:w="850" w:type="dxa"/>
            <w:shd w:val="clear" w:color="auto" w:fill="auto"/>
            <w:vAlign w:val="center"/>
          </w:tcPr>
          <w:p w14:paraId="577F9BDB">
            <w:pPr>
              <w:widowControl/>
              <w:jc w:val="right"/>
              <w:rPr>
                <w:rFonts w:ascii="宋体" w:hAnsi="宋体" w:cs="宋体"/>
                <w:kern w:val="0"/>
                <w:szCs w:val="21"/>
              </w:rPr>
            </w:pPr>
            <w:r>
              <w:rPr>
                <w:rFonts w:hint="eastAsia" w:ascii="宋体" w:hAnsi="宋体" w:cs="宋体"/>
                <w:kern w:val="0"/>
                <w:szCs w:val="21"/>
              </w:rPr>
              <w:t xml:space="preserve">26.50 </w:t>
            </w:r>
          </w:p>
        </w:tc>
        <w:tc>
          <w:tcPr>
            <w:tcW w:w="1134" w:type="dxa"/>
            <w:shd w:val="clear" w:color="auto" w:fill="auto"/>
            <w:vAlign w:val="center"/>
          </w:tcPr>
          <w:p w14:paraId="36686529">
            <w:pPr>
              <w:jc w:val="right"/>
              <w:rPr>
                <w:rFonts w:ascii="宋体" w:hAnsi="宋体" w:cs="宋体"/>
                <w:kern w:val="0"/>
                <w:szCs w:val="21"/>
              </w:rPr>
            </w:pPr>
            <w:r>
              <w:rPr>
                <w:rFonts w:hint="eastAsia" w:ascii="宋体" w:hAnsi="宋体" w:cs="宋体"/>
                <w:kern w:val="0"/>
                <w:szCs w:val="21"/>
              </w:rPr>
              <w:t xml:space="preserve">     -2.05 </w:t>
            </w:r>
          </w:p>
        </w:tc>
        <w:tc>
          <w:tcPr>
            <w:tcW w:w="993" w:type="dxa"/>
            <w:shd w:val="clear" w:color="auto" w:fill="auto"/>
            <w:vAlign w:val="center"/>
          </w:tcPr>
          <w:p w14:paraId="7F9E0564">
            <w:pPr>
              <w:widowControl/>
              <w:jc w:val="right"/>
              <w:rPr>
                <w:rFonts w:ascii="宋体" w:hAnsi="宋体" w:cs="宋体"/>
                <w:bCs/>
                <w:kern w:val="0"/>
                <w:szCs w:val="21"/>
              </w:rPr>
            </w:pPr>
            <w:r>
              <w:rPr>
                <w:rFonts w:hint="eastAsia" w:ascii="宋体" w:hAnsi="宋体" w:cs="宋体"/>
                <w:bCs/>
                <w:kern w:val="0"/>
                <w:szCs w:val="21"/>
              </w:rPr>
              <w:t xml:space="preserve">92.82 </w:t>
            </w:r>
          </w:p>
        </w:tc>
        <w:tc>
          <w:tcPr>
            <w:tcW w:w="2192" w:type="dxa"/>
            <w:shd w:val="clear" w:color="auto" w:fill="auto"/>
            <w:vAlign w:val="center"/>
          </w:tcPr>
          <w:p w14:paraId="150418C2">
            <w:pPr>
              <w:widowControl/>
              <w:jc w:val="left"/>
              <w:rPr>
                <w:rFonts w:ascii="宋体" w:hAnsi="宋体" w:cs="宋体"/>
                <w:kern w:val="0"/>
                <w:szCs w:val="21"/>
              </w:rPr>
            </w:pPr>
          </w:p>
        </w:tc>
      </w:tr>
      <w:tr w14:paraId="22F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9" w:hRule="atLeast"/>
          <w:jc w:val="right"/>
        </w:trPr>
        <w:tc>
          <w:tcPr>
            <w:tcW w:w="2835" w:type="dxa"/>
            <w:shd w:val="clear" w:color="auto" w:fill="auto"/>
            <w:vAlign w:val="center"/>
          </w:tcPr>
          <w:p w14:paraId="17C5F268">
            <w:pPr>
              <w:widowControl/>
              <w:jc w:val="left"/>
              <w:rPr>
                <w:rFonts w:ascii="宋体" w:hAnsi="宋体" w:cs="宋体"/>
                <w:kern w:val="0"/>
                <w:szCs w:val="21"/>
              </w:rPr>
            </w:pPr>
            <w:r>
              <w:rPr>
                <w:rFonts w:hint="eastAsia" w:ascii="宋体" w:hAnsi="宋体" w:cs="宋体"/>
                <w:kern w:val="0"/>
                <w:szCs w:val="21"/>
              </w:rPr>
              <w:t>2、居家养老护理服务</w:t>
            </w:r>
          </w:p>
        </w:tc>
        <w:tc>
          <w:tcPr>
            <w:tcW w:w="851" w:type="dxa"/>
            <w:shd w:val="clear" w:color="auto" w:fill="auto"/>
            <w:vAlign w:val="center"/>
          </w:tcPr>
          <w:p w14:paraId="5D25EDA9">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1A6E4C14">
            <w:pPr>
              <w:widowControl/>
              <w:jc w:val="right"/>
              <w:rPr>
                <w:rFonts w:ascii="宋体" w:hAnsi="宋体" w:cs="宋体"/>
                <w:kern w:val="0"/>
                <w:szCs w:val="21"/>
              </w:rPr>
            </w:pPr>
            <w:r>
              <w:rPr>
                <w:rFonts w:hint="eastAsia" w:ascii="宋体" w:hAnsi="宋体" w:cs="宋体"/>
                <w:kern w:val="0"/>
                <w:szCs w:val="21"/>
              </w:rPr>
              <w:t xml:space="preserve">1.53 </w:t>
            </w:r>
          </w:p>
        </w:tc>
        <w:tc>
          <w:tcPr>
            <w:tcW w:w="1134" w:type="dxa"/>
            <w:shd w:val="clear" w:color="auto" w:fill="auto"/>
            <w:vAlign w:val="center"/>
          </w:tcPr>
          <w:p w14:paraId="700F6EEF">
            <w:pPr>
              <w:jc w:val="right"/>
              <w:rPr>
                <w:rFonts w:ascii="宋体" w:hAnsi="宋体" w:cs="宋体"/>
                <w:kern w:val="0"/>
                <w:szCs w:val="21"/>
              </w:rPr>
            </w:pPr>
            <w:r>
              <w:rPr>
                <w:rFonts w:hint="eastAsia" w:ascii="宋体" w:hAnsi="宋体" w:cs="宋体"/>
                <w:kern w:val="0"/>
                <w:szCs w:val="21"/>
              </w:rPr>
              <w:t xml:space="preserve">      1.53 </w:t>
            </w:r>
          </w:p>
        </w:tc>
        <w:tc>
          <w:tcPr>
            <w:tcW w:w="993" w:type="dxa"/>
            <w:shd w:val="clear" w:color="auto" w:fill="auto"/>
            <w:vAlign w:val="center"/>
          </w:tcPr>
          <w:p w14:paraId="567B7F44">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17EE28E3">
            <w:pPr>
              <w:widowControl/>
              <w:jc w:val="left"/>
              <w:rPr>
                <w:rFonts w:ascii="宋体" w:hAnsi="宋体" w:cs="宋体"/>
                <w:kern w:val="0"/>
                <w:szCs w:val="21"/>
              </w:rPr>
            </w:pPr>
            <w:r>
              <w:rPr>
                <w:rFonts w:hint="eastAsia" w:ascii="宋体" w:hAnsi="宋体" w:cs="宋体"/>
                <w:kern w:val="0"/>
                <w:szCs w:val="21"/>
              </w:rPr>
              <w:t>年初未做预算</w:t>
            </w:r>
          </w:p>
        </w:tc>
      </w:tr>
      <w:tr w14:paraId="728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9" w:hRule="atLeast"/>
          <w:jc w:val="right"/>
        </w:trPr>
        <w:tc>
          <w:tcPr>
            <w:tcW w:w="2835" w:type="dxa"/>
            <w:shd w:val="clear" w:color="auto" w:fill="auto"/>
            <w:vAlign w:val="center"/>
          </w:tcPr>
          <w:p w14:paraId="678395D2">
            <w:pPr>
              <w:widowControl/>
              <w:jc w:val="left"/>
              <w:rPr>
                <w:rFonts w:ascii="宋体" w:hAnsi="宋体" w:cs="宋体"/>
                <w:color w:val="000000"/>
                <w:kern w:val="0"/>
                <w:szCs w:val="21"/>
              </w:rPr>
            </w:pPr>
            <w:r>
              <w:rPr>
                <w:rFonts w:hint="eastAsia" w:ascii="宋体" w:hAnsi="宋体" w:cs="宋体"/>
                <w:color w:val="000000"/>
                <w:kern w:val="0"/>
                <w:szCs w:val="21"/>
              </w:rPr>
              <w:t>3、上级专款－武财社拨付2017年残联老年经费</w:t>
            </w:r>
          </w:p>
        </w:tc>
        <w:tc>
          <w:tcPr>
            <w:tcW w:w="851" w:type="dxa"/>
            <w:shd w:val="clear" w:color="auto" w:fill="auto"/>
            <w:vAlign w:val="center"/>
          </w:tcPr>
          <w:p w14:paraId="31DF8948">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5C352AB2">
            <w:pPr>
              <w:widowControl/>
              <w:jc w:val="right"/>
              <w:rPr>
                <w:rFonts w:ascii="宋体" w:hAnsi="宋体" w:cs="宋体"/>
                <w:kern w:val="0"/>
                <w:szCs w:val="21"/>
              </w:rPr>
            </w:pPr>
            <w:r>
              <w:rPr>
                <w:rFonts w:hint="eastAsia" w:ascii="宋体" w:hAnsi="宋体" w:cs="宋体"/>
                <w:kern w:val="0"/>
                <w:szCs w:val="21"/>
              </w:rPr>
              <w:t xml:space="preserve">4.30 </w:t>
            </w:r>
          </w:p>
        </w:tc>
        <w:tc>
          <w:tcPr>
            <w:tcW w:w="1134" w:type="dxa"/>
            <w:shd w:val="clear" w:color="auto" w:fill="auto"/>
            <w:vAlign w:val="center"/>
          </w:tcPr>
          <w:p w14:paraId="2438B6E2">
            <w:pPr>
              <w:jc w:val="right"/>
              <w:rPr>
                <w:rFonts w:ascii="宋体" w:hAnsi="宋体" w:cs="宋体"/>
                <w:kern w:val="0"/>
                <w:szCs w:val="21"/>
              </w:rPr>
            </w:pPr>
            <w:r>
              <w:rPr>
                <w:rFonts w:hint="eastAsia" w:ascii="宋体" w:hAnsi="宋体" w:cs="宋体"/>
                <w:kern w:val="0"/>
                <w:szCs w:val="21"/>
              </w:rPr>
              <w:t xml:space="preserve">      4.30 </w:t>
            </w:r>
          </w:p>
        </w:tc>
        <w:tc>
          <w:tcPr>
            <w:tcW w:w="993" w:type="dxa"/>
            <w:shd w:val="clear" w:color="auto" w:fill="auto"/>
            <w:vAlign w:val="center"/>
          </w:tcPr>
          <w:p w14:paraId="1D5B0FF5">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14977CE8">
            <w:pPr>
              <w:widowControl/>
              <w:jc w:val="left"/>
              <w:rPr>
                <w:rFonts w:ascii="宋体" w:hAnsi="宋体" w:cs="宋体"/>
                <w:kern w:val="0"/>
                <w:szCs w:val="21"/>
              </w:rPr>
            </w:pPr>
            <w:r>
              <w:rPr>
                <w:rFonts w:hint="eastAsia" w:ascii="宋体" w:hAnsi="宋体" w:cs="宋体"/>
                <w:kern w:val="0"/>
                <w:szCs w:val="21"/>
              </w:rPr>
              <w:t>从转移支付中安排支付</w:t>
            </w:r>
          </w:p>
        </w:tc>
      </w:tr>
      <w:tr w14:paraId="0A35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9" w:hRule="atLeast"/>
          <w:jc w:val="right"/>
        </w:trPr>
        <w:tc>
          <w:tcPr>
            <w:tcW w:w="2835" w:type="dxa"/>
            <w:shd w:val="clear" w:color="auto" w:fill="auto"/>
            <w:vAlign w:val="center"/>
          </w:tcPr>
          <w:p w14:paraId="1A35DF44">
            <w:pPr>
              <w:widowControl/>
              <w:jc w:val="left"/>
              <w:rPr>
                <w:rFonts w:ascii="宋体" w:hAnsi="宋体" w:cs="宋体"/>
                <w:color w:val="000000"/>
                <w:kern w:val="0"/>
                <w:szCs w:val="21"/>
              </w:rPr>
            </w:pPr>
            <w:r>
              <w:rPr>
                <w:rFonts w:hint="eastAsia" w:ascii="宋体" w:hAnsi="宋体" w:cs="宋体"/>
                <w:color w:val="000000"/>
                <w:kern w:val="0"/>
                <w:szCs w:val="21"/>
              </w:rPr>
              <w:t>4、上年结转－武财社关于2016年市级民政转移支付资金的通知</w:t>
            </w:r>
          </w:p>
        </w:tc>
        <w:tc>
          <w:tcPr>
            <w:tcW w:w="851" w:type="dxa"/>
            <w:shd w:val="clear" w:color="auto" w:fill="auto"/>
            <w:vAlign w:val="center"/>
          </w:tcPr>
          <w:p w14:paraId="5FD12135">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6135D4F2">
            <w:pPr>
              <w:widowControl/>
              <w:jc w:val="right"/>
              <w:rPr>
                <w:rFonts w:ascii="宋体" w:hAnsi="宋体" w:cs="宋体"/>
                <w:kern w:val="0"/>
                <w:szCs w:val="21"/>
              </w:rPr>
            </w:pPr>
            <w:r>
              <w:rPr>
                <w:rFonts w:hint="eastAsia" w:ascii="宋体" w:hAnsi="宋体" w:cs="宋体"/>
                <w:kern w:val="0"/>
                <w:szCs w:val="21"/>
              </w:rPr>
              <w:t xml:space="preserve">0.90 </w:t>
            </w:r>
          </w:p>
        </w:tc>
        <w:tc>
          <w:tcPr>
            <w:tcW w:w="1134" w:type="dxa"/>
            <w:shd w:val="clear" w:color="auto" w:fill="auto"/>
            <w:vAlign w:val="center"/>
          </w:tcPr>
          <w:p w14:paraId="5971C4AF">
            <w:pPr>
              <w:jc w:val="right"/>
              <w:rPr>
                <w:rFonts w:ascii="宋体" w:hAnsi="宋体" w:cs="宋体"/>
                <w:kern w:val="0"/>
                <w:szCs w:val="21"/>
              </w:rPr>
            </w:pPr>
            <w:r>
              <w:rPr>
                <w:rFonts w:hint="eastAsia" w:ascii="宋体" w:hAnsi="宋体" w:cs="宋体"/>
                <w:kern w:val="0"/>
                <w:szCs w:val="21"/>
              </w:rPr>
              <w:t xml:space="preserve">      0.90 </w:t>
            </w:r>
          </w:p>
        </w:tc>
        <w:tc>
          <w:tcPr>
            <w:tcW w:w="993" w:type="dxa"/>
            <w:shd w:val="clear" w:color="auto" w:fill="auto"/>
            <w:vAlign w:val="center"/>
          </w:tcPr>
          <w:p w14:paraId="780C15F3">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46D91A0E">
            <w:pPr>
              <w:widowControl/>
              <w:jc w:val="left"/>
              <w:rPr>
                <w:rFonts w:ascii="宋体" w:hAnsi="宋体" w:cs="宋体"/>
                <w:kern w:val="0"/>
                <w:szCs w:val="21"/>
              </w:rPr>
            </w:pPr>
            <w:r>
              <w:rPr>
                <w:rFonts w:hint="eastAsia" w:ascii="宋体" w:hAnsi="宋体" w:cs="宋体"/>
                <w:kern w:val="0"/>
                <w:szCs w:val="21"/>
              </w:rPr>
              <w:t>从转移支付中安排支付</w:t>
            </w:r>
          </w:p>
        </w:tc>
      </w:tr>
      <w:tr w14:paraId="3633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9" w:hRule="atLeast"/>
          <w:jc w:val="right"/>
        </w:trPr>
        <w:tc>
          <w:tcPr>
            <w:tcW w:w="2835" w:type="dxa"/>
            <w:shd w:val="clear" w:color="auto" w:fill="auto"/>
            <w:vAlign w:val="center"/>
          </w:tcPr>
          <w:p w14:paraId="581FCA37">
            <w:pPr>
              <w:widowControl/>
              <w:jc w:val="left"/>
              <w:rPr>
                <w:rFonts w:ascii="宋体" w:hAnsi="宋体" w:cs="宋体"/>
                <w:color w:val="000000"/>
                <w:kern w:val="0"/>
                <w:szCs w:val="21"/>
              </w:rPr>
            </w:pPr>
            <w:r>
              <w:rPr>
                <w:rFonts w:hint="eastAsia" w:ascii="宋体" w:hAnsi="宋体" w:cs="宋体"/>
                <w:color w:val="000000"/>
                <w:kern w:val="0"/>
                <w:szCs w:val="21"/>
              </w:rPr>
              <w:t>5、上年结转－武财社关于2016年市级民政转移支付资金</w:t>
            </w:r>
          </w:p>
        </w:tc>
        <w:tc>
          <w:tcPr>
            <w:tcW w:w="851" w:type="dxa"/>
            <w:shd w:val="clear" w:color="auto" w:fill="auto"/>
            <w:vAlign w:val="center"/>
          </w:tcPr>
          <w:p w14:paraId="630FF0EB">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175AFEE9">
            <w:pPr>
              <w:widowControl/>
              <w:jc w:val="right"/>
              <w:rPr>
                <w:rFonts w:ascii="宋体" w:hAnsi="宋体" w:cs="宋体"/>
                <w:kern w:val="0"/>
                <w:szCs w:val="21"/>
              </w:rPr>
            </w:pPr>
            <w:r>
              <w:rPr>
                <w:rFonts w:hint="eastAsia" w:ascii="宋体" w:hAnsi="宋体" w:cs="宋体"/>
                <w:kern w:val="0"/>
                <w:szCs w:val="21"/>
              </w:rPr>
              <w:t xml:space="preserve">24.60 </w:t>
            </w:r>
          </w:p>
        </w:tc>
        <w:tc>
          <w:tcPr>
            <w:tcW w:w="1134" w:type="dxa"/>
            <w:shd w:val="clear" w:color="auto" w:fill="auto"/>
            <w:vAlign w:val="center"/>
          </w:tcPr>
          <w:p w14:paraId="3700FB84">
            <w:pPr>
              <w:jc w:val="right"/>
              <w:rPr>
                <w:rFonts w:ascii="宋体" w:hAnsi="宋体" w:cs="宋体"/>
                <w:kern w:val="0"/>
                <w:szCs w:val="21"/>
              </w:rPr>
            </w:pPr>
            <w:r>
              <w:rPr>
                <w:rFonts w:hint="eastAsia" w:ascii="宋体" w:hAnsi="宋体" w:cs="宋体"/>
                <w:kern w:val="0"/>
                <w:szCs w:val="21"/>
              </w:rPr>
              <w:t xml:space="preserve">     24.60 </w:t>
            </w:r>
          </w:p>
        </w:tc>
        <w:tc>
          <w:tcPr>
            <w:tcW w:w="993" w:type="dxa"/>
            <w:shd w:val="clear" w:color="auto" w:fill="auto"/>
            <w:vAlign w:val="center"/>
          </w:tcPr>
          <w:p w14:paraId="2508DA59">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6A885EE7">
            <w:pPr>
              <w:widowControl/>
              <w:jc w:val="left"/>
              <w:rPr>
                <w:rFonts w:ascii="宋体" w:hAnsi="宋体" w:cs="宋体"/>
                <w:kern w:val="0"/>
                <w:szCs w:val="21"/>
              </w:rPr>
            </w:pPr>
            <w:r>
              <w:rPr>
                <w:rFonts w:hint="eastAsia" w:ascii="宋体" w:hAnsi="宋体" w:cs="宋体"/>
                <w:kern w:val="0"/>
                <w:szCs w:val="21"/>
              </w:rPr>
              <w:t>从转移支付中安排支付</w:t>
            </w:r>
          </w:p>
        </w:tc>
      </w:tr>
      <w:tr w14:paraId="094D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33A33661">
            <w:pPr>
              <w:widowControl/>
              <w:jc w:val="left"/>
              <w:rPr>
                <w:rFonts w:ascii="宋体" w:hAnsi="宋体" w:cs="宋体"/>
                <w:kern w:val="0"/>
                <w:szCs w:val="21"/>
              </w:rPr>
            </w:pPr>
            <w:r>
              <w:rPr>
                <w:rFonts w:hint="eastAsia" w:ascii="宋体" w:hAnsi="宋体" w:cs="宋体"/>
                <w:kern w:val="0"/>
                <w:szCs w:val="21"/>
              </w:rPr>
              <w:t>（二）丧葬管理事务经费</w:t>
            </w:r>
          </w:p>
        </w:tc>
        <w:tc>
          <w:tcPr>
            <w:tcW w:w="851" w:type="dxa"/>
            <w:shd w:val="clear" w:color="auto" w:fill="auto"/>
            <w:vAlign w:val="center"/>
          </w:tcPr>
          <w:p w14:paraId="39BA5BC4">
            <w:pPr>
              <w:widowControl/>
              <w:jc w:val="right"/>
              <w:rPr>
                <w:rFonts w:ascii="宋体" w:hAnsi="宋体"/>
                <w:kern w:val="0"/>
                <w:szCs w:val="21"/>
              </w:rPr>
            </w:pPr>
            <w:r>
              <w:rPr>
                <w:rFonts w:ascii="宋体" w:hAnsi="宋体"/>
                <w:kern w:val="0"/>
                <w:szCs w:val="21"/>
              </w:rPr>
              <w:t>3</w:t>
            </w:r>
          </w:p>
        </w:tc>
        <w:tc>
          <w:tcPr>
            <w:tcW w:w="850" w:type="dxa"/>
            <w:shd w:val="clear" w:color="auto" w:fill="auto"/>
            <w:vAlign w:val="center"/>
          </w:tcPr>
          <w:p w14:paraId="3062D89E">
            <w:pPr>
              <w:widowControl/>
              <w:jc w:val="right"/>
              <w:rPr>
                <w:rFonts w:ascii="宋体" w:hAnsi="宋体" w:cs="宋体"/>
                <w:kern w:val="0"/>
                <w:szCs w:val="21"/>
              </w:rPr>
            </w:pPr>
            <w:r>
              <w:rPr>
                <w:rFonts w:hint="eastAsia" w:ascii="宋体" w:hAnsi="宋体" w:cs="宋体"/>
                <w:kern w:val="0"/>
                <w:szCs w:val="21"/>
              </w:rPr>
              <w:t xml:space="preserve">0.09 </w:t>
            </w:r>
          </w:p>
        </w:tc>
        <w:tc>
          <w:tcPr>
            <w:tcW w:w="1134" w:type="dxa"/>
            <w:shd w:val="clear" w:color="auto" w:fill="auto"/>
            <w:vAlign w:val="center"/>
          </w:tcPr>
          <w:p w14:paraId="0F91B21A">
            <w:pPr>
              <w:jc w:val="right"/>
              <w:rPr>
                <w:rFonts w:ascii="宋体" w:hAnsi="宋体" w:cs="宋体"/>
                <w:kern w:val="0"/>
                <w:szCs w:val="21"/>
              </w:rPr>
            </w:pPr>
            <w:r>
              <w:rPr>
                <w:rFonts w:hint="eastAsia" w:ascii="宋体" w:hAnsi="宋体" w:cs="宋体"/>
                <w:kern w:val="0"/>
                <w:szCs w:val="21"/>
              </w:rPr>
              <w:t xml:space="preserve">     -2.91 </w:t>
            </w:r>
          </w:p>
        </w:tc>
        <w:tc>
          <w:tcPr>
            <w:tcW w:w="993" w:type="dxa"/>
            <w:shd w:val="clear" w:color="auto" w:fill="auto"/>
            <w:vAlign w:val="center"/>
          </w:tcPr>
          <w:p w14:paraId="2F1FDB9D">
            <w:pPr>
              <w:widowControl/>
              <w:jc w:val="right"/>
              <w:rPr>
                <w:rFonts w:ascii="宋体" w:hAnsi="宋体" w:cs="宋体"/>
                <w:bCs/>
                <w:kern w:val="0"/>
                <w:szCs w:val="21"/>
              </w:rPr>
            </w:pPr>
            <w:r>
              <w:rPr>
                <w:rFonts w:hint="eastAsia" w:ascii="宋体" w:hAnsi="宋体" w:cs="宋体"/>
                <w:bCs/>
                <w:kern w:val="0"/>
                <w:szCs w:val="21"/>
              </w:rPr>
              <w:t xml:space="preserve">3.08 </w:t>
            </w:r>
          </w:p>
        </w:tc>
        <w:tc>
          <w:tcPr>
            <w:tcW w:w="2192" w:type="dxa"/>
            <w:shd w:val="clear" w:color="auto" w:fill="auto"/>
            <w:vAlign w:val="center"/>
          </w:tcPr>
          <w:p w14:paraId="5F67C76C">
            <w:pPr>
              <w:widowControl/>
              <w:jc w:val="left"/>
              <w:rPr>
                <w:rFonts w:ascii="宋体" w:hAnsi="宋体" w:cs="宋体"/>
                <w:kern w:val="0"/>
                <w:szCs w:val="21"/>
              </w:rPr>
            </w:pPr>
          </w:p>
        </w:tc>
      </w:tr>
      <w:tr w14:paraId="73CC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3A47A88B">
            <w:pPr>
              <w:widowControl/>
              <w:jc w:val="left"/>
              <w:rPr>
                <w:rFonts w:ascii="宋体" w:hAnsi="宋体" w:cs="宋体"/>
                <w:kern w:val="0"/>
                <w:szCs w:val="21"/>
              </w:rPr>
            </w:pPr>
            <w:r>
              <w:rPr>
                <w:rFonts w:hint="eastAsia" w:ascii="宋体" w:hAnsi="宋体" w:cs="宋体"/>
                <w:kern w:val="0"/>
                <w:szCs w:val="21"/>
              </w:rPr>
              <w:t>（三）40%救济对象生活费</w:t>
            </w:r>
          </w:p>
        </w:tc>
        <w:tc>
          <w:tcPr>
            <w:tcW w:w="851" w:type="dxa"/>
            <w:shd w:val="clear" w:color="auto" w:fill="auto"/>
            <w:vAlign w:val="center"/>
          </w:tcPr>
          <w:p w14:paraId="19C7D23E">
            <w:pPr>
              <w:widowControl/>
              <w:jc w:val="right"/>
              <w:rPr>
                <w:rFonts w:ascii="宋体" w:hAnsi="宋体"/>
                <w:kern w:val="0"/>
                <w:szCs w:val="21"/>
              </w:rPr>
            </w:pPr>
            <w:r>
              <w:rPr>
                <w:rFonts w:ascii="宋体" w:hAnsi="宋体"/>
                <w:kern w:val="0"/>
                <w:szCs w:val="21"/>
              </w:rPr>
              <w:t>0.46</w:t>
            </w:r>
          </w:p>
        </w:tc>
        <w:tc>
          <w:tcPr>
            <w:tcW w:w="850" w:type="dxa"/>
            <w:shd w:val="clear" w:color="auto" w:fill="auto"/>
            <w:vAlign w:val="center"/>
          </w:tcPr>
          <w:p w14:paraId="52B87775">
            <w:pPr>
              <w:widowControl/>
              <w:jc w:val="right"/>
              <w:rPr>
                <w:rFonts w:ascii="宋体" w:hAnsi="宋体" w:cs="宋体"/>
                <w:kern w:val="0"/>
                <w:szCs w:val="21"/>
              </w:rPr>
            </w:pPr>
            <w:r>
              <w:rPr>
                <w:rFonts w:hint="eastAsia" w:ascii="宋体" w:hAnsi="宋体" w:cs="宋体"/>
                <w:kern w:val="0"/>
                <w:szCs w:val="21"/>
              </w:rPr>
              <w:t xml:space="preserve">0.46 </w:t>
            </w:r>
          </w:p>
        </w:tc>
        <w:tc>
          <w:tcPr>
            <w:tcW w:w="1134" w:type="dxa"/>
            <w:shd w:val="clear" w:color="auto" w:fill="auto"/>
            <w:vAlign w:val="center"/>
          </w:tcPr>
          <w:p w14:paraId="65FFDDD4">
            <w:pPr>
              <w:jc w:val="right"/>
              <w:rPr>
                <w:rFonts w:ascii="宋体" w:hAnsi="宋体" w:cs="宋体"/>
                <w:kern w:val="0"/>
                <w:szCs w:val="21"/>
              </w:rPr>
            </w:pPr>
            <w:r>
              <w:rPr>
                <w:rFonts w:hint="eastAsia" w:ascii="宋体" w:hAnsi="宋体" w:cs="宋体"/>
                <w:kern w:val="0"/>
                <w:szCs w:val="21"/>
              </w:rPr>
              <w:t xml:space="preserve">       -   </w:t>
            </w:r>
          </w:p>
        </w:tc>
        <w:tc>
          <w:tcPr>
            <w:tcW w:w="993" w:type="dxa"/>
            <w:shd w:val="clear" w:color="auto" w:fill="auto"/>
            <w:vAlign w:val="center"/>
          </w:tcPr>
          <w:p w14:paraId="6EACB41B">
            <w:pPr>
              <w:widowControl/>
              <w:jc w:val="right"/>
              <w:rPr>
                <w:rFonts w:ascii="宋体" w:hAnsi="宋体" w:cs="宋体"/>
                <w:bCs/>
                <w:kern w:val="0"/>
                <w:szCs w:val="21"/>
              </w:rPr>
            </w:pPr>
            <w:r>
              <w:rPr>
                <w:rFonts w:hint="eastAsia" w:ascii="宋体" w:hAnsi="宋体" w:cs="宋体"/>
                <w:bCs/>
                <w:kern w:val="0"/>
                <w:szCs w:val="21"/>
              </w:rPr>
              <w:t xml:space="preserve">100.00 </w:t>
            </w:r>
          </w:p>
        </w:tc>
        <w:tc>
          <w:tcPr>
            <w:tcW w:w="2192" w:type="dxa"/>
            <w:shd w:val="clear" w:color="auto" w:fill="auto"/>
            <w:vAlign w:val="center"/>
          </w:tcPr>
          <w:p w14:paraId="08E29C8E">
            <w:pPr>
              <w:widowControl/>
              <w:jc w:val="left"/>
              <w:rPr>
                <w:rFonts w:ascii="宋体" w:hAnsi="宋体" w:cs="宋体"/>
                <w:kern w:val="0"/>
                <w:szCs w:val="21"/>
              </w:rPr>
            </w:pPr>
          </w:p>
        </w:tc>
      </w:tr>
      <w:tr w14:paraId="68A3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35AA14FD">
            <w:pPr>
              <w:widowControl/>
              <w:jc w:val="left"/>
              <w:rPr>
                <w:rFonts w:ascii="宋体" w:hAnsi="宋体" w:cs="宋体"/>
                <w:color w:val="000000"/>
                <w:kern w:val="0"/>
                <w:szCs w:val="21"/>
              </w:rPr>
            </w:pPr>
            <w:r>
              <w:rPr>
                <w:rFonts w:hint="eastAsia" w:ascii="宋体" w:hAnsi="宋体" w:cs="宋体"/>
                <w:color w:val="000000"/>
                <w:kern w:val="0"/>
                <w:szCs w:val="21"/>
              </w:rPr>
              <w:t>（四）2017年社区纳凉取暖经费</w:t>
            </w:r>
          </w:p>
        </w:tc>
        <w:tc>
          <w:tcPr>
            <w:tcW w:w="851" w:type="dxa"/>
            <w:shd w:val="clear" w:color="auto" w:fill="auto"/>
            <w:vAlign w:val="center"/>
          </w:tcPr>
          <w:p w14:paraId="4C24D3B5">
            <w:pPr>
              <w:widowControl/>
              <w:jc w:val="right"/>
              <w:rPr>
                <w:rFonts w:ascii="宋体" w:hAnsi="宋体"/>
                <w:kern w:val="0"/>
                <w:szCs w:val="21"/>
              </w:rPr>
            </w:pPr>
            <w:r>
              <w:rPr>
                <w:rFonts w:ascii="宋体" w:hAnsi="宋体"/>
                <w:kern w:val="0"/>
                <w:szCs w:val="21"/>
              </w:rPr>
              <w:t>　</w:t>
            </w:r>
          </w:p>
        </w:tc>
        <w:tc>
          <w:tcPr>
            <w:tcW w:w="850" w:type="dxa"/>
            <w:shd w:val="clear" w:color="auto" w:fill="auto"/>
            <w:vAlign w:val="center"/>
          </w:tcPr>
          <w:p w14:paraId="4386E165">
            <w:pPr>
              <w:widowControl/>
              <w:jc w:val="right"/>
              <w:rPr>
                <w:rFonts w:ascii="宋体" w:hAnsi="宋体" w:cs="宋体"/>
                <w:kern w:val="0"/>
                <w:szCs w:val="21"/>
              </w:rPr>
            </w:pPr>
            <w:r>
              <w:rPr>
                <w:rFonts w:hint="eastAsia" w:ascii="宋体" w:hAnsi="宋体" w:cs="宋体"/>
                <w:kern w:val="0"/>
                <w:szCs w:val="21"/>
              </w:rPr>
              <w:t xml:space="preserve">5.32 </w:t>
            </w:r>
          </w:p>
        </w:tc>
        <w:tc>
          <w:tcPr>
            <w:tcW w:w="1134" w:type="dxa"/>
            <w:shd w:val="clear" w:color="auto" w:fill="auto"/>
            <w:vAlign w:val="center"/>
          </w:tcPr>
          <w:p w14:paraId="6A3101E6">
            <w:pPr>
              <w:jc w:val="right"/>
              <w:rPr>
                <w:rFonts w:ascii="宋体" w:hAnsi="宋体" w:cs="宋体"/>
                <w:kern w:val="0"/>
                <w:szCs w:val="21"/>
              </w:rPr>
            </w:pPr>
            <w:r>
              <w:rPr>
                <w:rFonts w:hint="eastAsia" w:ascii="宋体" w:hAnsi="宋体" w:cs="宋体"/>
                <w:kern w:val="0"/>
                <w:szCs w:val="21"/>
              </w:rPr>
              <w:t xml:space="preserve">      5.32 </w:t>
            </w:r>
          </w:p>
        </w:tc>
        <w:tc>
          <w:tcPr>
            <w:tcW w:w="993" w:type="dxa"/>
            <w:shd w:val="clear" w:color="auto" w:fill="auto"/>
            <w:vAlign w:val="center"/>
          </w:tcPr>
          <w:p w14:paraId="3DA4BE83">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32E57FE4">
            <w:pPr>
              <w:widowControl/>
              <w:jc w:val="left"/>
              <w:rPr>
                <w:rFonts w:ascii="宋体" w:hAnsi="宋体" w:cs="宋体"/>
                <w:kern w:val="0"/>
                <w:szCs w:val="21"/>
              </w:rPr>
            </w:pPr>
          </w:p>
        </w:tc>
      </w:tr>
      <w:tr w14:paraId="55C0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52B7787A">
            <w:pPr>
              <w:widowControl/>
              <w:jc w:val="left"/>
              <w:rPr>
                <w:rFonts w:ascii="宋体" w:hAnsi="宋体" w:cs="宋体"/>
                <w:bCs/>
                <w:kern w:val="0"/>
                <w:szCs w:val="21"/>
              </w:rPr>
            </w:pPr>
            <w:r>
              <w:rPr>
                <w:rFonts w:hint="eastAsia" w:ascii="宋体" w:hAnsi="宋体" w:cs="宋体"/>
                <w:bCs/>
                <w:kern w:val="0"/>
                <w:szCs w:val="21"/>
              </w:rPr>
              <w:t>六、残疾人事业</w:t>
            </w:r>
          </w:p>
        </w:tc>
        <w:tc>
          <w:tcPr>
            <w:tcW w:w="851" w:type="dxa"/>
            <w:shd w:val="clear" w:color="auto" w:fill="auto"/>
            <w:vAlign w:val="center"/>
          </w:tcPr>
          <w:p w14:paraId="3E4C5748">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4F42DEEE">
            <w:pPr>
              <w:widowControl/>
              <w:jc w:val="right"/>
              <w:rPr>
                <w:rFonts w:ascii="宋体" w:hAnsi="宋体" w:cs="宋体"/>
                <w:kern w:val="0"/>
                <w:szCs w:val="21"/>
              </w:rPr>
            </w:pPr>
            <w:r>
              <w:rPr>
                <w:rFonts w:hint="eastAsia" w:ascii="宋体" w:hAnsi="宋体" w:cs="宋体"/>
                <w:kern w:val="0"/>
                <w:szCs w:val="21"/>
              </w:rPr>
              <w:t xml:space="preserve">32.35 </w:t>
            </w:r>
          </w:p>
        </w:tc>
        <w:tc>
          <w:tcPr>
            <w:tcW w:w="1134" w:type="dxa"/>
            <w:shd w:val="clear" w:color="auto" w:fill="auto"/>
            <w:vAlign w:val="center"/>
          </w:tcPr>
          <w:p w14:paraId="258966F9">
            <w:pPr>
              <w:jc w:val="right"/>
              <w:rPr>
                <w:rFonts w:ascii="宋体" w:hAnsi="宋体" w:cs="宋体"/>
                <w:kern w:val="0"/>
                <w:szCs w:val="21"/>
              </w:rPr>
            </w:pPr>
            <w:r>
              <w:rPr>
                <w:rFonts w:hint="eastAsia" w:ascii="宋体" w:hAnsi="宋体" w:cs="宋体"/>
                <w:kern w:val="0"/>
                <w:szCs w:val="21"/>
              </w:rPr>
              <w:t xml:space="preserve">     32.35 </w:t>
            </w:r>
          </w:p>
        </w:tc>
        <w:tc>
          <w:tcPr>
            <w:tcW w:w="993" w:type="dxa"/>
            <w:shd w:val="clear" w:color="auto" w:fill="auto"/>
            <w:vAlign w:val="center"/>
          </w:tcPr>
          <w:p w14:paraId="61391AE8">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54C304B8">
            <w:pPr>
              <w:widowControl/>
              <w:jc w:val="left"/>
              <w:rPr>
                <w:rFonts w:ascii="宋体" w:hAnsi="宋体" w:cs="宋体"/>
                <w:color w:val="FF0000"/>
                <w:kern w:val="0"/>
                <w:szCs w:val="21"/>
              </w:rPr>
            </w:pPr>
            <w:r>
              <w:rPr>
                <w:rFonts w:hint="eastAsia" w:ascii="宋体" w:hAnsi="宋体" w:cs="宋体"/>
                <w:kern w:val="0"/>
                <w:szCs w:val="21"/>
              </w:rPr>
              <w:t>从转移支付中安排</w:t>
            </w:r>
          </w:p>
        </w:tc>
      </w:tr>
      <w:tr w14:paraId="547B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3FF37124">
            <w:pPr>
              <w:widowControl/>
              <w:jc w:val="left"/>
              <w:rPr>
                <w:rFonts w:ascii="宋体" w:hAnsi="宋体" w:cs="宋体"/>
                <w:bCs/>
                <w:kern w:val="0"/>
                <w:szCs w:val="21"/>
              </w:rPr>
            </w:pPr>
            <w:r>
              <w:rPr>
                <w:rFonts w:hint="eastAsia" w:ascii="宋体" w:hAnsi="宋体" w:cs="宋体"/>
                <w:bCs/>
                <w:kern w:val="0"/>
                <w:szCs w:val="21"/>
              </w:rPr>
              <w:t>七、最低生活保障</w:t>
            </w:r>
          </w:p>
        </w:tc>
        <w:tc>
          <w:tcPr>
            <w:tcW w:w="851" w:type="dxa"/>
            <w:shd w:val="clear" w:color="auto" w:fill="auto"/>
            <w:vAlign w:val="center"/>
          </w:tcPr>
          <w:p w14:paraId="0A271FA8">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3A275779">
            <w:pPr>
              <w:widowControl/>
              <w:jc w:val="right"/>
              <w:rPr>
                <w:rFonts w:ascii="宋体" w:hAnsi="宋体" w:cs="宋体"/>
                <w:kern w:val="0"/>
                <w:szCs w:val="21"/>
              </w:rPr>
            </w:pPr>
            <w:r>
              <w:rPr>
                <w:rFonts w:hint="eastAsia" w:ascii="宋体" w:hAnsi="宋体" w:cs="宋体"/>
                <w:kern w:val="0"/>
                <w:szCs w:val="21"/>
              </w:rPr>
              <w:t xml:space="preserve">79.31 </w:t>
            </w:r>
          </w:p>
        </w:tc>
        <w:tc>
          <w:tcPr>
            <w:tcW w:w="1134" w:type="dxa"/>
            <w:shd w:val="clear" w:color="auto" w:fill="auto"/>
            <w:vAlign w:val="center"/>
          </w:tcPr>
          <w:p w14:paraId="2359E5C4">
            <w:pPr>
              <w:jc w:val="right"/>
              <w:rPr>
                <w:rFonts w:ascii="宋体" w:hAnsi="宋体" w:cs="宋体"/>
                <w:kern w:val="0"/>
                <w:szCs w:val="21"/>
              </w:rPr>
            </w:pPr>
            <w:r>
              <w:rPr>
                <w:rFonts w:hint="eastAsia" w:ascii="宋体" w:hAnsi="宋体" w:cs="宋体"/>
                <w:kern w:val="0"/>
                <w:szCs w:val="21"/>
              </w:rPr>
              <w:t xml:space="preserve">     79.31 </w:t>
            </w:r>
          </w:p>
        </w:tc>
        <w:tc>
          <w:tcPr>
            <w:tcW w:w="993" w:type="dxa"/>
            <w:shd w:val="clear" w:color="auto" w:fill="auto"/>
            <w:vAlign w:val="center"/>
          </w:tcPr>
          <w:p w14:paraId="7016EA68">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111B9868">
            <w:pPr>
              <w:widowControl/>
              <w:jc w:val="left"/>
              <w:rPr>
                <w:rFonts w:ascii="宋体" w:hAnsi="宋体" w:cs="宋体"/>
                <w:color w:val="FF0000"/>
                <w:kern w:val="0"/>
                <w:szCs w:val="21"/>
              </w:rPr>
            </w:pPr>
            <w:r>
              <w:rPr>
                <w:rFonts w:hint="eastAsia" w:ascii="宋体" w:hAnsi="宋体" w:cs="宋体"/>
                <w:kern w:val="0"/>
                <w:szCs w:val="21"/>
              </w:rPr>
              <w:t>列入社发局预算</w:t>
            </w:r>
          </w:p>
        </w:tc>
      </w:tr>
      <w:tr w14:paraId="34A9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4057C9D8">
            <w:pPr>
              <w:widowControl/>
              <w:jc w:val="left"/>
              <w:rPr>
                <w:rFonts w:ascii="宋体" w:hAnsi="宋体" w:cs="宋体"/>
                <w:kern w:val="0"/>
                <w:szCs w:val="21"/>
              </w:rPr>
            </w:pPr>
            <w:r>
              <w:rPr>
                <w:rFonts w:hint="eastAsia" w:ascii="宋体" w:hAnsi="宋体" w:cs="宋体"/>
                <w:kern w:val="0"/>
                <w:szCs w:val="21"/>
              </w:rPr>
              <w:t>（一）城市最低生活保障金支出</w:t>
            </w:r>
          </w:p>
        </w:tc>
        <w:tc>
          <w:tcPr>
            <w:tcW w:w="851" w:type="dxa"/>
            <w:shd w:val="clear" w:color="auto" w:fill="auto"/>
            <w:vAlign w:val="center"/>
          </w:tcPr>
          <w:p w14:paraId="3C0B02D5">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36D2F038">
            <w:pPr>
              <w:widowControl/>
              <w:jc w:val="right"/>
              <w:rPr>
                <w:rFonts w:ascii="宋体" w:hAnsi="宋体" w:cs="宋体"/>
                <w:kern w:val="0"/>
                <w:szCs w:val="21"/>
              </w:rPr>
            </w:pPr>
            <w:r>
              <w:rPr>
                <w:rFonts w:hint="eastAsia" w:ascii="宋体" w:hAnsi="宋体" w:cs="宋体"/>
                <w:kern w:val="0"/>
                <w:szCs w:val="21"/>
              </w:rPr>
              <w:t xml:space="preserve">79.31 </w:t>
            </w:r>
          </w:p>
        </w:tc>
        <w:tc>
          <w:tcPr>
            <w:tcW w:w="1134" w:type="dxa"/>
            <w:shd w:val="clear" w:color="auto" w:fill="auto"/>
            <w:vAlign w:val="center"/>
          </w:tcPr>
          <w:p w14:paraId="17D07BCC">
            <w:pPr>
              <w:jc w:val="right"/>
              <w:rPr>
                <w:rFonts w:ascii="宋体" w:hAnsi="宋体" w:cs="宋体"/>
                <w:kern w:val="0"/>
                <w:szCs w:val="21"/>
              </w:rPr>
            </w:pPr>
            <w:r>
              <w:rPr>
                <w:rFonts w:hint="eastAsia" w:ascii="宋体" w:hAnsi="宋体" w:cs="宋体"/>
                <w:kern w:val="0"/>
                <w:szCs w:val="21"/>
              </w:rPr>
              <w:t xml:space="preserve">     79.31 </w:t>
            </w:r>
          </w:p>
        </w:tc>
        <w:tc>
          <w:tcPr>
            <w:tcW w:w="993" w:type="dxa"/>
            <w:shd w:val="clear" w:color="auto" w:fill="auto"/>
            <w:vAlign w:val="center"/>
          </w:tcPr>
          <w:p w14:paraId="6810BD88">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2C7BA912">
            <w:pPr>
              <w:widowControl/>
              <w:jc w:val="left"/>
              <w:rPr>
                <w:rFonts w:ascii="宋体" w:hAnsi="宋体" w:cs="宋体"/>
                <w:kern w:val="0"/>
                <w:szCs w:val="21"/>
              </w:rPr>
            </w:pPr>
          </w:p>
        </w:tc>
      </w:tr>
      <w:tr w14:paraId="6CF4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4DEEAA45">
            <w:pPr>
              <w:widowControl/>
              <w:jc w:val="left"/>
              <w:rPr>
                <w:rFonts w:ascii="宋体" w:hAnsi="宋体" w:cs="宋体"/>
                <w:bCs/>
                <w:kern w:val="0"/>
                <w:szCs w:val="21"/>
              </w:rPr>
            </w:pPr>
            <w:r>
              <w:rPr>
                <w:rFonts w:hint="eastAsia" w:ascii="宋体" w:hAnsi="宋体" w:cs="宋体"/>
                <w:bCs/>
                <w:kern w:val="0"/>
                <w:szCs w:val="21"/>
              </w:rPr>
              <w:t>八、临时救助</w:t>
            </w:r>
          </w:p>
        </w:tc>
        <w:tc>
          <w:tcPr>
            <w:tcW w:w="851" w:type="dxa"/>
            <w:shd w:val="clear" w:color="auto" w:fill="auto"/>
            <w:vAlign w:val="center"/>
          </w:tcPr>
          <w:p w14:paraId="24E56B7C">
            <w:pPr>
              <w:widowControl/>
              <w:jc w:val="right"/>
              <w:rPr>
                <w:rFonts w:ascii="宋体" w:hAnsi="宋体" w:cs="宋体"/>
                <w:kern w:val="0"/>
                <w:szCs w:val="21"/>
              </w:rPr>
            </w:pPr>
            <w:r>
              <w:rPr>
                <w:rFonts w:hint="eastAsia" w:ascii="宋体" w:hAnsi="宋体" w:cs="宋体"/>
                <w:kern w:val="0"/>
                <w:szCs w:val="21"/>
              </w:rPr>
              <w:t>　</w:t>
            </w:r>
          </w:p>
        </w:tc>
        <w:tc>
          <w:tcPr>
            <w:tcW w:w="850" w:type="dxa"/>
            <w:shd w:val="clear" w:color="auto" w:fill="auto"/>
            <w:vAlign w:val="center"/>
          </w:tcPr>
          <w:p w14:paraId="6C0008FB">
            <w:pPr>
              <w:widowControl/>
              <w:jc w:val="right"/>
              <w:rPr>
                <w:rFonts w:ascii="宋体" w:hAnsi="宋体" w:cs="宋体"/>
                <w:kern w:val="0"/>
                <w:szCs w:val="21"/>
              </w:rPr>
            </w:pPr>
            <w:r>
              <w:rPr>
                <w:rFonts w:hint="eastAsia" w:ascii="宋体" w:hAnsi="宋体" w:cs="宋体"/>
                <w:kern w:val="0"/>
                <w:szCs w:val="21"/>
              </w:rPr>
              <w:t xml:space="preserve">0.18 </w:t>
            </w:r>
          </w:p>
        </w:tc>
        <w:tc>
          <w:tcPr>
            <w:tcW w:w="1134" w:type="dxa"/>
            <w:shd w:val="clear" w:color="auto" w:fill="auto"/>
            <w:vAlign w:val="center"/>
          </w:tcPr>
          <w:p w14:paraId="58BC216A">
            <w:pPr>
              <w:jc w:val="right"/>
              <w:rPr>
                <w:rFonts w:ascii="宋体" w:hAnsi="宋体" w:cs="宋体"/>
                <w:kern w:val="0"/>
                <w:szCs w:val="21"/>
              </w:rPr>
            </w:pPr>
            <w:r>
              <w:rPr>
                <w:rFonts w:hint="eastAsia" w:ascii="宋体" w:hAnsi="宋体" w:cs="宋体"/>
                <w:kern w:val="0"/>
                <w:szCs w:val="21"/>
              </w:rPr>
              <w:t xml:space="preserve">      0.18 </w:t>
            </w:r>
          </w:p>
        </w:tc>
        <w:tc>
          <w:tcPr>
            <w:tcW w:w="993" w:type="dxa"/>
            <w:shd w:val="clear" w:color="auto" w:fill="auto"/>
            <w:vAlign w:val="center"/>
          </w:tcPr>
          <w:p w14:paraId="2FF925D9">
            <w:pPr>
              <w:widowControl/>
              <w:jc w:val="right"/>
              <w:rPr>
                <w:rFonts w:ascii="宋体" w:hAnsi="宋体" w:cs="宋体"/>
                <w:bCs/>
                <w:kern w:val="0"/>
                <w:szCs w:val="21"/>
              </w:rPr>
            </w:pPr>
            <w:r>
              <w:rPr>
                <w:rFonts w:hint="eastAsia" w:ascii="宋体" w:hAnsi="宋体" w:cs="宋体"/>
                <w:bCs/>
                <w:kern w:val="0"/>
                <w:szCs w:val="21"/>
              </w:rPr>
              <w:t>　</w:t>
            </w:r>
          </w:p>
        </w:tc>
        <w:tc>
          <w:tcPr>
            <w:tcW w:w="2192" w:type="dxa"/>
            <w:shd w:val="clear" w:color="auto" w:fill="auto"/>
            <w:vAlign w:val="center"/>
          </w:tcPr>
          <w:p w14:paraId="5D3865DB">
            <w:pPr>
              <w:widowControl/>
              <w:jc w:val="left"/>
              <w:rPr>
                <w:rFonts w:ascii="宋体" w:hAnsi="宋体" w:cs="宋体"/>
                <w:color w:val="FF0000"/>
                <w:kern w:val="0"/>
                <w:szCs w:val="21"/>
              </w:rPr>
            </w:pPr>
            <w:r>
              <w:rPr>
                <w:rFonts w:hint="eastAsia" w:ascii="宋体" w:hAnsi="宋体" w:cs="宋体"/>
                <w:kern w:val="0"/>
                <w:szCs w:val="21"/>
              </w:rPr>
              <w:t>列入社发局预算</w:t>
            </w:r>
          </w:p>
        </w:tc>
      </w:tr>
      <w:tr w14:paraId="09D6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1BC89AA1">
            <w:pPr>
              <w:widowControl/>
              <w:jc w:val="left"/>
              <w:rPr>
                <w:rFonts w:ascii="宋体" w:hAnsi="宋体" w:cs="宋体"/>
                <w:bCs/>
                <w:kern w:val="0"/>
                <w:szCs w:val="21"/>
              </w:rPr>
            </w:pPr>
            <w:r>
              <w:rPr>
                <w:rFonts w:hint="eastAsia" w:ascii="宋体" w:hAnsi="宋体" w:cs="宋体"/>
                <w:bCs/>
                <w:kern w:val="0"/>
                <w:szCs w:val="21"/>
              </w:rPr>
              <w:t>九、其他生活救助</w:t>
            </w:r>
          </w:p>
        </w:tc>
        <w:tc>
          <w:tcPr>
            <w:tcW w:w="851" w:type="dxa"/>
            <w:shd w:val="clear" w:color="auto" w:fill="auto"/>
            <w:vAlign w:val="center"/>
          </w:tcPr>
          <w:p w14:paraId="1C3C7434">
            <w:pPr>
              <w:widowControl/>
              <w:jc w:val="right"/>
              <w:rPr>
                <w:rFonts w:ascii="宋体" w:hAnsi="宋体" w:cs="宋体"/>
                <w:kern w:val="0"/>
                <w:szCs w:val="21"/>
              </w:rPr>
            </w:pPr>
            <w:r>
              <w:rPr>
                <w:rFonts w:hint="eastAsia" w:ascii="宋体" w:hAnsi="宋体" w:cs="宋体"/>
                <w:kern w:val="0"/>
                <w:szCs w:val="21"/>
              </w:rPr>
              <w:t>6</w:t>
            </w:r>
          </w:p>
        </w:tc>
        <w:tc>
          <w:tcPr>
            <w:tcW w:w="850" w:type="dxa"/>
            <w:shd w:val="clear" w:color="auto" w:fill="auto"/>
            <w:vAlign w:val="center"/>
          </w:tcPr>
          <w:p w14:paraId="31F629FA">
            <w:pPr>
              <w:widowControl/>
              <w:jc w:val="right"/>
              <w:rPr>
                <w:rFonts w:ascii="宋体" w:hAnsi="宋体" w:cs="宋体"/>
                <w:kern w:val="0"/>
                <w:szCs w:val="21"/>
              </w:rPr>
            </w:pPr>
            <w:r>
              <w:rPr>
                <w:rFonts w:hint="eastAsia" w:ascii="宋体" w:hAnsi="宋体" w:cs="宋体"/>
                <w:kern w:val="0"/>
                <w:szCs w:val="21"/>
              </w:rPr>
              <w:t xml:space="preserve">4.86 </w:t>
            </w:r>
          </w:p>
        </w:tc>
        <w:tc>
          <w:tcPr>
            <w:tcW w:w="1134" w:type="dxa"/>
            <w:shd w:val="clear" w:color="auto" w:fill="auto"/>
            <w:vAlign w:val="center"/>
          </w:tcPr>
          <w:p w14:paraId="42243D97">
            <w:pPr>
              <w:jc w:val="right"/>
              <w:rPr>
                <w:rFonts w:ascii="宋体" w:hAnsi="宋体" w:cs="宋体"/>
                <w:kern w:val="0"/>
                <w:szCs w:val="21"/>
              </w:rPr>
            </w:pPr>
            <w:r>
              <w:rPr>
                <w:rFonts w:hint="eastAsia" w:ascii="宋体" w:hAnsi="宋体" w:cs="宋体"/>
                <w:kern w:val="0"/>
                <w:szCs w:val="21"/>
              </w:rPr>
              <w:t xml:space="preserve">     -1.14 </w:t>
            </w:r>
          </w:p>
        </w:tc>
        <w:tc>
          <w:tcPr>
            <w:tcW w:w="993" w:type="dxa"/>
            <w:shd w:val="clear" w:color="auto" w:fill="auto"/>
            <w:vAlign w:val="center"/>
          </w:tcPr>
          <w:p w14:paraId="46CFA181">
            <w:pPr>
              <w:widowControl/>
              <w:jc w:val="right"/>
              <w:rPr>
                <w:rFonts w:ascii="宋体" w:hAnsi="宋体" w:cs="宋体"/>
                <w:bCs/>
                <w:kern w:val="0"/>
                <w:szCs w:val="21"/>
              </w:rPr>
            </w:pPr>
            <w:r>
              <w:rPr>
                <w:rFonts w:hint="eastAsia" w:ascii="宋体" w:hAnsi="宋体" w:cs="宋体"/>
                <w:bCs/>
                <w:kern w:val="0"/>
                <w:szCs w:val="21"/>
              </w:rPr>
              <w:t xml:space="preserve">81.05 </w:t>
            </w:r>
          </w:p>
        </w:tc>
        <w:tc>
          <w:tcPr>
            <w:tcW w:w="2192" w:type="dxa"/>
            <w:shd w:val="clear" w:color="auto" w:fill="auto"/>
            <w:vAlign w:val="center"/>
          </w:tcPr>
          <w:p w14:paraId="4C02CB68">
            <w:pPr>
              <w:widowControl/>
              <w:jc w:val="left"/>
              <w:rPr>
                <w:rFonts w:ascii="宋体" w:hAnsi="宋体" w:cs="宋体"/>
                <w:kern w:val="0"/>
                <w:szCs w:val="21"/>
              </w:rPr>
            </w:pPr>
            <w:r>
              <w:rPr>
                <w:rFonts w:hint="eastAsia" w:ascii="宋体" w:hAnsi="宋体" w:cs="宋体"/>
                <w:kern w:val="0"/>
                <w:szCs w:val="21"/>
              </w:rPr>
              <w:t>有部分从社会福利项目中支出</w:t>
            </w:r>
          </w:p>
        </w:tc>
      </w:tr>
      <w:tr w14:paraId="4E4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48F37938">
            <w:pPr>
              <w:widowControl/>
              <w:jc w:val="left"/>
              <w:rPr>
                <w:rFonts w:ascii="宋体" w:hAnsi="宋体" w:cs="宋体"/>
                <w:kern w:val="0"/>
                <w:szCs w:val="21"/>
              </w:rPr>
            </w:pPr>
            <w:r>
              <w:rPr>
                <w:rFonts w:hint="eastAsia" w:ascii="宋体" w:hAnsi="宋体" w:cs="宋体"/>
                <w:kern w:val="0"/>
                <w:szCs w:val="21"/>
              </w:rPr>
              <w:t>（一）纳凉经费和取暖经费</w:t>
            </w:r>
          </w:p>
        </w:tc>
        <w:tc>
          <w:tcPr>
            <w:tcW w:w="851" w:type="dxa"/>
            <w:shd w:val="clear" w:color="auto" w:fill="auto"/>
            <w:vAlign w:val="center"/>
          </w:tcPr>
          <w:p w14:paraId="0F9FB4CE">
            <w:pPr>
              <w:widowControl/>
              <w:jc w:val="right"/>
              <w:rPr>
                <w:rFonts w:ascii="宋体" w:hAnsi="宋体" w:cs="宋体"/>
                <w:kern w:val="0"/>
                <w:szCs w:val="21"/>
              </w:rPr>
            </w:pPr>
            <w:r>
              <w:rPr>
                <w:rFonts w:hint="eastAsia" w:ascii="宋体" w:hAnsi="宋体" w:cs="宋体"/>
                <w:kern w:val="0"/>
                <w:szCs w:val="21"/>
              </w:rPr>
              <w:t>6</w:t>
            </w:r>
          </w:p>
        </w:tc>
        <w:tc>
          <w:tcPr>
            <w:tcW w:w="850" w:type="dxa"/>
            <w:shd w:val="clear" w:color="auto" w:fill="auto"/>
            <w:vAlign w:val="center"/>
          </w:tcPr>
          <w:p w14:paraId="0CDEA57D">
            <w:pPr>
              <w:widowControl/>
              <w:jc w:val="right"/>
              <w:rPr>
                <w:rFonts w:ascii="宋体" w:hAnsi="宋体" w:cs="宋体"/>
                <w:kern w:val="0"/>
                <w:szCs w:val="21"/>
              </w:rPr>
            </w:pPr>
            <w:r>
              <w:rPr>
                <w:rFonts w:hint="eastAsia" w:ascii="宋体" w:hAnsi="宋体" w:cs="宋体"/>
                <w:kern w:val="0"/>
                <w:szCs w:val="21"/>
              </w:rPr>
              <w:t xml:space="preserve">4.86 </w:t>
            </w:r>
          </w:p>
        </w:tc>
        <w:tc>
          <w:tcPr>
            <w:tcW w:w="1134" w:type="dxa"/>
            <w:shd w:val="clear" w:color="auto" w:fill="auto"/>
            <w:vAlign w:val="center"/>
          </w:tcPr>
          <w:p w14:paraId="202CE648">
            <w:pPr>
              <w:jc w:val="right"/>
              <w:rPr>
                <w:rFonts w:ascii="宋体" w:hAnsi="宋体" w:cs="宋体"/>
                <w:kern w:val="0"/>
                <w:szCs w:val="21"/>
              </w:rPr>
            </w:pPr>
            <w:r>
              <w:rPr>
                <w:rFonts w:hint="eastAsia" w:ascii="宋体" w:hAnsi="宋体" w:cs="宋体"/>
                <w:kern w:val="0"/>
                <w:szCs w:val="21"/>
              </w:rPr>
              <w:t xml:space="preserve">     -1.14 </w:t>
            </w:r>
          </w:p>
        </w:tc>
        <w:tc>
          <w:tcPr>
            <w:tcW w:w="993" w:type="dxa"/>
            <w:shd w:val="clear" w:color="auto" w:fill="auto"/>
            <w:vAlign w:val="center"/>
          </w:tcPr>
          <w:p w14:paraId="6C78DFFD">
            <w:pPr>
              <w:widowControl/>
              <w:jc w:val="right"/>
              <w:rPr>
                <w:rFonts w:ascii="宋体" w:hAnsi="宋体" w:cs="宋体"/>
                <w:bCs/>
                <w:kern w:val="0"/>
                <w:szCs w:val="21"/>
              </w:rPr>
            </w:pPr>
            <w:r>
              <w:rPr>
                <w:rFonts w:hint="eastAsia" w:ascii="宋体" w:hAnsi="宋体" w:cs="宋体"/>
                <w:bCs/>
                <w:kern w:val="0"/>
                <w:szCs w:val="21"/>
              </w:rPr>
              <w:t xml:space="preserve">81.05 </w:t>
            </w:r>
          </w:p>
        </w:tc>
        <w:tc>
          <w:tcPr>
            <w:tcW w:w="2192" w:type="dxa"/>
            <w:shd w:val="clear" w:color="auto" w:fill="auto"/>
            <w:vAlign w:val="center"/>
          </w:tcPr>
          <w:p w14:paraId="343AE630">
            <w:pPr>
              <w:widowControl/>
              <w:jc w:val="left"/>
              <w:rPr>
                <w:rFonts w:ascii="宋体" w:hAnsi="宋体" w:cs="宋体"/>
                <w:kern w:val="0"/>
                <w:szCs w:val="21"/>
              </w:rPr>
            </w:pPr>
          </w:p>
        </w:tc>
      </w:tr>
      <w:tr w14:paraId="0152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030895B5">
            <w:pPr>
              <w:widowControl/>
              <w:jc w:val="left"/>
              <w:rPr>
                <w:rFonts w:ascii="宋体" w:hAnsi="宋体" w:cs="宋体"/>
                <w:bCs/>
                <w:kern w:val="0"/>
                <w:szCs w:val="21"/>
              </w:rPr>
            </w:pPr>
            <w:r>
              <w:rPr>
                <w:rFonts w:hint="eastAsia" w:ascii="宋体" w:hAnsi="宋体" w:cs="宋体"/>
                <w:bCs/>
                <w:kern w:val="0"/>
                <w:szCs w:val="21"/>
              </w:rPr>
              <w:t>十、优抚对象医疗补助</w:t>
            </w:r>
          </w:p>
        </w:tc>
        <w:tc>
          <w:tcPr>
            <w:tcW w:w="851" w:type="dxa"/>
            <w:shd w:val="clear" w:color="auto" w:fill="auto"/>
            <w:vAlign w:val="center"/>
          </w:tcPr>
          <w:p w14:paraId="31FDE1EA">
            <w:pPr>
              <w:widowControl/>
              <w:jc w:val="right"/>
              <w:rPr>
                <w:rFonts w:ascii="宋体" w:hAnsi="宋体"/>
                <w:kern w:val="0"/>
                <w:szCs w:val="21"/>
              </w:rPr>
            </w:pPr>
            <w:r>
              <w:rPr>
                <w:rFonts w:ascii="宋体" w:hAnsi="宋体"/>
                <w:kern w:val="0"/>
                <w:szCs w:val="21"/>
              </w:rPr>
              <w:t>3</w:t>
            </w:r>
          </w:p>
        </w:tc>
        <w:tc>
          <w:tcPr>
            <w:tcW w:w="850" w:type="dxa"/>
            <w:shd w:val="clear" w:color="auto" w:fill="auto"/>
            <w:vAlign w:val="center"/>
          </w:tcPr>
          <w:p w14:paraId="035FF066">
            <w:pPr>
              <w:widowControl/>
              <w:jc w:val="right"/>
              <w:rPr>
                <w:rFonts w:ascii="宋体" w:hAnsi="宋体" w:cs="宋体"/>
                <w:kern w:val="0"/>
                <w:szCs w:val="21"/>
              </w:rPr>
            </w:pPr>
            <w:r>
              <w:rPr>
                <w:rFonts w:hint="eastAsia" w:ascii="宋体" w:hAnsi="宋体" w:cs="宋体"/>
                <w:kern w:val="0"/>
                <w:szCs w:val="21"/>
              </w:rPr>
              <w:t xml:space="preserve">-   </w:t>
            </w:r>
          </w:p>
        </w:tc>
        <w:tc>
          <w:tcPr>
            <w:tcW w:w="1134" w:type="dxa"/>
            <w:shd w:val="clear" w:color="auto" w:fill="auto"/>
            <w:vAlign w:val="center"/>
          </w:tcPr>
          <w:p w14:paraId="4CF7B03C">
            <w:pPr>
              <w:jc w:val="right"/>
              <w:rPr>
                <w:rFonts w:ascii="宋体" w:hAnsi="宋体" w:cs="宋体"/>
                <w:kern w:val="0"/>
                <w:szCs w:val="21"/>
              </w:rPr>
            </w:pPr>
            <w:r>
              <w:rPr>
                <w:rFonts w:hint="eastAsia" w:ascii="宋体" w:hAnsi="宋体" w:cs="宋体"/>
                <w:kern w:val="0"/>
                <w:szCs w:val="21"/>
              </w:rPr>
              <w:t xml:space="preserve">     -3.00 </w:t>
            </w:r>
          </w:p>
        </w:tc>
        <w:tc>
          <w:tcPr>
            <w:tcW w:w="993" w:type="dxa"/>
            <w:shd w:val="clear" w:color="auto" w:fill="auto"/>
            <w:vAlign w:val="center"/>
          </w:tcPr>
          <w:p w14:paraId="323A5F3D">
            <w:pPr>
              <w:widowControl/>
              <w:jc w:val="right"/>
              <w:rPr>
                <w:rFonts w:ascii="宋体" w:hAnsi="宋体" w:cs="宋体"/>
                <w:bCs/>
                <w:kern w:val="0"/>
                <w:szCs w:val="21"/>
              </w:rPr>
            </w:pPr>
            <w:r>
              <w:rPr>
                <w:rFonts w:hint="eastAsia" w:ascii="宋体" w:hAnsi="宋体" w:cs="宋体"/>
                <w:bCs/>
                <w:kern w:val="0"/>
                <w:szCs w:val="21"/>
              </w:rPr>
              <w:t xml:space="preserve">      -   </w:t>
            </w:r>
          </w:p>
        </w:tc>
        <w:tc>
          <w:tcPr>
            <w:tcW w:w="2192" w:type="dxa"/>
            <w:shd w:val="clear" w:color="auto" w:fill="auto"/>
            <w:vAlign w:val="center"/>
          </w:tcPr>
          <w:p w14:paraId="06661610">
            <w:pPr>
              <w:widowControl/>
              <w:jc w:val="left"/>
              <w:rPr>
                <w:rFonts w:ascii="宋体" w:hAnsi="宋体" w:cs="宋体"/>
                <w:kern w:val="0"/>
                <w:szCs w:val="21"/>
              </w:rPr>
            </w:pPr>
            <w:r>
              <w:rPr>
                <w:rFonts w:hint="eastAsia" w:ascii="宋体" w:hAnsi="宋体" w:cs="宋体"/>
                <w:kern w:val="0"/>
                <w:szCs w:val="21"/>
              </w:rPr>
              <w:t>未在本项目中支出</w:t>
            </w:r>
          </w:p>
        </w:tc>
      </w:tr>
      <w:tr w14:paraId="668D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4A8BEB7A">
            <w:pPr>
              <w:widowControl/>
              <w:jc w:val="left"/>
              <w:rPr>
                <w:rFonts w:ascii="宋体" w:hAnsi="宋体" w:cs="宋体"/>
                <w:kern w:val="0"/>
                <w:szCs w:val="21"/>
              </w:rPr>
            </w:pPr>
            <w:r>
              <w:rPr>
                <w:rFonts w:hint="eastAsia" w:ascii="宋体" w:hAnsi="宋体" w:cs="宋体"/>
                <w:kern w:val="0"/>
                <w:szCs w:val="21"/>
              </w:rPr>
              <w:t>（一）优抚对象医疗补助</w:t>
            </w:r>
          </w:p>
        </w:tc>
        <w:tc>
          <w:tcPr>
            <w:tcW w:w="851" w:type="dxa"/>
            <w:shd w:val="clear" w:color="auto" w:fill="auto"/>
            <w:vAlign w:val="center"/>
          </w:tcPr>
          <w:p w14:paraId="2235D884">
            <w:pPr>
              <w:widowControl/>
              <w:jc w:val="right"/>
              <w:rPr>
                <w:rFonts w:ascii="宋体" w:hAnsi="宋体" w:cs="宋体"/>
                <w:kern w:val="0"/>
                <w:szCs w:val="21"/>
              </w:rPr>
            </w:pPr>
            <w:r>
              <w:rPr>
                <w:rFonts w:hint="eastAsia" w:ascii="宋体" w:hAnsi="宋体" w:cs="宋体"/>
                <w:kern w:val="0"/>
                <w:szCs w:val="21"/>
              </w:rPr>
              <w:t>3</w:t>
            </w:r>
          </w:p>
        </w:tc>
        <w:tc>
          <w:tcPr>
            <w:tcW w:w="850" w:type="dxa"/>
            <w:shd w:val="clear" w:color="auto" w:fill="auto"/>
            <w:vAlign w:val="center"/>
          </w:tcPr>
          <w:p w14:paraId="6EB4C3A1">
            <w:pPr>
              <w:widowControl/>
              <w:jc w:val="right"/>
              <w:rPr>
                <w:rFonts w:ascii="宋体" w:hAnsi="宋体" w:cs="宋体"/>
                <w:kern w:val="0"/>
                <w:szCs w:val="21"/>
              </w:rPr>
            </w:pPr>
            <w:r>
              <w:rPr>
                <w:rFonts w:hint="eastAsia" w:ascii="宋体" w:hAnsi="宋体" w:cs="宋体"/>
                <w:kern w:val="0"/>
                <w:szCs w:val="21"/>
              </w:rPr>
              <w:t xml:space="preserve">-   </w:t>
            </w:r>
          </w:p>
        </w:tc>
        <w:tc>
          <w:tcPr>
            <w:tcW w:w="1134" w:type="dxa"/>
            <w:shd w:val="clear" w:color="auto" w:fill="auto"/>
            <w:vAlign w:val="center"/>
          </w:tcPr>
          <w:p w14:paraId="0CA86D70">
            <w:pPr>
              <w:jc w:val="right"/>
              <w:rPr>
                <w:rFonts w:ascii="宋体" w:hAnsi="宋体" w:cs="宋体"/>
                <w:kern w:val="0"/>
                <w:szCs w:val="21"/>
              </w:rPr>
            </w:pPr>
            <w:r>
              <w:rPr>
                <w:rFonts w:hint="eastAsia" w:ascii="宋体" w:hAnsi="宋体" w:cs="宋体"/>
                <w:kern w:val="0"/>
                <w:szCs w:val="21"/>
              </w:rPr>
              <w:t xml:space="preserve">     -3.00 </w:t>
            </w:r>
          </w:p>
        </w:tc>
        <w:tc>
          <w:tcPr>
            <w:tcW w:w="993" w:type="dxa"/>
            <w:shd w:val="clear" w:color="auto" w:fill="auto"/>
            <w:vAlign w:val="center"/>
          </w:tcPr>
          <w:p w14:paraId="0FC5E136">
            <w:pPr>
              <w:widowControl/>
              <w:jc w:val="right"/>
              <w:rPr>
                <w:rFonts w:ascii="宋体" w:hAnsi="宋体" w:cs="宋体"/>
                <w:bCs/>
                <w:kern w:val="0"/>
                <w:szCs w:val="21"/>
              </w:rPr>
            </w:pPr>
            <w:r>
              <w:rPr>
                <w:rFonts w:hint="eastAsia" w:ascii="宋体" w:hAnsi="宋体" w:cs="宋体"/>
                <w:bCs/>
                <w:kern w:val="0"/>
                <w:szCs w:val="21"/>
              </w:rPr>
              <w:t xml:space="preserve">      -   </w:t>
            </w:r>
          </w:p>
        </w:tc>
        <w:tc>
          <w:tcPr>
            <w:tcW w:w="2192" w:type="dxa"/>
            <w:shd w:val="clear" w:color="auto" w:fill="auto"/>
            <w:vAlign w:val="center"/>
          </w:tcPr>
          <w:p w14:paraId="0207D0F2">
            <w:pPr>
              <w:widowControl/>
              <w:jc w:val="left"/>
              <w:rPr>
                <w:rFonts w:ascii="宋体" w:hAnsi="宋体" w:cs="宋体"/>
                <w:color w:val="FF0000"/>
                <w:kern w:val="0"/>
                <w:szCs w:val="21"/>
              </w:rPr>
            </w:pPr>
          </w:p>
        </w:tc>
      </w:tr>
      <w:tr w14:paraId="6908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2" w:hRule="atLeast"/>
          <w:jc w:val="right"/>
        </w:trPr>
        <w:tc>
          <w:tcPr>
            <w:tcW w:w="2835" w:type="dxa"/>
            <w:shd w:val="clear" w:color="auto" w:fill="auto"/>
            <w:vAlign w:val="center"/>
          </w:tcPr>
          <w:p w14:paraId="2802BC22">
            <w:pPr>
              <w:widowControl/>
              <w:jc w:val="left"/>
              <w:rPr>
                <w:rFonts w:ascii="宋体" w:hAnsi="宋体" w:cs="宋体"/>
                <w:bCs/>
                <w:kern w:val="0"/>
                <w:szCs w:val="21"/>
              </w:rPr>
            </w:pPr>
            <w:r>
              <w:rPr>
                <w:rFonts w:hint="eastAsia" w:ascii="宋体" w:hAnsi="宋体" w:cs="宋体"/>
                <w:bCs/>
                <w:kern w:val="0"/>
                <w:szCs w:val="21"/>
              </w:rPr>
              <w:t>十一、民政、残联、老龄、劳动保障工作经费</w:t>
            </w:r>
          </w:p>
        </w:tc>
        <w:tc>
          <w:tcPr>
            <w:tcW w:w="851" w:type="dxa"/>
            <w:shd w:val="clear" w:color="auto" w:fill="auto"/>
            <w:vAlign w:val="center"/>
          </w:tcPr>
          <w:p w14:paraId="57AEA571">
            <w:pPr>
              <w:widowControl/>
              <w:jc w:val="right"/>
              <w:rPr>
                <w:rFonts w:ascii="宋体" w:hAnsi="宋体" w:cs="宋体"/>
                <w:kern w:val="0"/>
                <w:szCs w:val="21"/>
              </w:rPr>
            </w:pPr>
            <w:r>
              <w:rPr>
                <w:rFonts w:hint="eastAsia" w:ascii="宋体" w:hAnsi="宋体" w:cs="宋体"/>
                <w:kern w:val="0"/>
                <w:szCs w:val="21"/>
              </w:rPr>
              <w:t>11</w:t>
            </w:r>
          </w:p>
        </w:tc>
        <w:tc>
          <w:tcPr>
            <w:tcW w:w="850" w:type="dxa"/>
            <w:shd w:val="clear" w:color="auto" w:fill="auto"/>
            <w:vAlign w:val="center"/>
          </w:tcPr>
          <w:p w14:paraId="0CCF6C87">
            <w:pPr>
              <w:widowControl/>
              <w:jc w:val="right"/>
              <w:rPr>
                <w:rFonts w:ascii="宋体" w:hAnsi="宋体" w:cs="宋体"/>
                <w:kern w:val="0"/>
                <w:szCs w:val="21"/>
              </w:rPr>
            </w:pPr>
            <w:r>
              <w:rPr>
                <w:rFonts w:hint="eastAsia" w:ascii="宋体" w:hAnsi="宋体" w:cs="宋体"/>
                <w:kern w:val="0"/>
                <w:szCs w:val="21"/>
              </w:rPr>
              <w:t xml:space="preserve">0.76 </w:t>
            </w:r>
          </w:p>
        </w:tc>
        <w:tc>
          <w:tcPr>
            <w:tcW w:w="1134" w:type="dxa"/>
            <w:shd w:val="clear" w:color="auto" w:fill="auto"/>
            <w:vAlign w:val="center"/>
          </w:tcPr>
          <w:p w14:paraId="7BDE9D5C">
            <w:pPr>
              <w:jc w:val="right"/>
              <w:rPr>
                <w:rFonts w:ascii="宋体" w:hAnsi="宋体" w:cs="宋体"/>
                <w:kern w:val="0"/>
                <w:szCs w:val="21"/>
              </w:rPr>
            </w:pPr>
            <w:r>
              <w:rPr>
                <w:rFonts w:hint="eastAsia" w:ascii="宋体" w:hAnsi="宋体" w:cs="宋体"/>
                <w:kern w:val="0"/>
                <w:szCs w:val="21"/>
              </w:rPr>
              <w:t xml:space="preserve">    -10.24 </w:t>
            </w:r>
          </w:p>
        </w:tc>
        <w:tc>
          <w:tcPr>
            <w:tcW w:w="993" w:type="dxa"/>
            <w:shd w:val="clear" w:color="auto" w:fill="auto"/>
            <w:vAlign w:val="center"/>
          </w:tcPr>
          <w:p w14:paraId="40B17823">
            <w:pPr>
              <w:widowControl/>
              <w:jc w:val="right"/>
              <w:rPr>
                <w:rFonts w:ascii="宋体" w:hAnsi="宋体" w:cs="宋体"/>
                <w:bCs/>
                <w:kern w:val="0"/>
                <w:szCs w:val="21"/>
              </w:rPr>
            </w:pPr>
            <w:r>
              <w:rPr>
                <w:rFonts w:hint="eastAsia" w:ascii="宋体" w:hAnsi="宋体" w:cs="宋体"/>
                <w:bCs/>
                <w:kern w:val="0"/>
                <w:szCs w:val="21"/>
              </w:rPr>
              <w:t xml:space="preserve">6.90 </w:t>
            </w:r>
          </w:p>
        </w:tc>
        <w:tc>
          <w:tcPr>
            <w:tcW w:w="2192" w:type="dxa"/>
            <w:shd w:val="clear" w:color="auto" w:fill="auto"/>
            <w:vAlign w:val="center"/>
          </w:tcPr>
          <w:p w14:paraId="1ADF1B36">
            <w:pPr>
              <w:widowControl/>
              <w:jc w:val="left"/>
              <w:rPr>
                <w:rFonts w:ascii="宋体" w:hAnsi="宋体" w:cs="宋体"/>
                <w:kern w:val="0"/>
                <w:szCs w:val="21"/>
              </w:rPr>
            </w:pPr>
          </w:p>
        </w:tc>
      </w:tr>
    </w:tbl>
    <w:p w14:paraId="2004E4B6">
      <w:pPr>
        <w:spacing w:line="360" w:lineRule="auto"/>
        <w:ind w:firstLine="560" w:firstLineChars="200"/>
        <w:rPr>
          <w:rFonts w:hint="eastAsia" w:ascii="楷体_GB2312" w:eastAsia="楷体_GB2312"/>
          <w:sz w:val="28"/>
        </w:rPr>
      </w:pPr>
    </w:p>
    <w:p w14:paraId="4EC1B935">
      <w:pPr>
        <w:spacing w:line="360" w:lineRule="auto"/>
        <w:ind w:firstLine="560" w:firstLineChars="200"/>
        <w:rPr>
          <w:rFonts w:hint="eastAsia" w:ascii="楷体_GB2312" w:eastAsia="楷体_GB2312"/>
          <w:sz w:val="28"/>
        </w:rPr>
      </w:pPr>
      <w:r>
        <w:rPr>
          <w:rFonts w:hint="eastAsia" w:ascii="楷体_GB2312" w:eastAsia="楷体_GB2312"/>
          <w:sz w:val="28"/>
        </w:rPr>
        <w:t>（二）项目预算绩效目标的完成情况</w:t>
      </w:r>
    </w:p>
    <w:p w14:paraId="4456B71E">
      <w:pPr>
        <w:widowControl/>
        <w:spacing w:line="600" w:lineRule="exact"/>
        <w:ind w:firstLine="640"/>
        <w:jc w:val="left"/>
        <w:rPr>
          <w:rFonts w:ascii="宋体" w:hAnsi="宋体" w:cs="宋体"/>
          <w:sz w:val="28"/>
          <w:szCs w:val="28"/>
        </w:rPr>
      </w:pPr>
      <w:r>
        <w:rPr>
          <w:rFonts w:hint="eastAsia" w:ascii="方正楷体简体" w:eastAsia="方正楷体简体"/>
          <w:sz w:val="28"/>
          <w:szCs w:val="28"/>
        </w:rPr>
        <w:t>依据年初</w:t>
      </w:r>
      <w:r>
        <w:rPr>
          <w:rFonts w:hint="eastAsia" w:ascii="宋体" w:hAnsi="宋体" w:cs="宋体"/>
          <w:sz w:val="28"/>
          <w:szCs w:val="28"/>
        </w:rPr>
        <w:t>“九峰街道办事处</w:t>
      </w:r>
      <w:r>
        <w:rPr>
          <w:rFonts w:hint="eastAsia"/>
          <w:sz w:val="28"/>
          <w:szCs w:val="28"/>
        </w:rPr>
        <w:t>社会保障和就业资金</w:t>
      </w:r>
      <w:r>
        <w:rPr>
          <w:rFonts w:hint="eastAsia" w:ascii="宋体" w:hAnsi="宋体" w:cs="宋体"/>
          <w:sz w:val="28"/>
          <w:szCs w:val="28"/>
        </w:rPr>
        <w:t>”《项目</w:t>
      </w:r>
      <w:r>
        <w:rPr>
          <w:rFonts w:ascii="宋体" w:hAnsi="宋体" w:cs="宋体"/>
          <w:sz w:val="28"/>
          <w:szCs w:val="28"/>
        </w:rPr>
        <w:t>绩效</w:t>
      </w:r>
      <w:r>
        <w:rPr>
          <w:rFonts w:hint="eastAsia" w:ascii="宋体" w:hAnsi="宋体" w:cs="宋体"/>
          <w:sz w:val="28"/>
          <w:szCs w:val="28"/>
        </w:rPr>
        <w:t>目标编制说明》，结合2017年度项目实际实施情况，对部分绩效指标做出相应的调整，以期更准确、更有效地反映本项目的绩效情况，具体情况如下表《项目预算绩效评价表》。</w:t>
      </w:r>
    </w:p>
    <w:p w14:paraId="16EFAE08">
      <w:pPr>
        <w:widowControl/>
        <w:spacing w:after="156" w:afterLines="50" w:line="600" w:lineRule="exact"/>
        <w:jc w:val="left"/>
        <w:rPr>
          <w:rFonts w:hint="eastAsia" w:ascii="方正楷体简体" w:eastAsia="方正楷体简体"/>
          <w:b/>
          <w:sz w:val="28"/>
          <w:szCs w:val="28"/>
        </w:rPr>
      </w:pPr>
      <w:r>
        <w:rPr>
          <w:rFonts w:hint="eastAsia" w:ascii="方正楷体简体" w:eastAsia="方正楷体简体"/>
          <w:b/>
          <w:sz w:val="28"/>
          <w:szCs w:val="28"/>
        </w:rPr>
        <w:t>表：项目预算绩效评价表</w:t>
      </w:r>
    </w:p>
    <w:tbl>
      <w:tblPr>
        <w:tblStyle w:val="5"/>
        <w:tblW w:w="8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42"/>
        <w:gridCol w:w="1391"/>
        <w:gridCol w:w="2269"/>
        <w:gridCol w:w="2458"/>
        <w:gridCol w:w="714"/>
      </w:tblGrid>
      <w:tr w14:paraId="2481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850" w:type="dxa"/>
            <w:shd w:val="clear" w:color="auto" w:fill="auto"/>
            <w:vAlign w:val="center"/>
          </w:tcPr>
          <w:p w14:paraId="55808381">
            <w:pPr>
              <w:widowControl/>
              <w:jc w:val="center"/>
              <w:rPr>
                <w:rFonts w:ascii="宋体" w:hAnsi="宋体" w:cs="宋体"/>
                <w:b/>
                <w:bCs/>
                <w:color w:val="000000"/>
                <w:kern w:val="0"/>
                <w:sz w:val="22"/>
              </w:rPr>
            </w:pPr>
            <w:r>
              <w:rPr>
                <w:rFonts w:hint="eastAsia" w:ascii="宋体" w:hAnsi="宋体" w:cs="宋体"/>
                <w:b/>
                <w:bCs/>
                <w:color w:val="000000"/>
                <w:kern w:val="0"/>
                <w:sz w:val="22"/>
              </w:rPr>
              <w:t>一级</w:t>
            </w:r>
          </w:p>
          <w:p w14:paraId="21FF0C7C">
            <w:pPr>
              <w:widowControl/>
              <w:jc w:val="center"/>
              <w:rPr>
                <w:rFonts w:ascii="宋体" w:hAnsi="宋体" w:cs="宋体"/>
                <w:b/>
                <w:bCs/>
                <w:color w:val="000000"/>
                <w:kern w:val="0"/>
                <w:sz w:val="22"/>
              </w:rPr>
            </w:pPr>
            <w:r>
              <w:rPr>
                <w:rFonts w:hint="eastAsia" w:ascii="宋体" w:hAnsi="宋体" w:cs="宋体"/>
                <w:b/>
                <w:bCs/>
                <w:color w:val="000000"/>
                <w:kern w:val="0"/>
                <w:sz w:val="22"/>
              </w:rPr>
              <w:t>指标</w:t>
            </w:r>
          </w:p>
        </w:tc>
        <w:tc>
          <w:tcPr>
            <w:tcW w:w="942" w:type="dxa"/>
            <w:shd w:val="clear" w:color="auto" w:fill="auto"/>
            <w:vAlign w:val="center"/>
          </w:tcPr>
          <w:p w14:paraId="4B1F1210">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391" w:type="dxa"/>
            <w:shd w:val="clear" w:color="auto" w:fill="auto"/>
            <w:vAlign w:val="center"/>
          </w:tcPr>
          <w:p w14:paraId="304E833A">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269" w:type="dxa"/>
            <w:shd w:val="clear" w:color="auto" w:fill="auto"/>
            <w:vAlign w:val="center"/>
          </w:tcPr>
          <w:p w14:paraId="2BCD7A90">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458" w:type="dxa"/>
            <w:shd w:val="clear" w:color="auto" w:fill="auto"/>
            <w:vAlign w:val="center"/>
          </w:tcPr>
          <w:p w14:paraId="7D63BAB7">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14" w:type="dxa"/>
            <w:shd w:val="clear" w:color="auto" w:fill="auto"/>
            <w:vAlign w:val="center"/>
          </w:tcPr>
          <w:p w14:paraId="55E32F84">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675B3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50" w:type="dxa"/>
            <w:vMerge w:val="restart"/>
            <w:shd w:val="clear" w:color="auto" w:fill="auto"/>
            <w:vAlign w:val="center"/>
          </w:tcPr>
          <w:p w14:paraId="16DDB21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942" w:type="dxa"/>
            <w:vMerge w:val="restart"/>
            <w:shd w:val="clear" w:color="auto" w:fill="auto"/>
            <w:vAlign w:val="center"/>
          </w:tcPr>
          <w:p w14:paraId="31C0EEB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1391" w:type="dxa"/>
            <w:shd w:val="clear" w:color="auto" w:fill="auto"/>
            <w:vAlign w:val="center"/>
          </w:tcPr>
          <w:p w14:paraId="23E1565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2269" w:type="dxa"/>
            <w:shd w:val="clear" w:color="auto" w:fill="auto"/>
            <w:vAlign w:val="center"/>
          </w:tcPr>
          <w:p w14:paraId="0E776B9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2458" w:type="dxa"/>
            <w:shd w:val="clear" w:color="auto" w:fill="auto"/>
            <w:vAlign w:val="center"/>
          </w:tcPr>
          <w:p w14:paraId="59EE4AB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本项目经费为持续性、常年性项目，项目立项规范，符合相关政策要求。但部分立项分类与预算决算分类不一致。</w:t>
            </w:r>
          </w:p>
        </w:tc>
        <w:tc>
          <w:tcPr>
            <w:tcW w:w="714" w:type="dxa"/>
            <w:shd w:val="clear" w:color="auto" w:fill="auto"/>
            <w:vAlign w:val="center"/>
          </w:tcPr>
          <w:p w14:paraId="09C2F06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33AD6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850" w:type="dxa"/>
            <w:vMerge w:val="continue"/>
            <w:shd w:val="clear" w:color="auto" w:fill="auto"/>
            <w:vAlign w:val="center"/>
          </w:tcPr>
          <w:p w14:paraId="1633F5EE">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6A8CE785">
            <w:pPr>
              <w:widowControl/>
              <w:jc w:val="left"/>
              <w:rPr>
                <w:rFonts w:ascii="楷体_GB2312" w:hAnsi="宋体" w:eastAsia="楷体_GB2312" w:cs="宋体"/>
                <w:color w:val="000000"/>
                <w:kern w:val="0"/>
                <w:sz w:val="22"/>
              </w:rPr>
            </w:pPr>
          </w:p>
        </w:tc>
        <w:tc>
          <w:tcPr>
            <w:tcW w:w="1391" w:type="dxa"/>
            <w:shd w:val="clear" w:color="auto" w:fill="auto"/>
            <w:vAlign w:val="center"/>
          </w:tcPr>
          <w:p w14:paraId="7917A58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2269" w:type="dxa"/>
            <w:shd w:val="clear" w:color="auto" w:fill="auto"/>
            <w:vAlign w:val="center"/>
          </w:tcPr>
          <w:p w14:paraId="54EB103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项目是否设定绩效目标和绩效指标，所设定的绩效目标和指标是否符合实际，用以反映和考核项目绩效目标与项目实施的相符情况。</w:t>
            </w:r>
          </w:p>
        </w:tc>
        <w:tc>
          <w:tcPr>
            <w:tcW w:w="2458" w:type="dxa"/>
            <w:shd w:val="clear" w:color="auto" w:fill="auto"/>
            <w:vAlign w:val="center"/>
          </w:tcPr>
          <w:p w14:paraId="16167FC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项目设定了绩效目标和绩效指标，所设定的绩效目标和指标基本符合实际，但设立的指标较为粗略，部分难以有效体现项目效果。</w:t>
            </w:r>
          </w:p>
        </w:tc>
        <w:tc>
          <w:tcPr>
            <w:tcW w:w="714" w:type="dxa"/>
            <w:shd w:val="clear" w:color="auto" w:fill="auto"/>
            <w:vAlign w:val="center"/>
          </w:tcPr>
          <w:p w14:paraId="4868BB0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5A893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60E3B231">
            <w:pPr>
              <w:widowControl/>
              <w:jc w:val="left"/>
              <w:rPr>
                <w:rFonts w:ascii="楷体_GB2312" w:hAnsi="宋体" w:eastAsia="楷体_GB2312" w:cs="宋体"/>
                <w:color w:val="000000"/>
                <w:kern w:val="0"/>
                <w:sz w:val="22"/>
              </w:rPr>
            </w:pPr>
          </w:p>
        </w:tc>
        <w:tc>
          <w:tcPr>
            <w:tcW w:w="942" w:type="dxa"/>
            <w:vMerge w:val="restart"/>
            <w:shd w:val="clear" w:color="auto" w:fill="auto"/>
            <w:vAlign w:val="center"/>
          </w:tcPr>
          <w:p w14:paraId="5FBF23B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1391" w:type="dxa"/>
            <w:shd w:val="clear" w:color="auto" w:fill="auto"/>
            <w:vAlign w:val="center"/>
          </w:tcPr>
          <w:p w14:paraId="70CBC39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2269" w:type="dxa"/>
            <w:shd w:val="clear" w:color="auto" w:fill="auto"/>
            <w:vAlign w:val="center"/>
          </w:tcPr>
          <w:p w14:paraId="5129B7B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2458" w:type="dxa"/>
            <w:shd w:val="clear" w:color="auto" w:fill="auto"/>
            <w:vAlign w:val="center"/>
          </w:tcPr>
          <w:p w14:paraId="71BC0BD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预算批复金额673.98万元与预算申报金额一致，实际支出资金882.83万元。</w:t>
            </w:r>
          </w:p>
        </w:tc>
        <w:tc>
          <w:tcPr>
            <w:tcW w:w="714" w:type="dxa"/>
            <w:shd w:val="clear" w:color="auto" w:fill="auto"/>
            <w:vAlign w:val="center"/>
          </w:tcPr>
          <w:p w14:paraId="772873F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55FAA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50" w:type="dxa"/>
            <w:vMerge w:val="continue"/>
            <w:shd w:val="clear" w:color="auto" w:fill="auto"/>
            <w:vAlign w:val="center"/>
          </w:tcPr>
          <w:p w14:paraId="00774196">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4157E42F">
            <w:pPr>
              <w:widowControl/>
              <w:jc w:val="left"/>
              <w:rPr>
                <w:rFonts w:ascii="楷体_GB2312" w:hAnsi="宋体" w:eastAsia="楷体_GB2312" w:cs="宋体"/>
                <w:color w:val="000000"/>
                <w:kern w:val="0"/>
                <w:sz w:val="22"/>
              </w:rPr>
            </w:pPr>
          </w:p>
        </w:tc>
        <w:tc>
          <w:tcPr>
            <w:tcW w:w="1391" w:type="dxa"/>
            <w:shd w:val="clear" w:color="auto" w:fill="auto"/>
            <w:vAlign w:val="center"/>
          </w:tcPr>
          <w:p w14:paraId="4955B70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2269" w:type="dxa"/>
            <w:shd w:val="clear" w:color="auto" w:fill="auto"/>
            <w:vAlign w:val="center"/>
          </w:tcPr>
          <w:p w14:paraId="1587886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2458" w:type="dxa"/>
            <w:shd w:val="clear" w:color="auto" w:fill="auto"/>
            <w:vAlign w:val="center"/>
          </w:tcPr>
          <w:p w14:paraId="31B24F2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及时拨付各村项目资金，资金到位及时率100%</w:t>
            </w:r>
          </w:p>
        </w:tc>
        <w:tc>
          <w:tcPr>
            <w:tcW w:w="714" w:type="dxa"/>
            <w:shd w:val="clear" w:color="auto" w:fill="auto"/>
            <w:vAlign w:val="center"/>
          </w:tcPr>
          <w:p w14:paraId="5D559B3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EC65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910" w:type="dxa"/>
            <w:gridSpan w:val="5"/>
            <w:shd w:val="clear" w:color="auto" w:fill="auto"/>
            <w:vAlign w:val="center"/>
          </w:tcPr>
          <w:p w14:paraId="12FCD021">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14" w:type="dxa"/>
            <w:shd w:val="clear" w:color="auto" w:fill="auto"/>
            <w:vAlign w:val="center"/>
          </w:tcPr>
          <w:p w14:paraId="063A616B">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16</w:t>
            </w:r>
          </w:p>
        </w:tc>
      </w:tr>
      <w:tr w14:paraId="1080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50" w:type="dxa"/>
            <w:vMerge w:val="restart"/>
            <w:shd w:val="clear" w:color="auto" w:fill="auto"/>
            <w:vAlign w:val="center"/>
          </w:tcPr>
          <w:p w14:paraId="3835316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942" w:type="dxa"/>
            <w:vMerge w:val="restart"/>
            <w:shd w:val="clear" w:color="auto" w:fill="auto"/>
            <w:vAlign w:val="center"/>
          </w:tcPr>
          <w:p w14:paraId="61DE726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1391" w:type="dxa"/>
            <w:shd w:val="clear" w:color="auto" w:fill="auto"/>
            <w:vAlign w:val="center"/>
          </w:tcPr>
          <w:p w14:paraId="077E407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2269" w:type="dxa"/>
            <w:shd w:val="clear" w:color="auto" w:fill="auto"/>
            <w:vAlign w:val="center"/>
          </w:tcPr>
          <w:p w14:paraId="03F045C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2458" w:type="dxa"/>
            <w:vMerge w:val="restart"/>
            <w:shd w:val="clear" w:color="auto" w:fill="auto"/>
            <w:vAlign w:val="center"/>
          </w:tcPr>
          <w:p w14:paraId="5FB64CA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项目执行部门建立了良好的工作机制和工作流程并得以有效执行，并由街道建立了项目监督机制和项目考核机制，用于支撑项目顺利实施，项目基础资料齐备。</w:t>
            </w:r>
          </w:p>
        </w:tc>
        <w:tc>
          <w:tcPr>
            <w:tcW w:w="714" w:type="dxa"/>
            <w:shd w:val="clear" w:color="auto" w:fill="auto"/>
            <w:vAlign w:val="center"/>
          </w:tcPr>
          <w:p w14:paraId="61298F5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77E90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50" w:type="dxa"/>
            <w:vMerge w:val="continue"/>
            <w:shd w:val="clear" w:color="auto" w:fill="auto"/>
            <w:vAlign w:val="center"/>
          </w:tcPr>
          <w:p w14:paraId="48B73110">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0D7F0466">
            <w:pPr>
              <w:widowControl/>
              <w:jc w:val="left"/>
              <w:rPr>
                <w:rFonts w:ascii="楷体_GB2312" w:hAnsi="宋体" w:eastAsia="楷体_GB2312" w:cs="宋体"/>
                <w:color w:val="000000"/>
                <w:kern w:val="0"/>
                <w:sz w:val="22"/>
              </w:rPr>
            </w:pPr>
          </w:p>
        </w:tc>
        <w:tc>
          <w:tcPr>
            <w:tcW w:w="1391" w:type="dxa"/>
            <w:shd w:val="clear" w:color="auto" w:fill="auto"/>
            <w:vAlign w:val="center"/>
          </w:tcPr>
          <w:p w14:paraId="0682526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2269" w:type="dxa"/>
            <w:shd w:val="clear" w:color="auto" w:fill="auto"/>
            <w:vAlign w:val="center"/>
          </w:tcPr>
          <w:p w14:paraId="7F7FD92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2458" w:type="dxa"/>
            <w:vMerge w:val="continue"/>
            <w:shd w:val="clear" w:color="auto" w:fill="auto"/>
            <w:vAlign w:val="center"/>
          </w:tcPr>
          <w:p w14:paraId="52A96B21">
            <w:pPr>
              <w:widowControl/>
              <w:jc w:val="left"/>
              <w:rPr>
                <w:rFonts w:ascii="楷体_GB2312" w:hAnsi="宋体" w:eastAsia="楷体_GB2312" w:cs="宋体"/>
                <w:color w:val="000000"/>
                <w:kern w:val="0"/>
                <w:sz w:val="22"/>
              </w:rPr>
            </w:pPr>
          </w:p>
        </w:tc>
        <w:tc>
          <w:tcPr>
            <w:tcW w:w="714" w:type="dxa"/>
            <w:shd w:val="clear" w:color="auto" w:fill="auto"/>
            <w:vAlign w:val="center"/>
          </w:tcPr>
          <w:p w14:paraId="73D2E15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6E017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6D17A05E">
            <w:pPr>
              <w:widowControl/>
              <w:jc w:val="left"/>
              <w:rPr>
                <w:rFonts w:ascii="楷体_GB2312" w:hAnsi="宋体" w:eastAsia="楷体_GB2312" w:cs="宋体"/>
                <w:color w:val="000000"/>
                <w:kern w:val="0"/>
                <w:sz w:val="22"/>
              </w:rPr>
            </w:pPr>
          </w:p>
        </w:tc>
        <w:tc>
          <w:tcPr>
            <w:tcW w:w="942" w:type="dxa"/>
            <w:vMerge w:val="restart"/>
            <w:shd w:val="clear" w:color="auto" w:fill="auto"/>
            <w:vAlign w:val="center"/>
          </w:tcPr>
          <w:p w14:paraId="246EC79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1391" w:type="dxa"/>
            <w:shd w:val="clear" w:color="auto" w:fill="auto"/>
            <w:vAlign w:val="center"/>
          </w:tcPr>
          <w:p w14:paraId="3B44E49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2269" w:type="dxa"/>
            <w:shd w:val="clear" w:color="auto" w:fill="auto"/>
            <w:vAlign w:val="center"/>
          </w:tcPr>
          <w:p w14:paraId="5D4701D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2458" w:type="dxa"/>
            <w:vMerge w:val="restart"/>
            <w:shd w:val="clear" w:color="auto" w:fill="auto"/>
            <w:vAlign w:val="center"/>
          </w:tcPr>
          <w:p w14:paraId="303FFE2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制订了严格的财务管理措施，尤其对各项补助及绩效的发放明确了授权和审核、签批流程，每项支出均有迹可循。会计账簿中重要支出事项原始单据或记录手续齐全，单证规范，标准相符，财务把关严格，会计核算准确、完整。</w:t>
            </w:r>
          </w:p>
        </w:tc>
        <w:tc>
          <w:tcPr>
            <w:tcW w:w="714" w:type="dxa"/>
            <w:shd w:val="clear" w:color="auto" w:fill="auto"/>
            <w:vAlign w:val="center"/>
          </w:tcPr>
          <w:p w14:paraId="6F497A3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62CD7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79F454D3">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22DD71EE">
            <w:pPr>
              <w:widowControl/>
              <w:jc w:val="left"/>
              <w:rPr>
                <w:rFonts w:ascii="楷体_GB2312" w:hAnsi="宋体" w:eastAsia="楷体_GB2312" w:cs="宋体"/>
                <w:color w:val="000000"/>
                <w:kern w:val="0"/>
                <w:sz w:val="22"/>
              </w:rPr>
            </w:pPr>
          </w:p>
        </w:tc>
        <w:tc>
          <w:tcPr>
            <w:tcW w:w="1391" w:type="dxa"/>
            <w:shd w:val="clear" w:color="auto" w:fill="auto"/>
            <w:vAlign w:val="center"/>
          </w:tcPr>
          <w:p w14:paraId="10585BB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2269" w:type="dxa"/>
            <w:shd w:val="clear" w:color="auto" w:fill="auto"/>
            <w:vAlign w:val="center"/>
          </w:tcPr>
          <w:p w14:paraId="45C2C2B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2458" w:type="dxa"/>
            <w:vMerge w:val="continue"/>
            <w:shd w:val="clear" w:color="auto" w:fill="auto"/>
            <w:vAlign w:val="center"/>
          </w:tcPr>
          <w:p w14:paraId="7EFDE2A6">
            <w:pPr>
              <w:widowControl/>
              <w:jc w:val="left"/>
              <w:rPr>
                <w:rFonts w:ascii="楷体_GB2312" w:hAnsi="宋体" w:eastAsia="楷体_GB2312" w:cs="宋体"/>
                <w:color w:val="000000"/>
                <w:kern w:val="0"/>
                <w:sz w:val="22"/>
              </w:rPr>
            </w:pPr>
          </w:p>
        </w:tc>
        <w:tc>
          <w:tcPr>
            <w:tcW w:w="714" w:type="dxa"/>
            <w:shd w:val="clear" w:color="auto" w:fill="auto"/>
            <w:vAlign w:val="center"/>
          </w:tcPr>
          <w:p w14:paraId="5A09F43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2EC2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910" w:type="dxa"/>
            <w:gridSpan w:val="5"/>
            <w:shd w:val="clear" w:color="auto" w:fill="auto"/>
            <w:vAlign w:val="center"/>
          </w:tcPr>
          <w:p w14:paraId="3F23C7E6">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14" w:type="dxa"/>
            <w:shd w:val="clear" w:color="auto" w:fill="auto"/>
            <w:vAlign w:val="center"/>
          </w:tcPr>
          <w:p w14:paraId="101513E9">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16</w:t>
            </w:r>
          </w:p>
        </w:tc>
      </w:tr>
      <w:tr w14:paraId="17B4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restart"/>
            <w:shd w:val="clear" w:color="auto" w:fill="auto"/>
            <w:vAlign w:val="center"/>
          </w:tcPr>
          <w:p w14:paraId="72E74DE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942" w:type="dxa"/>
            <w:vMerge w:val="restart"/>
            <w:shd w:val="clear" w:color="auto" w:fill="auto"/>
            <w:vAlign w:val="center"/>
          </w:tcPr>
          <w:p w14:paraId="2BA6A88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数量指标（15分）</w:t>
            </w:r>
          </w:p>
        </w:tc>
        <w:tc>
          <w:tcPr>
            <w:tcW w:w="1391" w:type="dxa"/>
            <w:shd w:val="clear" w:color="auto" w:fill="auto"/>
            <w:vAlign w:val="center"/>
          </w:tcPr>
          <w:p w14:paraId="5128C3A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资金使用率（5分）</w:t>
            </w:r>
          </w:p>
        </w:tc>
        <w:tc>
          <w:tcPr>
            <w:tcW w:w="2269" w:type="dxa"/>
            <w:shd w:val="clear" w:color="auto" w:fill="auto"/>
            <w:vAlign w:val="center"/>
          </w:tcPr>
          <w:p w14:paraId="754F928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资金使用率达到100%</w:t>
            </w:r>
          </w:p>
        </w:tc>
        <w:tc>
          <w:tcPr>
            <w:tcW w:w="2458" w:type="dxa"/>
            <w:shd w:val="clear" w:color="auto" w:fill="auto"/>
            <w:vAlign w:val="center"/>
          </w:tcPr>
          <w:p w14:paraId="0061803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74E4E63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115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24CA04E3">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33349D9B">
            <w:pPr>
              <w:widowControl/>
              <w:jc w:val="left"/>
              <w:rPr>
                <w:rFonts w:ascii="楷体_GB2312" w:hAnsi="宋体" w:eastAsia="楷体_GB2312" w:cs="宋体"/>
                <w:color w:val="000000"/>
                <w:kern w:val="0"/>
                <w:sz w:val="22"/>
              </w:rPr>
            </w:pPr>
          </w:p>
        </w:tc>
        <w:tc>
          <w:tcPr>
            <w:tcW w:w="1391" w:type="dxa"/>
            <w:shd w:val="clear" w:color="auto" w:fill="auto"/>
            <w:vAlign w:val="center"/>
          </w:tcPr>
          <w:p w14:paraId="0F11EEE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党群活动（3分）</w:t>
            </w:r>
          </w:p>
        </w:tc>
        <w:tc>
          <w:tcPr>
            <w:tcW w:w="2269" w:type="dxa"/>
            <w:shd w:val="clear" w:color="auto" w:fill="auto"/>
            <w:vAlign w:val="center"/>
          </w:tcPr>
          <w:p w14:paraId="2EBAC5F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党群活动10项左右（包括村级党群活动）</w:t>
            </w:r>
          </w:p>
        </w:tc>
        <w:tc>
          <w:tcPr>
            <w:tcW w:w="2458" w:type="dxa"/>
            <w:shd w:val="clear" w:color="auto" w:fill="auto"/>
            <w:vAlign w:val="center"/>
          </w:tcPr>
          <w:p w14:paraId="695D190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10次</w:t>
            </w:r>
          </w:p>
        </w:tc>
        <w:tc>
          <w:tcPr>
            <w:tcW w:w="714" w:type="dxa"/>
            <w:shd w:val="clear" w:color="auto" w:fill="auto"/>
            <w:vAlign w:val="center"/>
          </w:tcPr>
          <w:p w14:paraId="28F1D9F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05DC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106D52E9">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74E62C36">
            <w:pPr>
              <w:widowControl/>
              <w:jc w:val="left"/>
              <w:rPr>
                <w:rFonts w:ascii="楷体_GB2312" w:hAnsi="宋体" w:eastAsia="楷体_GB2312" w:cs="宋体"/>
                <w:color w:val="000000"/>
                <w:kern w:val="0"/>
                <w:sz w:val="22"/>
              </w:rPr>
            </w:pPr>
          </w:p>
        </w:tc>
        <w:tc>
          <w:tcPr>
            <w:tcW w:w="1391" w:type="dxa"/>
            <w:shd w:val="clear" w:color="auto" w:fill="auto"/>
            <w:vAlign w:val="center"/>
          </w:tcPr>
          <w:p w14:paraId="4787D00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社区居民培训及活动 （2分）</w:t>
            </w:r>
          </w:p>
        </w:tc>
        <w:tc>
          <w:tcPr>
            <w:tcW w:w="2269" w:type="dxa"/>
            <w:shd w:val="clear" w:color="auto" w:fill="auto"/>
            <w:vAlign w:val="center"/>
          </w:tcPr>
          <w:p w14:paraId="28D42B8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社区居民培训及活动30次（包括村级组织的培训及活动）</w:t>
            </w:r>
          </w:p>
        </w:tc>
        <w:tc>
          <w:tcPr>
            <w:tcW w:w="2458" w:type="dxa"/>
            <w:shd w:val="clear" w:color="auto" w:fill="auto"/>
            <w:vAlign w:val="center"/>
          </w:tcPr>
          <w:p w14:paraId="0D2783B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30次</w:t>
            </w:r>
          </w:p>
        </w:tc>
        <w:tc>
          <w:tcPr>
            <w:tcW w:w="714" w:type="dxa"/>
            <w:shd w:val="clear" w:color="auto" w:fill="auto"/>
            <w:vAlign w:val="center"/>
          </w:tcPr>
          <w:p w14:paraId="5EFD798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2</w:t>
            </w:r>
          </w:p>
        </w:tc>
      </w:tr>
      <w:tr w14:paraId="188B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4DCDE90A">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1BF3FDF8">
            <w:pPr>
              <w:widowControl/>
              <w:jc w:val="left"/>
              <w:rPr>
                <w:rFonts w:ascii="楷体_GB2312" w:hAnsi="宋体" w:eastAsia="楷体_GB2312" w:cs="宋体"/>
                <w:color w:val="000000"/>
                <w:kern w:val="0"/>
                <w:sz w:val="22"/>
              </w:rPr>
            </w:pPr>
          </w:p>
        </w:tc>
        <w:tc>
          <w:tcPr>
            <w:tcW w:w="1391" w:type="dxa"/>
            <w:shd w:val="clear" w:color="auto" w:fill="auto"/>
            <w:vAlign w:val="center"/>
          </w:tcPr>
          <w:p w14:paraId="4783F04E">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社会保障资金的覆盖率（5分）</w:t>
            </w:r>
          </w:p>
        </w:tc>
        <w:tc>
          <w:tcPr>
            <w:tcW w:w="2269" w:type="dxa"/>
            <w:shd w:val="clear" w:color="auto" w:fill="auto"/>
            <w:vAlign w:val="center"/>
          </w:tcPr>
          <w:p w14:paraId="76827CDA">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社会保障资金的覆盖率95%（实际应补助人员人数/应当补助人员人数）</w:t>
            </w:r>
          </w:p>
        </w:tc>
        <w:tc>
          <w:tcPr>
            <w:tcW w:w="2458" w:type="dxa"/>
            <w:shd w:val="clear" w:color="auto" w:fill="auto"/>
            <w:vAlign w:val="center"/>
          </w:tcPr>
          <w:p w14:paraId="574BEE8B">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98%</w:t>
            </w:r>
          </w:p>
        </w:tc>
        <w:tc>
          <w:tcPr>
            <w:tcW w:w="714" w:type="dxa"/>
            <w:shd w:val="clear" w:color="auto" w:fill="auto"/>
            <w:vAlign w:val="center"/>
          </w:tcPr>
          <w:p w14:paraId="0C9FB774">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BA3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5DDD31D7">
            <w:pPr>
              <w:widowControl/>
              <w:jc w:val="left"/>
              <w:rPr>
                <w:rFonts w:ascii="楷体_GB2312" w:hAnsi="宋体" w:eastAsia="楷体_GB2312" w:cs="宋体"/>
                <w:color w:val="000000"/>
                <w:kern w:val="0"/>
                <w:sz w:val="22"/>
              </w:rPr>
            </w:pPr>
          </w:p>
        </w:tc>
        <w:tc>
          <w:tcPr>
            <w:tcW w:w="942" w:type="dxa"/>
            <w:vMerge w:val="restart"/>
            <w:shd w:val="clear" w:color="auto" w:fill="auto"/>
            <w:vAlign w:val="center"/>
          </w:tcPr>
          <w:p w14:paraId="65B00BC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质量指标（10分）</w:t>
            </w:r>
          </w:p>
        </w:tc>
        <w:tc>
          <w:tcPr>
            <w:tcW w:w="1391" w:type="dxa"/>
            <w:shd w:val="clear" w:color="auto" w:fill="auto"/>
            <w:vAlign w:val="center"/>
          </w:tcPr>
          <w:p w14:paraId="4D333B7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社区文化活动覆盖率（5分）</w:t>
            </w:r>
          </w:p>
        </w:tc>
        <w:tc>
          <w:tcPr>
            <w:tcW w:w="2269" w:type="dxa"/>
            <w:shd w:val="clear" w:color="auto" w:fill="auto"/>
            <w:vAlign w:val="center"/>
          </w:tcPr>
          <w:p w14:paraId="623EBDE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社区文化活动覆盖率90%（按实际开展文化活动社区/应当开展文化活动的社区）</w:t>
            </w:r>
          </w:p>
        </w:tc>
        <w:tc>
          <w:tcPr>
            <w:tcW w:w="2458" w:type="dxa"/>
            <w:shd w:val="clear" w:color="auto" w:fill="auto"/>
            <w:vAlign w:val="center"/>
          </w:tcPr>
          <w:p w14:paraId="0B056DE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543A088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3F7F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19BC2BE5">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42B820D2">
            <w:pPr>
              <w:widowControl/>
              <w:jc w:val="left"/>
              <w:rPr>
                <w:rFonts w:ascii="楷体_GB2312" w:hAnsi="宋体" w:eastAsia="楷体_GB2312" w:cs="宋体"/>
                <w:color w:val="000000"/>
                <w:kern w:val="0"/>
                <w:sz w:val="22"/>
              </w:rPr>
            </w:pPr>
          </w:p>
        </w:tc>
        <w:tc>
          <w:tcPr>
            <w:tcW w:w="1391" w:type="dxa"/>
            <w:shd w:val="clear" w:color="auto" w:fill="auto"/>
            <w:vAlign w:val="center"/>
          </w:tcPr>
          <w:p w14:paraId="739E27F1">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社会保障资金的合规率（5分）</w:t>
            </w:r>
          </w:p>
        </w:tc>
        <w:tc>
          <w:tcPr>
            <w:tcW w:w="2269" w:type="dxa"/>
            <w:shd w:val="clear" w:color="auto" w:fill="auto"/>
            <w:vAlign w:val="center"/>
          </w:tcPr>
          <w:p w14:paraId="4F85B0A5">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社会保障资金的合规率100%</w:t>
            </w:r>
          </w:p>
        </w:tc>
        <w:tc>
          <w:tcPr>
            <w:tcW w:w="2458" w:type="dxa"/>
            <w:shd w:val="clear" w:color="auto" w:fill="auto"/>
            <w:vAlign w:val="center"/>
          </w:tcPr>
          <w:p w14:paraId="6D56E212">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04A12502">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AFD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726DF5BD">
            <w:pPr>
              <w:widowControl/>
              <w:jc w:val="left"/>
              <w:rPr>
                <w:rFonts w:ascii="楷体_GB2312" w:hAnsi="宋体" w:eastAsia="楷体_GB2312" w:cs="宋体"/>
                <w:color w:val="000000"/>
                <w:kern w:val="0"/>
                <w:sz w:val="22"/>
              </w:rPr>
            </w:pPr>
          </w:p>
        </w:tc>
        <w:tc>
          <w:tcPr>
            <w:tcW w:w="942" w:type="dxa"/>
            <w:shd w:val="clear" w:color="auto" w:fill="auto"/>
            <w:vAlign w:val="center"/>
          </w:tcPr>
          <w:p w14:paraId="5C0037D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（5分）</w:t>
            </w:r>
          </w:p>
        </w:tc>
        <w:tc>
          <w:tcPr>
            <w:tcW w:w="1391" w:type="dxa"/>
            <w:shd w:val="clear" w:color="auto" w:fill="auto"/>
            <w:vAlign w:val="center"/>
          </w:tcPr>
          <w:p w14:paraId="3CA49EA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完成及时率（5分）</w:t>
            </w:r>
          </w:p>
        </w:tc>
        <w:tc>
          <w:tcPr>
            <w:tcW w:w="2269" w:type="dxa"/>
            <w:shd w:val="clear" w:color="auto" w:fill="auto"/>
            <w:vAlign w:val="center"/>
          </w:tcPr>
          <w:p w14:paraId="003AEC4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项目完成及时性达到100%</w:t>
            </w:r>
          </w:p>
        </w:tc>
        <w:tc>
          <w:tcPr>
            <w:tcW w:w="2458" w:type="dxa"/>
            <w:shd w:val="clear" w:color="auto" w:fill="auto"/>
            <w:vAlign w:val="center"/>
          </w:tcPr>
          <w:p w14:paraId="51C2B89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30504C3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EDB4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910" w:type="dxa"/>
            <w:gridSpan w:val="5"/>
            <w:shd w:val="clear" w:color="auto" w:fill="auto"/>
            <w:vAlign w:val="center"/>
          </w:tcPr>
          <w:p w14:paraId="1AE9B472">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14" w:type="dxa"/>
            <w:shd w:val="clear" w:color="auto" w:fill="auto"/>
            <w:vAlign w:val="center"/>
          </w:tcPr>
          <w:p w14:paraId="476EC486">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30</w:t>
            </w:r>
          </w:p>
        </w:tc>
      </w:tr>
      <w:tr w14:paraId="17520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restart"/>
            <w:shd w:val="clear" w:color="auto" w:fill="auto"/>
            <w:vAlign w:val="center"/>
          </w:tcPr>
          <w:p w14:paraId="58F0605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942" w:type="dxa"/>
            <w:shd w:val="clear" w:color="auto" w:fill="auto"/>
            <w:vAlign w:val="center"/>
          </w:tcPr>
          <w:p w14:paraId="0CC526F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 （10分）</w:t>
            </w:r>
          </w:p>
        </w:tc>
        <w:tc>
          <w:tcPr>
            <w:tcW w:w="1391" w:type="dxa"/>
            <w:shd w:val="clear" w:color="auto" w:fill="auto"/>
            <w:vAlign w:val="center"/>
          </w:tcPr>
          <w:p w14:paraId="0502A02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促进社会和谐（10分）</w:t>
            </w:r>
          </w:p>
        </w:tc>
        <w:tc>
          <w:tcPr>
            <w:tcW w:w="2269" w:type="dxa"/>
            <w:shd w:val="clear" w:color="auto" w:fill="auto"/>
            <w:vAlign w:val="center"/>
          </w:tcPr>
          <w:p w14:paraId="3DBA4A5B">
            <w:pPr>
              <w:pStyle w:val="11"/>
              <w:ind w:firstLine="0" w:firstLineChars="0"/>
              <w:rPr>
                <w:rFonts w:ascii="楷体_GB2312" w:hAnsi="宋体" w:eastAsia="楷体_GB2312" w:cs="宋体"/>
                <w:color w:val="000000"/>
                <w:kern w:val="0"/>
                <w:sz w:val="22"/>
              </w:rPr>
            </w:pPr>
            <w:r>
              <w:rPr>
                <w:rFonts w:hint="eastAsia" w:ascii="楷体_GB2312" w:hAnsi="宋体" w:eastAsia="楷体_GB2312" w:cs="宋体"/>
                <w:color w:val="000000"/>
                <w:kern w:val="0"/>
                <w:sz w:val="22"/>
              </w:rPr>
              <w:t>民众幸福满足感提高；维护特困人员基本生存权益，改善和提高特困人员、优抚对象生活状况和生活质量；使广大群众的生活水平和生活质量随着经济社会发展得到普遍提高。</w:t>
            </w:r>
          </w:p>
        </w:tc>
        <w:tc>
          <w:tcPr>
            <w:tcW w:w="2458" w:type="dxa"/>
            <w:shd w:val="clear" w:color="auto" w:fill="auto"/>
            <w:vAlign w:val="center"/>
          </w:tcPr>
          <w:p w14:paraId="15794DDB">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社区群众生活内容丰富多彩，幸福满足感提高，增强了对社区的归属感；文化演出活动的举办增强了社区的文化氛围，有利于提升社区群众的综合素质，为社区的长治久安打下坚实的基础，但尚有部分人员参与积极性不高。</w:t>
            </w:r>
          </w:p>
          <w:p w14:paraId="4717883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对困难人员、优质对象予了切实的帮助，贯彻了我党为人民服务的方针政策。</w:t>
            </w:r>
          </w:p>
        </w:tc>
        <w:tc>
          <w:tcPr>
            <w:tcW w:w="714" w:type="dxa"/>
            <w:shd w:val="clear" w:color="auto" w:fill="auto"/>
            <w:vAlign w:val="center"/>
          </w:tcPr>
          <w:p w14:paraId="5A1732D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w:t>
            </w:r>
          </w:p>
        </w:tc>
      </w:tr>
      <w:tr w14:paraId="7DA42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2CD94EE1">
            <w:pPr>
              <w:widowControl/>
              <w:jc w:val="left"/>
              <w:rPr>
                <w:rFonts w:ascii="楷体_GB2312" w:hAnsi="宋体" w:eastAsia="楷体_GB2312" w:cs="宋体"/>
                <w:color w:val="000000"/>
                <w:kern w:val="0"/>
                <w:sz w:val="22"/>
              </w:rPr>
            </w:pPr>
          </w:p>
        </w:tc>
        <w:tc>
          <w:tcPr>
            <w:tcW w:w="942" w:type="dxa"/>
            <w:vMerge w:val="restart"/>
            <w:shd w:val="clear" w:color="auto" w:fill="auto"/>
            <w:vAlign w:val="center"/>
          </w:tcPr>
          <w:p w14:paraId="572A046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可持续影响指标(10分)</w:t>
            </w:r>
          </w:p>
        </w:tc>
        <w:tc>
          <w:tcPr>
            <w:tcW w:w="1391" w:type="dxa"/>
            <w:shd w:val="clear" w:color="auto" w:fill="auto"/>
            <w:vAlign w:val="center"/>
          </w:tcPr>
          <w:p w14:paraId="0A7AF27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可持续影响指标（5分）</w:t>
            </w:r>
          </w:p>
        </w:tc>
        <w:tc>
          <w:tcPr>
            <w:tcW w:w="2269" w:type="dxa"/>
            <w:shd w:val="clear" w:color="auto" w:fill="auto"/>
            <w:vAlign w:val="center"/>
          </w:tcPr>
          <w:p w14:paraId="0C05754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持续发挥作用</w:t>
            </w:r>
          </w:p>
        </w:tc>
        <w:tc>
          <w:tcPr>
            <w:tcW w:w="2458" w:type="dxa"/>
            <w:shd w:val="clear" w:color="auto" w:fill="auto"/>
            <w:vAlign w:val="center"/>
          </w:tcPr>
          <w:p w14:paraId="06BA4DA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增强了凝聚力，在一定程度上确保了社会稳定，有利于建立良好的社会环境。</w:t>
            </w:r>
          </w:p>
        </w:tc>
        <w:tc>
          <w:tcPr>
            <w:tcW w:w="714" w:type="dxa"/>
            <w:shd w:val="clear" w:color="auto" w:fill="auto"/>
            <w:vAlign w:val="center"/>
          </w:tcPr>
          <w:p w14:paraId="3C9180D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AD0F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7CA2113E">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0492B8F5">
            <w:pPr>
              <w:widowControl/>
              <w:jc w:val="left"/>
              <w:rPr>
                <w:rFonts w:ascii="楷体_GB2312" w:hAnsi="宋体" w:eastAsia="楷体_GB2312" w:cs="宋体"/>
                <w:color w:val="000000"/>
                <w:kern w:val="0"/>
                <w:sz w:val="22"/>
              </w:rPr>
            </w:pPr>
          </w:p>
        </w:tc>
        <w:tc>
          <w:tcPr>
            <w:tcW w:w="1391" w:type="dxa"/>
            <w:shd w:val="clear" w:color="auto" w:fill="auto"/>
            <w:vAlign w:val="center"/>
          </w:tcPr>
          <w:p w14:paraId="5EDEF24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街道社会保障体系（5分）</w:t>
            </w:r>
          </w:p>
        </w:tc>
        <w:tc>
          <w:tcPr>
            <w:tcW w:w="2269" w:type="dxa"/>
            <w:shd w:val="clear" w:color="auto" w:fill="auto"/>
            <w:vAlign w:val="center"/>
          </w:tcPr>
          <w:p w14:paraId="333BE859">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机制持续、稳定</w:t>
            </w:r>
          </w:p>
        </w:tc>
        <w:tc>
          <w:tcPr>
            <w:tcW w:w="2458" w:type="dxa"/>
            <w:shd w:val="clear" w:color="auto" w:fill="auto"/>
            <w:vAlign w:val="center"/>
          </w:tcPr>
          <w:p w14:paraId="0F96D3EE">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提升公共服务水平，进一步发挥好“为民服务”的职能。</w:t>
            </w:r>
          </w:p>
        </w:tc>
        <w:tc>
          <w:tcPr>
            <w:tcW w:w="714" w:type="dxa"/>
            <w:shd w:val="clear" w:color="auto" w:fill="auto"/>
            <w:vAlign w:val="center"/>
          </w:tcPr>
          <w:p w14:paraId="47A00E36">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27F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2FB90983">
            <w:pPr>
              <w:widowControl/>
              <w:jc w:val="left"/>
              <w:rPr>
                <w:rFonts w:ascii="楷体_GB2312" w:hAnsi="宋体" w:eastAsia="楷体_GB2312" w:cs="宋体"/>
                <w:color w:val="000000"/>
                <w:kern w:val="0"/>
                <w:sz w:val="22"/>
              </w:rPr>
            </w:pPr>
          </w:p>
        </w:tc>
        <w:tc>
          <w:tcPr>
            <w:tcW w:w="942" w:type="dxa"/>
            <w:vMerge w:val="restart"/>
            <w:shd w:val="clear" w:color="auto" w:fill="auto"/>
            <w:vAlign w:val="center"/>
          </w:tcPr>
          <w:p w14:paraId="4367FD3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服务对象满意度指标 （10分）</w:t>
            </w:r>
          </w:p>
        </w:tc>
        <w:tc>
          <w:tcPr>
            <w:tcW w:w="1391" w:type="dxa"/>
            <w:shd w:val="clear" w:color="auto" w:fill="auto"/>
            <w:vAlign w:val="center"/>
          </w:tcPr>
          <w:p w14:paraId="48DBC13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社会公众或服务对象满意度指标（5分）</w:t>
            </w:r>
          </w:p>
        </w:tc>
        <w:tc>
          <w:tcPr>
            <w:tcW w:w="2269" w:type="dxa"/>
            <w:shd w:val="clear" w:color="auto" w:fill="auto"/>
            <w:vAlign w:val="center"/>
          </w:tcPr>
          <w:p w14:paraId="0B9F136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社区居民满意度</w:t>
            </w:r>
          </w:p>
        </w:tc>
        <w:tc>
          <w:tcPr>
            <w:tcW w:w="2458" w:type="dxa"/>
            <w:shd w:val="clear" w:color="auto" w:fill="auto"/>
            <w:vAlign w:val="center"/>
          </w:tcPr>
          <w:p w14:paraId="545BB7F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社区居民满意度85%</w:t>
            </w:r>
          </w:p>
        </w:tc>
        <w:tc>
          <w:tcPr>
            <w:tcW w:w="714" w:type="dxa"/>
            <w:shd w:val="clear" w:color="auto" w:fill="auto"/>
            <w:vAlign w:val="center"/>
          </w:tcPr>
          <w:p w14:paraId="4A66FC1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5200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50" w:type="dxa"/>
            <w:vMerge w:val="continue"/>
            <w:shd w:val="clear" w:color="auto" w:fill="auto"/>
            <w:vAlign w:val="center"/>
          </w:tcPr>
          <w:p w14:paraId="0D863EF2">
            <w:pPr>
              <w:widowControl/>
              <w:jc w:val="left"/>
              <w:rPr>
                <w:rFonts w:ascii="楷体_GB2312" w:hAnsi="宋体" w:eastAsia="楷体_GB2312" w:cs="宋体"/>
                <w:color w:val="000000"/>
                <w:kern w:val="0"/>
                <w:sz w:val="22"/>
              </w:rPr>
            </w:pPr>
          </w:p>
        </w:tc>
        <w:tc>
          <w:tcPr>
            <w:tcW w:w="942" w:type="dxa"/>
            <w:vMerge w:val="continue"/>
            <w:shd w:val="clear" w:color="auto" w:fill="auto"/>
            <w:vAlign w:val="center"/>
          </w:tcPr>
          <w:p w14:paraId="1175FD53">
            <w:pPr>
              <w:widowControl/>
              <w:jc w:val="left"/>
              <w:rPr>
                <w:rFonts w:ascii="楷体_GB2312" w:hAnsi="宋体" w:eastAsia="楷体_GB2312" w:cs="宋体"/>
                <w:color w:val="000000"/>
                <w:kern w:val="0"/>
                <w:sz w:val="22"/>
              </w:rPr>
            </w:pPr>
          </w:p>
        </w:tc>
        <w:tc>
          <w:tcPr>
            <w:tcW w:w="1391" w:type="dxa"/>
            <w:shd w:val="clear" w:color="auto" w:fill="auto"/>
            <w:vAlign w:val="center"/>
          </w:tcPr>
          <w:p w14:paraId="5435758A">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工作及服务质量投诉率（5分）</w:t>
            </w:r>
          </w:p>
        </w:tc>
        <w:tc>
          <w:tcPr>
            <w:tcW w:w="2269" w:type="dxa"/>
            <w:shd w:val="clear" w:color="auto" w:fill="auto"/>
            <w:vAlign w:val="center"/>
          </w:tcPr>
          <w:p w14:paraId="2C64FB78">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工作及服务质量投诉率</w:t>
            </w:r>
          </w:p>
        </w:tc>
        <w:tc>
          <w:tcPr>
            <w:tcW w:w="2458" w:type="dxa"/>
            <w:shd w:val="clear" w:color="auto" w:fill="auto"/>
            <w:vAlign w:val="center"/>
          </w:tcPr>
          <w:p w14:paraId="3A17AB8E">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投诉率不高于5%</w:t>
            </w:r>
          </w:p>
        </w:tc>
        <w:tc>
          <w:tcPr>
            <w:tcW w:w="714" w:type="dxa"/>
            <w:shd w:val="clear" w:color="auto" w:fill="auto"/>
            <w:vAlign w:val="center"/>
          </w:tcPr>
          <w:p w14:paraId="0FD900E1">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E09C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910" w:type="dxa"/>
            <w:gridSpan w:val="5"/>
            <w:shd w:val="clear" w:color="auto" w:fill="auto"/>
            <w:vAlign w:val="center"/>
          </w:tcPr>
          <w:p w14:paraId="5F6431E9">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14" w:type="dxa"/>
            <w:shd w:val="clear" w:color="auto" w:fill="auto"/>
            <w:vAlign w:val="center"/>
          </w:tcPr>
          <w:p w14:paraId="308552BF">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28</w:t>
            </w:r>
          </w:p>
        </w:tc>
      </w:tr>
      <w:tr w14:paraId="6D74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910" w:type="dxa"/>
            <w:gridSpan w:val="5"/>
            <w:shd w:val="clear" w:color="auto" w:fill="auto"/>
            <w:vAlign w:val="center"/>
          </w:tcPr>
          <w:p w14:paraId="4FD3A069">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14" w:type="dxa"/>
            <w:shd w:val="clear" w:color="auto" w:fill="auto"/>
            <w:vAlign w:val="center"/>
          </w:tcPr>
          <w:p w14:paraId="4FA412E9">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90</w:t>
            </w:r>
          </w:p>
        </w:tc>
      </w:tr>
    </w:tbl>
    <w:p w14:paraId="705FC5AB">
      <w:pPr>
        <w:numPr>
          <w:ilvl w:val="0"/>
          <w:numId w:val="6"/>
        </w:numPr>
        <w:spacing w:line="360" w:lineRule="auto"/>
        <w:rPr>
          <w:rFonts w:hint="eastAsia"/>
          <w:sz w:val="28"/>
        </w:rPr>
      </w:pPr>
      <w:r>
        <w:rPr>
          <w:rFonts w:hint="eastAsia"/>
          <w:sz w:val="28"/>
        </w:rPr>
        <w:t>产出目标（包括完成情况和未完成的原因）</w:t>
      </w:r>
    </w:p>
    <w:p w14:paraId="0DF9BBE3">
      <w:pPr>
        <w:spacing w:line="360" w:lineRule="auto"/>
        <w:ind w:firstLine="560" w:firstLineChars="200"/>
        <w:rPr>
          <w:rFonts w:hint="eastAsia"/>
          <w:sz w:val="28"/>
        </w:rPr>
      </w:pPr>
      <w:r>
        <w:rPr>
          <w:rFonts w:hint="eastAsia"/>
          <w:sz w:val="28"/>
        </w:rPr>
        <w:t>根据上表可知产出目标总分为30分，得分为30分，具体情况如下：</w:t>
      </w:r>
    </w:p>
    <w:p w14:paraId="783A19C2">
      <w:pPr>
        <w:spacing w:line="360" w:lineRule="auto"/>
        <w:ind w:firstLine="560" w:firstLineChars="200"/>
        <w:rPr>
          <w:rFonts w:hint="eastAsia"/>
          <w:sz w:val="28"/>
        </w:rPr>
      </w:pPr>
      <w:r>
        <w:rPr>
          <w:rFonts w:hint="eastAsia"/>
          <w:sz w:val="28"/>
        </w:rPr>
        <w:t>数量指标1：资金使用率为100%，总分5分，得分5分；</w:t>
      </w:r>
    </w:p>
    <w:p w14:paraId="32B710BE">
      <w:pPr>
        <w:spacing w:line="360" w:lineRule="auto"/>
        <w:ind w:firstLine="560" w:firstLineChars="200"/>
        <w:rPr>
          <w:rFonts w:hint="eastAsia" w:ascii="宋体" w:hAnsi="宋体" w:cs="宋体"/>
          <w:sz w:val="28"/>
          <w:szCs w:val="28"/>
        </w:rPr>
      </w:pPr>
      <w:r>
        <w:rPr>
          <w:rFonts w:hint="eastAsia"/>
          <w:sz w:val="28"/>
        </w:rPr>
        <w:t>数量指标2：党群活动</w:t>
      </w:r>
      <w:r>
        <w:rPr>
          <w:rFonts w:hint="eastAsia" w:ascii="宋体" w:hAnsi="宋体" w:cs="宋体"/>
          <w:sz w:val="28"/>
          <w:szCs w:val="28"/>
        </w:rPr>
        <w:t>（包括村级党群活动）达到</w:t>
      </w:r>
      <w:r>
        <w:rPr>
          <w:rFonts w:hint="eastAsia"/>
          <w:sz w:val="28"/>
        </w:rPr>
        <w:t>目标要求</w:t>
      </w:r>
      <w:r>
        <w:rPr>
          <w:rFonts w:hint="eastAsia" w:ascii="宋体" w:hAnsi="宋体" w:cs="宋体"/>
          <w:sz w:val="28"/>
          <w:szCs w:val="28"/>
        </w:rPr>
        <w:t>10项，总分3分，得分3分；</w:t>
      </w:r>
    </w:p>
    <w:p w14:paraId="0FB5E22A">
      <w:pPr>
        <w:spacing w:line="360" w:lineRule="auto"/>
        <w:ind w:firstLine="560" w:firstLineChars="200"/>
        <w:rPr>
          <w:rFonts w:hint="eastAsia"/>
          <w:sz w:val="28"/>
        </w:rPr>
      </w:pPr>
      <w:r>
        <w:rPr>
          <w:rFonts w:hint="eastAsia"/>
          <w:sz w:val="28"/>
        </w:rPr>
        <w:t>数量指标3：社区居民培训及活动（包括村级组织的培训及活动）达到目标要求30次，</w:t>
      </w:r>
      <w:r>
        <w:rPr>
          <w:rFonts w:hint="eastAsia" w:ascii="宋体" w:hAnsi="宋体" w:cs="宋体"/>
          <w:sz w:val="28"/>
          <w:szCs w:val="28"/>
        </w:rPr>
        <w:t>总分2分，</w:t>
      </w:r>
      <w:r>
        <w:rPr>
          <w:rFonts w:hint="eastAsia"/>
          <w:sz w:val="28"/>
        </w:rPr>
        <w:t>得分2分；</w:t>
      </w:r>
    </w:p>
    <w:p w14:paraId="342E3A56">
      <w:pPr>
        <w:spacing w:line="360" w:lineRule="auto"/>
        <w:ind w:firstLine="560" w:firstLineChars="200"/>
        <w:rPr>
          <w:rFonts w:hint="eastAsia"/>
          <w:sz w:val="28"/>
        </w:rPr>
      </w:pPr>
      <w:r>
        <w:rPr>
          <w:rFonts w:hint="eastAsia"/>
          <w:sz w:val="28"/>
        </w:rPr>
        <w:t>数量指标4：社会保障资金的覆盖率达到98%，大于目标要求95%（实际应补助人员人数/应当补助人员人数），总分5分，得分5分；</w:t>
      </w:r>
    </w:p>
    <w:p w14:paraId="1B905563">
      <w:pPr>
        <w:spacing w:line="360" w:lineRule="auto"/>
        <w:ind w:firstLine="560" w:firstLineChars="200"/>
        <w:rPr>
          <w:rFonts w:hint="eastAsia"/>
          <w:sz w:val="28"/>
        </w:rPr>
      </w:pPr>
      <w:r>
        <w:rPr>
          <w:rFonts w:hint="eastAsia"/>
          <w:sz w:val="28"/>
        </w:rPr>
        <w:t>质量指标1：社区文化活动覆盖率为100%（按实际开展文化活动社区/应当开展文化活动的社区），大于目标要求90%，总分为5分，得分为5分；</w:t>
      </w:r>
    </w:p>
    <w:p w14:paraId="6865FA48">
      <w:pPr>
        <w:spacing w:line="360" w:lineRule="auto"/>
        <w:ind w:firstLine="560" w:firstLineChars="200"/>
        <w:rPr>
          <w:rFonts w:hint="eastAsia"/>
          <w:sz w:val="28"/>
        </w:rPr>
      </w:pPr>
      <w:r>
        <w:rPr>
          <w:rFonts w:hint="eastAsia"/>
          <w:sz w:val="28"/>
        </w:rPr>
        <w:t>质量指标2：社会保障资金的合规率达到100%，总分5分，得分5分；</w:t>
      </w:r>
    </w:p>
    <w:p w14:paraId="645A5D59">
      <w:pPr>
        <w:spacing w:line="360" w:lineRule="auto"/>
        <w:ind w:firstLine="560" w:firstLineChars="200"/>
        <w:rPr>
          <w:rFonts w:hint="eastAsia"/>
          <w:sz w:val="28"/>
        </w:rPr>
      </w:pPr>
      <w:r>
        <w:rPr>
          <w:rFonts w:hint="eastAsia"/>
          <w:sz w:val="28"/>
        </w:rPr>
        <w:t>时效指标：项目资金及时发放达到100%，项目按时完成，总分5分，得分5分。</w:t>
      </w:r>
    </w:p>
    <w:p w14:paraId="1FD18BC7">
      <w:pPr>
        <w:numPr>
          <w:ilvl w:val="0"/>
          <w:numId w:val="6"/>
        </w:numPr>
        <w:spacing w:line="360" w:lineRule="auto"/>
        <w:rPr>
          <w:rFonts w:hint="eastAsia"/>
          <w:sz w:val="28"/>
        </w:rPr>
      </w:pPr>
      <w:r>
        <w:rPr>
          <w:rFonts w:hint="eastAsia"/>
          <w:sz w:val="28"/>
        </w:rPr>
        <w:t>效果目标（包括完成情况和未完成的原因）</w:t>
      </w:r>
    </w:p>
    <w:p w14:paraId="387CE56E">
      <w:pPr>
        <w:spacing w:line="360" w:lineRule="auto"/>
        <w:ind w:firstLine="560" w:firstLineChars="200"/>
        <w:rPr>
          <w:rFonts w:hint="eastAsia"/>
          <w:sz w:val="28"/>
        </w:rPr>
      </w:pPr>
      <w:r>
        <w:rPr>
          <w:rFonts w:hint="eastAsia"/>
          <w:sz w:val="28"/>
        </w:rPr>
        <w:t>根据上表可知效果目标总分为30分，得分为28分，具体情况如下：</w:t>
      </w:r>
    </w:p>
    <w:p w14:paraId="6A005249">
      <w:pPr>
        <w:spacing w:line="360" w:lineRule="auto"/>
        <w:ind w:firstLine="560" w:firstLineChars="200"/>
        <w:rPr>
          <w:rFonts w:hint="eastAsia"/>
          <w:sz w:val="28"/>
        </w:rPr>
      </w:pPr>
      <w:r>
        <w:rPr>
          <w:rFonts w:hint="eastAsia"/>
          <w:sz w:val="28"/>
        </w:rPr>
        <w:t>社会效益指标：促进社会和谐，社区群众生活内容丰富多彩，文化演出活动的举办增强了社区的文化氛围，有利于提升社区群众的综合素质；对困难人员、优质对象予了切实的帮助，贯彻了我党为人民服务的方针政策；但尚有部分人员对活动的参与积极性不高，扣1分，总分10分，得分9分；</w:t>
      </w:r>
    </w:p>
    <w:p w14:paraId="70F8F40F">
      <w:pPr>
        <w:spacing w:line="360" w:lineRule="auto"/>
        <w:ind w:firstLine="560" w:firstLineChars="200"/>
        <w:rPr>
          <w:rFonts w:hint="eastAsia"/>
          <w:sz w:val="28"/>
        </w:rPr>
      </w:pPr>
      <w:r>
        <w:rPr>
          <w:rFonts w:hint="eastAsia"/>
          <w:sz w:val="28"/>
        </w:rPr>
        <w:t>可持续影响指标1：项目活动得到群众的肯定，群众希望文化演出活动及专题讲座能持续运行下去，这为活动的可持续发展打下了坚实的基础。此外，项目增强了社区凝聚力，在一定程度上确保了社会稳定，有利于建立良好的社会环境，但活动举办存在环境问题，扣1分，总分5分，得分4分；</w:t>
      </w:r>
    </w:p>
    <w:p w14:paraId="00B88857">
      <w:pPr>
        <w:spacing w:line="360" w:lineRule="auto"/>
        <w:ind w:firstLine="560" w:firstLineChars="200"/>
        <w:rPr>
          <w:rFonts w:hint="eastAsia"/>
          <w:bCs/>
          <w:sz w:val="28"/>
        </w:rPr>
      </w:pPr>
      <w:r>
        <w:rPr>
          <w:rFonts w:hint="eastAsia"/>
          <w:sz w:val="28"/>
        </w:rPr>
        <w:t>可持续影响指标2：</w:t>
      </w:r>
      <w:r>
        <w:rPr>
          <w:rFonts w:hint="eastAsia"/>
          <w:bCs/>
          <w:sz w:val="28"/>
        </w:rPr>
        <w:t>对社会保障资金的发放实行系统化、网络化、规范化、动态化管理，总分5分，得分5分；</w:t>
      </w:r>
    </w:p>
    <w:p w14:paraId="30483BE7">
      <w:pPr>
        <w:spacing w:line="360" w:lineRule="auto"/>
        <w:ind w:firstLine="560" w:firstLineChars="200"/>
        <w:rPr>
          <w:rFonts w:hint="eastAsia"/>
          <w:sz w:val="28"/>
        </w:rPr>
      </w:pPr>
      <w:r>
        <w:rPr>
          <w:rFonts w:hint="eastAsia"/>
          <w:bCs/>
          <w:sz w:val="28"/>
        </w:rPr>
        <w:t>服务对象满意度指标1：社会居民满意度达到85%，达到目标要求，总分5分，得分5分；</w:t>
      </w:r>
    </w:p>
    <w:p w14:paraId="16F3DD5F">
      <w:pPr>
        <w:spacing w:line="360" w:lineRule="auto"/>
        <w:ind w:firstLine="560" w:firstLineChars="200"/>
        <w:rPr>
          <w:rFonts w:hint="eastAsia"/>
          <w:bCs/>
          <w:sz w:val="28"/>
        </w:rPr>
      </w:pPr>
      <w:r>
        <w:rPr>
          <w:rFonts w:hint="eastAsia"/>
          <w:bCs/>
          <w:sz w:val="28"/>
        </w:rPr>
        <w:t>服务对象满意度指标2：工作及服务质量投诉率不高于5%，达到目标要求，总分5分，得分5分。</w:t>
      </w:r>
    </w:p>
    <w:p w14:paraId="66AB78CF">
      <w:pPr>
        <w:spacing w:line="360" w:lineRule="auto"/>
        <w:ind w:firstLine="560" w:firstLineChars="200"/>
        <w:rPr>
          <w:rFonts w:hint="eastAsia"/>
          <w:sz w:val="28"/>
        </w:rPr>
      </w:pPr>
    </w:p>
    <w:p w14:paraId="5B2DA5AA">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48709BA3">
      <w:pPr>
        <w:spacing w:line="360" w:lineRule="auto"/>
        <w:ind w:firstLine="560" w:firstLineChars="200"/>
        <w:rPr>
          <w:sz w:val="28"/>
        </w:rPr>
      </w:pPr>
      <w:r>
        <w:rPr>
          <w:rFonts w:hint="eastAsia" w:ascii="楷体_GB2312" w:eastAsia="楷体_GB2312"/>
          <w:sz w:val="28"/>
        </w:rPr>
        <w:t>（一）自评结论</w:t>
      </w:r>
      <w:r>
        <w:rPr>
          <w:rFonts w:hint="eastAsia"/>
          <w:sz w:val="28"/>
        </w:rPr>
        <w:t>（包括对项目决策、管理及绩效的综合评价）</w:t>
      </w:r>
    </w:p>
    <w:p w14:paraId="79A27B6B">
      <w:pPr>
        <w:widowControl/>
        <w:spacing w:line="600" w:lineRule="exact"/>
        <w:ind w:firstLine="640"/>
        <w:jc w:val="left"/>
        <w:rPr>
          <w:rFonts w:ascii="宋体" w:hAnsi="宋体" w:cs="宋体"/>
          <w:sz w:val="28"/>
          <w:szCs w:val="28"/>
        </w:rPr>
      </w:pPr>
      <w:r>
        <w:rPr>
          <w:rFonts w:hint="eastAsia" w:ascii="宋体" w:hAnsi="宋体" w:cs="宋体"/>
          <w:sz w:val="28"/>
          <w:szCs w:val="28"/>
        </w:rPr>
        <w:t>2017年度“九峰街道办事处社会保障和就业资金”项目立项依据充分，可行性研究到位，必要性突出，决策规范、高效，但部分立项分类与预算决算分类不一致，不利于进行对比。</w:t>
      </w:r>
    </w:p>
    <w:p w14:paraId="49DCA08F">
      <w:pPr>
        <w:spacing w:line="600" w:lineRule="exact"/>
        <w:ind w:firstLine="560" w:firstLineChars="200"/>
        <w:jc w:val="left"/>
        <w:rPr>
          <w:rFonts w:hint="eastAsia" w:ascii="宋体" w:hAnsi="宋体" w:cs="宋体"/>
          <w:sz w:val="28"/>
          <w:szCs w:val="28"/>
        </w:rPr>
      </w:pPr>
      <w:r>
        <w:rPr>
          <w:rFonts w:hint="eastAsia" w:ascii="宋体" w:hAnsi="宋体" w:cs="宋体"/>
          <w:sz w:val="28"/>
          <w:szCs w:val="28"/>
        </w:rPr>
        <w:t>项目严格设计了工作机制和工作流程，有效实施，并通过检查监督进一步确保落实，形成了良好的管理、执行氛围。</w:t>
      </w:r>
    </w:p>
    <w:p w14:paraId="52B5DE23">
      <w:pPr>
        <w:widowControl/>
        <w:spacing w:line="600" w:lineRule="exact"/>
        <w:ind w:firstLine="640"/>
        <w:jc w:val="left"/>
        <w:rPr>
          <w:rFonts w:hint="eastAsia"/>
          <w:sz w:val="28"/>
          <w:szCs w:val="28"/>
        </w:rPr>
      </w:pPr>
      <w:r>
        <w:rPr>
          <w:rFonts w:hint="eastAsia"/>
          <w:sz w:val="28"/>
          <w:szCs w:val="28"/>
        </w:rPr>
        <w:t>从产出和效果上来看，较好的完成了年初制订的各项项目工作内容，实现了预期效果，取得了较好的用户满意度。但仍存在工作满意度不够理想的情况。</w:t>
      </w:r>
    </w:p>
    <w:p w14:paraId="11D29A65">
      <w:pPr>
        <w:spacing w:line="360" w:lineRule="auto"/>
        <w:ind w:firstLine="560" w:firstLineChars="200"/>
        <w:rPr>
          <w:rFonts w:hint="eastAsia" w:ascii="楷体_GB2312" w:eastAsia="楷体_GB2312"/>
          <w:sz w:val="28"/>
        </w:rPr>
      </w:pPr>
      <w:r>
        <w:rPr>
          <w:rFonts w:hint="eastAsia" w:ascii="楷体_GB2312" w:eastAsia="楷体_GB2312"/>
          <w:sz w:val="28"/>
        </w:rPr>
        <w:t>（二）主要经验，存在的问题和改进措施</w:t>
      </w:r>
    </w:p>
    <w:p w14:paraId="2D3369D2">
      <w:pPr>
        <w:spacing w:line="360" w:lineRule="auto"/>
        <w:ind w:firstLine="560" w:firstLineChars="200"/>
        <w:rPr>
          <w:sz w:val="28"/>
        </w:rPr>
      </w:pPr>
      <w:r>
        <w:rPr>
          <w:rFonts w:hint="eastAsia"/>
          <w:sz w:val="28"/>
        </w:rPr>
        <w:t>1</w:t>
      </w:r>
      <w:bookmarkStart w:id="4" w:name="_Hlk515278978"/>
      <w:r>
        <w:rPr>
          <w:rFonts w:hint="eastAsia"/>
          <w:sz w:val="28"/>
        </w:rPr>
        <w:t>．</w:t>
      </w:r>
      <w:bookmarkEnd w:id="4"/>
      <w:r>
        <w:rPr>
          <w:rFonts w:hint="eastAsia"/>
          <w:sz w:val="28"/>
        </w:rPr>
        <w:t>主要经验</w:t>
      </w:r>
    </w:p>
    <w:p w14:paraId="5684AC46">
      <w:pPr>
        <w:spacing w:line="600" w:lineRule="exact"/>
        <w:ind w:firstLine="560" w:firstLineChars="200"/>
        <w:rPr>
          <w:rFonts w:hint="eastAsia"/>
          <w:bCs/>
          <w:sz w:val="28"/>
        </w:rPr>
      </w:pPr>
      <w:r>
        <w:rPr>
          <w:rFonts w:hint="eastAsia"/>
          <w:bCs/>
          <w:sz w:val="28"/>
        </w:rPr>
        <w:t>（1）严密组织基层党组织生活会和民主评议党员工作，抓好基层党组织书记抓党建述职评议考核，采取班子成员现场点评、党群代表现场打分、测评结果现场公布的方式，进一步强化了基层党组织书记谋党建、抓党建的“第一责任人”意识；扎实推进社区（村）党组织书记“一定双评”，深入社区，指导和督办社区党组织书记年度目标任务的推进，全面推动社区党组织书记履职尽责；深入推进“红色引擎工程”深入开；加强软弱涣散基层组织整顿，着重帮助社区解决工作中存在的疑点和难点问题。</w:t>
      </w:r>
    </w:p>
    <w:p w14:paraId="187DE7B6">
      <w:pPr>
        <w:widowControl/>
        <w:spacing w:line="600" w:lineRule="exact"/>
        <w:ind w:firstLine="640"/>
        <w:jc w:val="left"/>
        <w:rPr>
          <w:bCs/>
          <w:sz w:val="28"/>
        </w:rPr>
      </w:pPr>
      <w:r>
        <w:rPr>
          <w:rFonts w:hint="eastAsia"/>
          <w:bCs/>
          <w:sz w:val="28"/>
        </w:rPr>
        <w:t>（2）社区活动从群众精神文化需求入手，着力建设社区人文环境，根据群众反馈情况不断调整活动类型，通过群众喜闻乐见的方式传播文化，收效颇丰。</w:t>
      </w:r>
    </w:p>
    <w:p w14:paraId="35C5C163">
      <w:pPr>
        <w:spacing w:line="360" w:lineRule="auto"/>
        <w:ind w:firstLine="560" w:firstLineChars="200"/>
        <w:rPr>
          <w:rFonts w:hint="eastAsia"/>
          <w:bCs/>
          <w:sz w:val="28"/>
        </w:rPr>
      </w:pPr>
      <w:r>
        <w:rPr>
          <w:rFonts w:hint="eastAsia"/>
          <w:bCs/>
          <w:sz w:val="28"/>
        </w:rPr>
        <w:t>（3）对社会保障资金的发放实行系统化、网络化、规范化管理，建立一户一档网上登记、核查体系，并对社保保障人员实行动态管理，</w:t>
      </w:r>
      <w:r>
        <w:rPr>
          <w:rFonts w:hint="eastAsia" w:ascii="仿宋_GB2312" w:eastAsia="仿宋_GB2312"/>
          <w:sz w:val="30"/>
          <w:szCs w:val="30"/>
        </w:rPr>
        <w:t>建立了清</w:t>
      </w:r>
      <w:r>
        <w:rPr>
          <w:rFonts w:hint="eastAsia"/>
          <w:bCs/>
          <w:sz w:val="28"/>
        </w:rPr>
        <w:t>单和台帐，根据清单，街道专班人员会同各村、社区同志逐一对相关家庭进行了实地入户调查核实。</w:t>
      </w:r>
    </w:p>
    <w:p w14:paraId="70D89863">
      <w:pPr>
        <w:spacing w:line="360" w:lineRule="auto"/>
        <w:ind w:firstLine="560" w:firstLineChars="200"/>
        <w:rPr>
          <w:rFonts w:hint="eastAsia"/>
          <w:bCs/>
          <w:sz w:val="28"/>
        </w:rPr>
      </w:pPr>
      <w:r>
        <w:rPr>
          <w:rFonts w:hint="eastAsia"/>
          <w:bCs/>
          <w:sz w:val="28"/>
        </w:rPr>
        <w:t>（4）为积极落实就业政策，强化政府引导、帮助、促进就业职责，多方位扩大就业渠道；村务公开工作常抓不懈，村务公开的内容要不断更新，要求已改制的村，必须将该村股份公司的重大事项做到坚决公开，做到了无投诉、无上访事件的发生。</w:t>
      </w:r>
    </w:p>
    <w:p w14:paraId="5F1F546C">
      <w:pPr>
        <w:spacing w:line="360" w:lineRule="auto"/>
        <w:ind w:firstLine="560" w:firstLineChars="200"/>
        <w:rPr>
          <w:bCs/>
          <w:sz w:val="28"/>
        </w:rPr>
      </w:pPr>
      <w:r>
        <w:rPr>
          <w:rFonts w:hint="eastAsia"/>
          <w:bCs/>
          <w:sz w:val="28"/>
        </w:rPr>
        <w:t>（5）抓好社区平台建设。做好社区一站式服务工作，做到各负其责，以便群众到访有人接待，有专人回复，不推脱责任，实现一站式服务。</w:t>
      </w:r>
    </w:p>
    <w:p w14:paraId="69EEEE7E">
      <w:pPr>
        <w:spacing w:line="360" w:lineRule="auto"/>
        <w:ind w:firstLine="560" w:firstLineChars="200"/>
        <w:rPr>
          <w:rFonts w:hint="eastAsia"/>
          <w:sz w:val="28"/>
        </w:rPr>
      </w:pPr>
      <w:r>
        <w:rPr>
          <w:rFonts w:hint="eastAsia" w:ascii="楷体_GB2312" w:eastAsia="楷体_GB2312"/>
          <w:sz w:val="28"/>
        </w:rPr>
        <w:t>2.存在的问题</w:t>
      </w:r>
    </w:p>
    <w:p w14:paraId="10AF1E6C">
      <w:pPr>
        <w:numPr>
          <w:ilvl w:val="0"/>
          <w:numId w:val="7"/>
        </w:numPr>
        <w:tabs>
          <w:tab w:val="left" w:pos="1276"/>
        </w:tabs>
        <w:spacing w:line="360" w:lineRule="auto"/>
        <w:ind w:left="0" w:firstLine="560" w:firstLineChars="200"/>
        <w:rPr>
          <w:rFonts w:hint="eastAsia"/>
          <w:bCs/>
          <w:sz w:val="28"/>
        </w:rPr>
      </w:pPr>
      <w:r>
        <w:rPr>
          <w:rFonts w:hint="eastAsia"/>
          <w:bCs/>
          <w:sz w:val="28"/>
        </w:rPr>
        <w:t>实际支出与预算存在一定差异，部分超支幅度较大；</w:t>
      </w:r>
    </w:p>
    <w:p w14:paraId="04E7E3BA">
      <w:pPr>
        <w:numPr>
          <w:ilvl w:val="0"/>
          <w:numId w:val="7"/>
        </w:numPr>
        <w:tabs>
          <w:tab w:val="left" w:pos="1276"/>
        </w:tabs>
        <w:spacing w:line="360" w:lineRule="auto"/>
        <w:ind w:left="0" w:firstLine="560" w:firstLineChars="200"/>
        <w:rPr>
          <w:bCs/>
          <w:sz w:val="28"/>
        </w:rPr>
      </w:pPr>
      <w:r>
        <w:rPr>
          <w:rFonts w:hint="eastAsia"/>
          <w:bCs/>
          <w:sz w:val="28"/>
        </w:rPr>
        <w:t>华</w:t>
      </w:r>
      <w:r>
        <w:rPr>
          <w:bCs/>
          <w:sz w:val="28"/>
        </w:rPr>
        <w:t>诚里社区党员群众服务中心建设选址</w:t>
      </w:r>
      <w:r>
        <w:rPr>
          <w:rFonts w:hint="eastAsia"/>
          <w:bCs/>
          <w:sz w:val="28"/>
        </w:rPr>
        <w:t>。</w:t>
      </w:r>
      <w:r>
        <w:rPr>
          <w:bCs/>
          <w:sz w:val="28"/>
        </w:rPr>
        <w:t>因</w:t>
      </w:r>
      <w:r>
        <w:rPr>
          <w:rFonts w:hint="eastAsia"/>
          <w:bCs/>
          <w:sz w:val="28"/>
        </w:rPr>
        <w:t>辖区各</w:t>
      </w:r>
      <w:r>
        <w:rPr>
          <w:bCs/>
          <w:sz w:val="28"/>
        </w:rPr>
        <w:t>商业楼盘预留社区用房</w:t>
      </w:r>
      <w:r>
        <w:rPr>
          <w:rFonts w:hint="eastAsia"/>
          <w:bCs/>
          <w:sz w:val="28"/>
        </w:rPr>
        <w:t>地理</w:t>
      </w:r>
      <w:r>
        <w:rPr>
          <w:bCs/>
          <w:sz w:val="28"/>
        </w:rPr>
        <w:t>位置</w:t>
      </w:r>
      <w:r>
        <w:rPr>
          <w:rFonts w:hint="eastAsia"/>
          <w:bCs/>
          <w:sz w:val="28"/>
        </w:rPr>
        <w:t>闭塞</w:t>
      </w:r>
      <w:r>
        <w:rPr>
          <w:bCs/>
          <w:sz w:val="28"/>
        </w:rPr>
        <w:t>，</w:t>
      </w:r>
      <w:r>
        <w:rPr>
          <w:rFonts w:hint="eastAsia"/>
          <w:bCs/>
          <w:sz w:val="28"/>
        </w:rPr>
        <w:t>面积不</w:t>
      </w:r>
      <w:r>
        <w:rPr>
          <w:bCs/>
          <w:sz w:val="28"/>
        </w:rPr>
        <w:t>达标，房屋结构</w:t>
      </w:r>
      <w:r>
        <w:rPr>
          <w:rFonts w:hint="eastAsia"/>
          <w:bCs/>
          <w:sz w:val="28"/>
        </w:rPr>
        <w:t>异形等原因</w:t>
      </w:r>
      <w:r>
        <w:rPr>
          <w:bCs/>
          <w:sz w:val="28"/>
        </w:rPr>
        <w:t>，不适合建设党员群众</w:t>
      </w:r>
      <w:r>
        <w:rPr>
          <w:rFonts w:hint="eastAsia"/>
          <w:bCs/>
          <w:sz w:val="28"/>
        </w:rPr>
        <w:t>服务</w:t>
      </w:r>
      <w:r>
        <w:rPr>
          <w:bCs/>
          <w:sz w:val="28"/>
        </w:rPr>
        <w:t>中心，需要</w:t>
      </w:r>
      <w:r>
        <w:rPr>
          <w:rFonts w:hint="eastAsia"/>
          <w:bCs/>
          <w:sz w:val="28"/>
        </w:rPr>
        <w:t>采取</w:t>
      </w:r>
      <w:r>
        <w:rPr>
          <w:bCs/>
          <w:sz w:val="28"/>
        </w:rPr>
        <w:t>置换</w:t>
      </w:r>
      <w:r>
        <w:rPr>
          <w:rFonts w:hint="eastAsia"/>
          <w:bCs/>
          <w:sz w:val="28"/>
        </w:rPr>
        <w:t>、整合、</w:t>
      </w:r>
      <w:r>
        <w:rPr>
          <w:bCs/>
          <w:sz w:val="28"/>
        </w:rPr>
        <w:t>重置等方式，落实选址问题。</w:t>
      </w:r>
    </w:p>
    <w:p w14:paraId="57E79729">
      <w:pPr>
        <w:numPr>
          <w:ilvl w:val="0"/>
          <w:numId w:val="7"/>
        </w:numPr>
        <w:tabs>
          <w:tab w:val="left" w:pos="1276"/>
        </w:tabs>
        <w:spacing w:line="360" w:lineRule="auto"/>
        <w:ind w:left="0" w:firstLine="560" w:firstLineChars="200"/>
        <w:rPr>
          <w:rFonts w:hint="eastAsia"/>
          <w:bCs/>
          <w:sz w:val="28"/>
        </w:rPr>
      </w:pPr>
      <w:r>
        <w:rPr>
          <w:rFonts w:hint="eastAsia"/>
          <w:bCs/>
          <w:sz w:val="28"/>
        </w:rPr>
        <w:t>个别</w:t>
      </w:r>
      <w:r>
        <w:rPr>
          <w:bCs/>
          <w:sz w:val="28"/>
        </w:rPr>
        <w:t>党组织管理松散</w:t>
      </w:r>
      <w:r>
        <w:rPr>
          <w:rFonts w:hint="eastAsia"/>
          <w:bCs/>
          <w:sz w:val="28"/>
        </w:rPr>
        <w:t>，</w:t>
      </w:r>
      <w:r>
        <w:rPr>
          <w:bCs/>
          <w:sz w:val="28"/>
        </w:rPr>
        <w:t>“</w:t>
      </w:r>
      <w:r>
        <w:rPr>
          <w:rFonts w:hint="eastAsia"/>
          <w:bCs/>
          <w:sz w:val="28"/>
        </w:rPr>
        <w:t>三会一课</w:t>
      </w:r>
      <w:r>
        <w:rPr>
          <w:bCs/>
          <w:sz w:val="28"/>
        </w:rPr>
        <w:t>”</w:t>
      </w:r>
      <w:r>
        <w:rPr>
          <w:rFonts w:hint="eastAsia"/>
          <w:bCs/>
          <w:sz w:val="28"/>
        </w:rPr>
        <w:t>及每月</w:t>
      </w:r>
      <w:r>
        <w:rPr>
          <w:bCs/>
          <w:sz w:val="28"/>
        </w:rPr>
        <w:t>“</w:t>
      </w:r>
      <w:r>
        <w:rPr>
          <w:rFonts w:hint="eastAsia"/>
          <w:bCs/>
          <w:sz w:val="28"/>
        </w:rPr>
        <w:t>两学</w:t>
      </w:r>
      <w:r>
        <w:rPr>
          <w:bCs/>
          <w:sz w:val="28"/>
        </w:rPr>
        <w:t>一做”主题党</w:t>
      </w:r>
      <w:r>
        <w:rPr>
          <w:rFonts w:hint="eastAsia"/>
          <w:bCs/>
          <w:sz w:val="28"/>
        </w:rPr>
        <w:t>日</w:t>
      </w:r>
      <w:r>
        <w:rPr>
          <w:bCs/>
          <w:sz w:val="28"/>
        </w:rPr>
        <w:t>活动</w:t>
      </w:r>
      <w:r>
        <w:rPr>
          <w:rFonts w:hint="eastAsia"/>
          <w:bCs/>
          <w:sz w:val="28"/>
        </w:rPr>
        <w:t>坚持</w:t>
      </w:r>
      <w:r>
        <w:rPr>
          <w:bCs/>
          <w:sz w:val="28"/>
        </w:rPr>
        <w:t>的</w:t>
      </w:r>
      <w:r>
        <w:rPr>
          <w:rFonts w:hint="eastAsia"/>
          <w:bCs/>
          <w:sz w:val="28"/>
        </w:rPr>
        <w:t>不</w:t>
      </w:r>
      <w:r>
        <w:rPr>
          <w:bCs/>
          <w:sz w:val="28"/>
        </w:rPr>
        <w:t>够好。</w:t>
      </w:r>
    </w:p>
    <w:p w14:paraId="32F95497">
      <w:pPr>
        <w:numPr>
          <w:ilvl w:val="0"/>
          <w:numId w:val="7"/>
        </w:numPr>
        <w:tabs>
          <w:tab w:val="left" w:pos="1276"/>
        </w:tabs>
        <w:spacing w:line="360" w:lineRule="auto"/>
        <w:ind w:left="0" w:firstLine="560" w:firstLineChars="200"/>
        <w:rPr>
          <w:rFonts w:hint="eastAsia"/>
          <w:bCs/>
          <w:sz w:val="28"/>
        </w:rPr>
      </w:pPr>
      <w:r>
        <w:rPr>
          <w:rFonts w:hint="eastAsia"/>
          <w:bCs/>
          <w:sz w:val="28"/>
        </w:rPr>
        <w:t>综合调动各部门力量还不够，还没有形成强大的工作合力。</w:t>
      </w:r>
    </w:p>
    <w:p w14:paraId="053E1E1C">
      <w:pPr>
        <w:numPr>
          <w:ilvl w:val="0"/>
          <w:numId w:val="7"/>
        </w:numPr>
        <w:tabs>
          <w:tab w:val="left" w:pos="1276"/>
        </w:tabs>
        <w:spacing w:line="360" w:lineRule="auto"/>
        <w:ind w:left="0" w:firstLine="560" w:firstLineChars="200"/>
        <w:rPr>
          <w:rFonts w:hint="eastAsia"/>
          <w:bCs/>
          <w:sz w:val="28"/>
        </w:rPr>
      </w:pPr>
      <w:r>
        <w:rPr>
          <w:rFonts w:hint="eastAsia"/>
          <w:bCs/>
          <w:sz w:val="28"/>
        </w:rPr>
        <w:t>物管人员中党员数量还偏少，“红”味还不浓。</w:t>
      </w:r>
    </w:p>
    <w:p w14:paraId="06F3CFD8">
      <w:pPr>
        <w:ind w:firstLine="645"/>
        <w:jc w:val="left"/>
        <w:rPr>
          <w:rFonts w:hint="eastAsia"/>
          <w:sz w:val="28"/>
        </w:rPr>
      </w:pPr>
      <w:r>
        <w:rPr>
          <w:rFonts w:hint="eastAsia"/>
          <w:sz w:val="28"/>
        </w:rPr>
        <w:t>3.改进措施：</w:t>
      </w:r>
    </w:p>
    <w:p w14:paraId="5E4B719C">
      <w:pPr>
        <w:numPr>
          <w:ilvl w:val="0"/>
          <w:numId w:val="8"/>
        </w:numPr>
        <w:tabs>
          <w:tab w:val="left" w:pos="1276"/>
        </w:tabs>
        <w:spacing w:line="360" w:lineRule="auto"/>
        <w:rPr>
          <w:sz w:val="28"/>
        </w:rPr>
      </w:pPr>
      <w:r>
        <w:rPr>
          <w:rFonts w:hint="eastAsia"/>
          <w:sz w:val="28"/>
        </w:rPr>
        <w:t>加强预算编制的准确性，并做到精准实施；</w:t>
      </w:r>
    </w:p>
    <w:p w14:paraId="28B16DC0">
      <w:pPr>
        <w:numPr>
          <w:ilvl w:val="0"/>
          <w:numId w:val="8"/>
        </w:numPr>
        <w:tabs>
          <w:tab w:val="left" w:pos="1276"/>
        </w:tabs>
        <w:spacing w:line="360" w:lineRule="auto"/>
        <w:rPr>
          <w:sz w:val="28"/>
        </w:rPr>
      </w:pPr>
      <w:r>
        <w:rPr>
          <w:rFonts w:hint="eastAsia"/>
          <w:sz w:val="28"/>
        </w:rPr>
        <w:t>开展</w:t>
      </w:r>
      <w:r>
        <w:rPr>
          <w:sz w:val="28"/>
        </w:rPr>
        <w:t>仁尚里社区、华诚里社区</w:t>
      </w:r>
      <w:r>
        <w:rPr>
          <w:rFonts w:hint="eastAsia"/>
          <w:sz w:val="28"/>
        </w:rPr>
        <w:t>荣</w:t>
      </w:r>
      <w:r>
        <w:rPr>
          <w:sz w:val="28"/>
        </w:rPr>
        <w:t>芳里社区两委会组建工作</w:t>
      </w:r>
      <w:r>
        <w:rPr>
          <w:rFonts w:hint="eastAsia"/>
          <w:sz w:val="28"/>
        </w:rPr>
        <w:t>。</w:t>
      </w:r>
    </w:p>
    <w:p w14:paraId="021FA8B7">
      <w:pPr>
        <w:numPr>
          <w:ilvl w:val="0"/>
          <w:numId w:val="8"/>
        </w:numPr>
        <w:tabs>
          <w:tab w:val="left" w:pos="1276"/>
        </w:tabs>
        <w:spacing w:line="360" w:lineRule="auto"/>
        <w:rPr>
          <w:rFonts w:hint="eastAsia"/>
          <w:sz w:val="28"/>
        </w:rPr>
      </w:pPr>
      <w:r>
        <w:rPr>
          <w:rFonts w:hint="eastAsia"/>
          <w:sz w:val="28"/>
        </w:rPr>
        <w:t>扎实</w:t>
      </w:r>
      <w:r>
        <w:rPr>
          <w:sz w:val="28"/>
        </w:rPr>
        <w:t>开展好</w:t>
      </w:r>
      <w:r>
        <w:rPr>
          <w:rFonts w:hint="eastAsia"/>
          <w:sz w:val="28"/>
          <w:lang w:eastAsia="zh-CN"/>
        </w:rPr>
        <w:t>党的十九大</w:t>
      </w:r>
      <w:r>
        <w:rPr>
          <w:rFonts w:hint="eastAsia"/>
          <w:sz w:val="28"/>
        </w:rPr>
        <w:t>会议</w:t>
      </w:r>
      <w:r>
        <w:rPr>
          <w:sz w:val="28"/>
        </w:rPr>
        <w:t>精神的学习教育活动</w:t>
      </w:r>
      <w:r>
        <w:rPr>
          <w:rFonts w:hint="eastAsia"/>
          <w:sz w:val="28"/>
        </w:rPr>
        <w:t>；</w:t>
      </w:r>
    </w:p>
    <w:p w14:paraId="5BAE286C">
      <w:pPr>
        <w:numPr>
          <w:ilvl w:val="0"/>
          <w:numId w:val="8"/>
        </w:numPr>
        <w:tabs>
          <w:tab w:val="left" w:pos="1276"/>
        </w:tabs>
        <w:spacing w:line="360" w:lineRule="auto"/>
        <w:rPr>
          <w:sz w:val="28"/>
        </w:rPr>
      </w:pPr>
      <w:r>
        <w:rPr>
          <w:rFonts w:hint="eastAsia"/>
          <w:sz w:val="28"/>
        </w:rPr>
        <w:t>继续</w:t>
      </w:r>
      <w:r>
        <w:rPr>
          <w:sz w:val="28"/>
        </w:rPr>
        <w:t>开展好“</w:t>
      </w:r>
      <w:r>
        <w:rPr>
          <w:rFonts w:hint="eastAsia"/>
          <w:sz w:val="28"/>
        </w:rPr>
        <w:t>红色</w:t>
      </w:r>
      <w:r>
        <w:rPr>
          <w:sz w:val="28"/>
        </w:rPr>
        <w:t>物业”</w:t>
      </w:r>
      <w:r>
        <w:rPr>
          <w:rFonts w:hint="eastAsia"/>
          <w:sz w:val="28"/>
        </w:rPr>
        <w:t>试点</w:t>
      </w:r>
      <w:r>
        <w:rPr>
          <w:sz w:val="28"/>
        </w:rPr>
        <w:t>工</w:t>
      </w:r>
      <w:r>
        <w:rPr>
          <w:rFonts w:hint="eastAsia"/>
          <w:sz w:val="28"/>
        </w:rPr>
        <w:t>作；进一步加大宣传力度，充分调动多方力量，形成齐抓共管局面。</w:t>
      </w:r>
    </w:p>
    <w:p w14:paraId="57191E7F">
      <w:pPr>
        <w:numPr>
          <w:ilvl w:val="0"/>
          <w:numId w:val="8"/>
        </w:numPr>
        <w:tabs>
          <w:tab w:val="left" w:pos="1276"/>
        </w:tabs>
        <w:spacing w:line="360" w:lineRule="auto"/>
        <w:rPr>
          <w:rFonts w:hint="eastAsia"/>
          <w:sz w:val="28"/>
        </w:rPr>
      </w:pPr>
      <w:r>
        <w:rPr>
          <w:rFonts w:hint="eastAsia"/>
          <w:sz w:val="28"/>
        </w:rPr>
        <w:t>做好党员</w:t>
      </w:r>
      <w:r>
        <w:rPr>
          <w:sz w:val="28"/>
        </w:rPr>
        <w:t>发展工作</w:t>
      </w:r>
      <w:r>
        <w:rPr>
          <w:rFonts w:hint="eastAsia"/>
          <w:sz w:val="28"/>
        </w:rPr>
        <w:t>。</w:t>
      </w:r>
    </w:p>
    <w:p w14:paraId="3B4FFA4B">
      <w:pPr>
        <w:pStyle w:val="9"/>
        <w:widowControl w:val="0"/>
        <w:numPr>
          <w:ilvl w:val="0"/>
          <w:numId w:val="0"/>
        </w:numPr>
        <w:tabs>
          <w:tab w:val="left" w:pos="993"/>
          <w:tab w:val="left" w:pos="1418"/>
        </w:tabs>
        <w:spacing w:line="600" w:lineRule="exact"/>
        <w:jc w:val="left"/>
        <w:rPr>
          <w:rFonts w:hint="eastAsia"/>
          <w:sz w:val="28"/>
        </w:rPr>
      </w:pPr>
    </w:p>
    <w:p w14:paraId="5D5B634A">
      <w:pPr>
        <w:pStyle w:val="9"/>
        <w:widowControl w:val="0"/>
        <w:numPr>
          <w:ilvl w:val="0"/>
          <w:numId w:val="0"/>
        </w:numPr>
        <w:tabs>
          <w:tab w:val="left" w:pos="993"/>
          <w:tab w:val="left" w:pos="1418"/>
        </w:tabs>
        <w:spacing w:line="600" w:lineRule="exact"/>
        <w:jc w:val="left"/>
        <w:rPr>
          <w:rFonts w:hint="eastAsia"/>
          <w:sz w:val="28"/>
        </w:rPr>
      </w:pPr>
    </w:p>
    <w:p w14:paraId="2742245A">
      <w:pPr>
        <w:pStyle w:val="9"/>
        <w:widowControl w:val="0"/>
        <w:numPr>
          <w:ilvl w:val="0"/>
          <w:numId w:val="0"/>
        </w:numPr>
        <w:tabs>
          <w:tab w:val="left" w:pos="993"/>
          <w:tab w:val="left" w:pos="1418"/>
        </w:tabs>
        <w:spacing w:line="600" w:lineRule="exact"/>
        <w:jc w:val="left"/>
        <w:rPr>
          <w:rFonts w:hint="eastAsia"/>
          <w:sz w:val="28"/>
        </w:rPr>
      </w:pPr>
    </w:p>
    <w:p w14:paraId="0F017F18">
      <w:pPr>
        <w:pStyle w:val="9"/>
        <w:widowControl w:val="0"/>
        <w:numPr>
          <w:ilvl w:val="0"/>
          <w:numId w:val="0"/>
        </w:numPr>
        <w:tabs>
          <w:tab w:val="left" w:pos="993"/>
          <w:tab w:val="left" w:pos="1418"/>
        </w:tabs>
        <w:spacing w:line="600" w:lineRule="exact"/>
        <w:jc w:val="left"/>
        <w:rPr>
          <w:rFonts w:hint="eastAsia"/>
          <w:sz w:val="28"/>
        </w:rPr>
      </w:pPr>
    </w:p>
    <w:p w14:paraId="5ED697A0">
      <w:pPr>
        <w:pStyle w:val="9"/>
        <w:widowControl w:val="0"/>
        <w:numPr>
          <w:ilvl w:val="0"/>
          <w:numId w:val="0"/>
        </w:numPr>
        <w:tabs>
          <w:tab w:val="left" w:pos="993"/>
          <w:tab w:val="left" w:pos="1418"/>
        </w:tabs>
        <w:spacing w:line="600" w:lineRule="exact"/>
        <w:jc w:val="left"/>
        <w:rPr>
          <w:rFonts w:hint="eastAsia"/>
          <w:sz w:val="28"/>
        </w:rPr>
      </w:pPr>
    </w:p>
    <w:p w14:paraId="4974CC52">
      <w:pPr>
        <w:pStyle w:val="9"/>
        <w:widowControl w:val="0"/>
        <w:numPr>
          <w:ilvl w:val="0"/>
          <w:numId w:val="0"/>
        </w:numPr>
        <w:tabs>
          <w:tab w:val="left" w:pos="993"/>
          <w:tab w:val="left" w:pos="1418"/>
        </w:tabs>
        <w:spacing w:line="600" w:lineRule="exact"/>
        <w:jc w:val="left"/>
        <w:rPr>
          <w:rFonts w:hint="eastAsia"/>
          <w:sz w:val="28"/>
        </w:rPr>
      </w:pPr>
    </w:p>
    <w:p w14:paraId="373BCDBE">
      <w:pPr>
        <w:pStyle w:val="9"/>
        <w:widowControl w:val="0"/>
        <w:numPr>
          <w:ilvl w:val="0"/>
          <w:numId w:val="0"/>
        </w:numPr>
        <w:tabs>
          <w:tab w:val="left" w:pos="993"/>
          <w:tab w:val="left" w:pos="1418"/>
        </w:tabs>
        <w:spacing w:line="600" w:lineRule="exact"/>
        <w:jc w:val="left"/>
        <w:rPr>
          <w:rFonts w:hint="eastAsia"/>
          <w:sz w:val="28"/>
        </w:rPr>
      </w:pPr>
    </w:p>
    <w:p w14:paraId="19147001">
      <w:pPr>
        <w:pStyle w:val="9"/>
        <w:widowControl w:val="0"/>
        <w:numPr>
          <w:ilvl w:val="0"/>
          <w:numId w:val="0"/>
        </w:numPr>
        <w:tabs>
          <w:tab w:val="left" w:pos="993"/>
          <w:tab w:val="left" w:pos="1418"/>
        </w:tabs>
        <w:spacing w:line="600" w:lineRule="exact"/>
        <w:jc w:val="left"/>
        <w:rPr>
          <w:rFonts w:hint="eastAsia"/>
          <w:sz w:val="28"/>
        </w:rPr>
      </w:pPr>
    </w:p>
    <w:p w14:paraId="3EE78A51">
      <w:pPr>
        <w:pStyle w:val="9"/>
        <w:widowControl w:val="0"/>
        <w:numPr>
          <w:ilvl w:val="0"/>
          <w:numId w:val="0"/>
        </w:numPr>
        <w:tabs>
          <w:tab w:val="left" w:pos="993"/>
          <w:tab w:val="left" w:pos="1418"/>
        </w:tabs>
        <w:spacing w:line="600" w:lineRule="exact"/>
        <w:jc w:val="left"/>
        <w:rPr>
          <w:rFonts w:hint="eastAsia"/>
          <w:sz w:val="28"/>
        </w:rPr>
      </w:pPr>
    </w:p>
    <w:p w14:paraId="6954A75C">
      <w:pPr>
        <w:pStyle w:val="9"/>
        <w:widowControl w:val="0"/>
        <w:numPr>
          <w:ilvl w:val="0"/>
          <w:numId w:val="0"/>
        </w:numPr>
        <w:tabs>
          <w:tab w:val="left" w:pos="993"/>
          <w:tab w:val="left" w:pos="1418"/>
        </w:tabs>
        <w:spacing w:line="600" w:lineRule="exact"/>
        <w:jc w:val="left"/>
        <w:rPr>
          <w:rFonts w:hint="eastAsia"/>
          <w:sz w:val="28"/>
        </w:rPr>
      </w:pPr>
    </w:p>
    <w:p w14:paraId="7ED7D9B2">
      <w:pPr>
        <w:pStyle w:val="9"/>
        <w:widowControl w:val="0"/>
        <w:numPr>
          <w:ilvl w:val="0"/>
          <w:numId w:val="0"/>
        </w:numPr>
        <w:tabs>
          <w:tab w:val="left" w:pos="993"/>
          <w:tab w:val="left" w:pos="1418"/>
        </w:tabs>
        <w:spacing w:line="600" w:lineRule="exact"/>
        <w:jc w:val="left"/>
        <w:rPr>
          <w:rFonts w:hint="eastAsia"/>
          <w:sz w:val="28"/>
        </w:rPr>
      </w:pPr>
    </w:p>
    <w:p w14:paraId="05880FF2">
      <w:pPr>
        <w:pStyle w:val="9"/>
        <w:widowControl w:val="0"/>
        <w:numPr>
          <w:ilvl w:val="0"/>
          <w:numId w:val="0"/>
        </w:numPr>
        <w:tabs>
          <w:tab w:val="left" w:pos="993"/>
          <w:tab w:val="left" w:pos="1418"/>
        </w:tabs>
        <w:spacing w:line="600" w:lineRule="exact"/>
        <w:jc w:val="left"/>
        <w:rPr>
          <w:rFonts w:hint="eastAsia"/>
          <w:sz w:val="28"/>
        </w:rPr>
      </w:pPr>
    </w:p>
    <w:p w14:paraId="135E2254">
      <w:pPr>
        <w:pStyle w:val="9"/>
        <w:widowControl w:val="0"/>
        <w:numPr>
          <w:ilvl w:val="0"/>
          <w:numId w:val="0"/>
        </w:numPr>
        <w:tabs>
          <w:tab w:val="left" w:pos="993"/>
          <w:tab w:val="left" w:pos="1418"/>
        </w:tabs>
        <w:spacing w:line="600" w:lineRule="exact"/>
        <w:jc w:val="left"/>
        <w:rPr>
          <w:rFonts w:hint="eastAsia"/>
          <w:sz w:val="28"/>
        </w:rPr>
      </w:pPr>
    </w:p>
    <w:p w14:paraId="02907BFA">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01C3334E">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70474CEF">
      <w:pPr>
        <w:rPr>
          <w:rFonts w:hint="eastAsia"/>
          <w:sz w:val="32"/>
          <w:szCs w:val="32"/>
        </w:rPr>
      </w:pPr>
    </w:p>
    <w:p w14:paraId="010C9F62">
      <w:pPr>
        <w:rPr>
          <w:rFonts w:hint="eastAsia"/>
          <w:sz w:val="32"/>
          <w:szCs w:val="32"/>
        </w:rPr>
      </w:pPr>
    </w:p>
    <w:p w14:paraId="52E9F78C">
      <w:pPr>
        <w:rPr>
          <w:rFonts w:hint="eastAsia"/>
          <w:sz w:val="32"/>
          <w:szCs w:val="32"/>
        </w:rPr>
      </w:pPr>
    </w:p>
    <w:p w14:paraId="464F6B48">
      <w:pPr>
        <w:rPr>
          <w:rFonts w:hint="eastAsia"/>
          <w:sz w:val="32"/>
          <w:szCs w:val="32"/>
        </w:rPr>
      </w:pPr>
    </w:p>
    <w:p w14:paraId="3EE76089">
      <w:pPr>
        <w:rPr>
          <w:sz w:val="32"/>
          <w:szCs w:val="32"/>
        </w:rPr>
      </w:pPr>
    </w:p>
    <w:p w14:paraId="1B0F5FF3">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九峰街道办事处计生事业经费       </w:t>
      </w:r>
    </w:p>
    <w:p w14:paraId="26D452B9">
      <w:pPr>
        <w:ind w:left="420" w:leftChars="200"/>
        <w:rPr>
          <w:rFonts w:hint="eastAsia"/>
          <w:sz w:val="32"/>
          <w:szCs w:val="32"/>
          <w:u w:val="single"/>
        </w:rPr>
      </w:pPr>
      <w:r>
        <w:rPr>
          <w:rFonts w:hint="eastAsia"/>
          <w:sz w:val="32"/>
          <w:szCs w:val="32"/>
        </w:rPr>
        <w:t>项目单位：</w:t>
      </w:r>
      <w:r>
        <w:rPr>
          <w:rFonts w:hint="eastAsia"/>
          <w:sz w:val="32"/>
          <w:szCs w:val="32"/>
          <w:u w:val="single"/>
        </w:rPr>
        <w:t>武汉东湖新技术开发区九峰街道办事处</w:t>
      </w:r>
    </w:p>
    <w:p w14:paraId="0D778352">
      <w:pPr>
        <w:ind w:left="420" w:leftChars="200"/>
        <w:rPr>
          <w:rFonts w:hint="eastAsia"/>
          <w:sz w:val="32"/>
          <w:szCs w:val="32"/>
        </w:rPr>
      </w:pPr>
      <w:r>
        <w:rPr>
          <w:rFonts w:hint="eastAsia"/>
          <w:sz w:val="32"/>
          <w:szCs w:val="32"/>
        </w:rPr>
        <w:t>区财政局主管业务科室；</w:t>
      </w:r>
      <w:r>
        <w:rPr>
          <w:rFonts w:hint="eastAsia"/>
          <w:sz w:val="32"/>
          <w:szCs w:val="32"/>
          <w:u w:val="single"/>
        </w:rPr>
        <w:t xml:space="preserve">预算科                </w:t>
      </w:r>
    </w:p>
    <w:p w14:paraId="2C1ACE0A">
      <w:pPr>
        <w:rPr>
          <w:sz w:val="32"/>
          <w:szCs w:val="32"/>
        </w:rPr>
      </w:pPr>
      <w:r>
        <w:rPr>
          <w:rFonts w:hint="eastAsia"/>
          <w:sz w:val="32"/>
          <w:szCs w:val="32"/>
        </w:rPr>
        <w:t xml:space="preserve">   评价单位：</w:t>
      </w:r>
      <w:r>
        <w:rPr>
          <w:rFonts w:hint="eastAsia"/>
          <w:sz w:val="32"/>
          <w:szCs w:val="32"/>
          <w:u w:val="single"/>
        </w:rPr>
        <w:t xml:space="preserve">武汉康力会计师事务有限责任公司    </w:t>
      </w:r>
    </w:p>
    <w:p w14:paraId="0D718A6E">
      <w:pPr>
        <w:rPr>
          <w:rFonts w:hint="eastAsia"/>
          <w:sz w:val="32"/>
          <w:szCs w:val="32"/>
        </w:rPr>
      </w:pPr>
    </w:p>
    <w:p w14:paraId="471131B6">
      <w:pPr>
        <w:rPr>
          <w:rFonts w:hint="eastAsia"/>
          <w:sz w:val="32"/>
          <w:szCs w:val="32"/>
        </w:rPr>
      </w:pPr>
    </w:p>
    <w:p w14:paraId="7B0CA372">
      <w:pPr>
        <w:rPr>
          <w:rFonts w:hint="eastAsia"/>
          <w:sz w:val="32"/>
          <w:szCs w:val="32"/>
        </w:rPr>
      </w:pPr>
    </w:p>
    <w:p w14:paraId="495E8AD7">
      <w:pPr>
        <w:rPr>
          <w:sz w:val="32"/>
          <w:szCs w:val="32"/>
        </w:rPr>
      </w:pPr>
    </w:p>
    <w:p w14:paraId="61B94BDE">
      <w:pPr>
        <w:rPr>
          <w:rFonts w:hint="eastAsia"/>
          <w:sz w:val="32"/>
          <w:szCs w:val="32"/>
        </w:rPr>
      </w:pPr>
    </w:p>
    <w:p w14:paraId="6DB385BF">
      <w:pPr>
        <w:jc w:val="center"/>
        <w:rPr>
          <w:sz w:val="32"/>
          <w:szCs w:val="32"/>
        </w:rPr>
      </w:pPr>
      <w:r>
        <w:rPr>
          <w:rFonts w:hint="eastAsia"/>
          <w:sz w:val="32"/>
          <w:szCs w:val="32"/>
        </w:rPr>
        <w:t>2018年 6月</w:t>
      </w:r>
    </w:p>
    <w:p w14:paraId="60048FBB">
      <w:pPr>
        <w:spacing w:line="360" w:lineRule="auto"/>
        <w:ind w:firstLine="640" w:firstLineChars="200"/>
        <w:rPr>
          <w:rFonts w:hint="eastAsia" w:ascii="黑体" w:hAnsi="黑体" w:eastAsia="黑体"/>
          <w:b/>
          <w:sz w:val="30"/>
          <w:szCs w:val="30"/>
        </w:rPr>
      </w:pPr>
      <w:r>
        <w:rPr>
          <w:sz w:val="32"/>
          <w:szCs w:val="32"/>
        </w:rPr>
        <w:br w:type="page"/>
      </w:r>
      <w:r>
        <w:rPr>
          <w:rFonts w:hint="eastAsia" w:ascii="黑体" w:hAnsi="黑体" w:eastAsia="黑体"/>
          <w:b/>
          <w:sz w:val="30"/>
          <w:szCs w:val="30"/>
        </w:rPr>
        <w:t>一、项目基本情况</w:t>
      </w:r>
    </w:p>
    <w:p w14:paraId="5C5FA5C9">
      <w:pPr>
        <w:spacing w:line="360" w:lineRule="auto"/>
        <w:ind w:firstLine="560" w:firstLineChars="200"/>
        <w:rPr>
          <w:sz w:val="28"/>
        </w:rPr>
      </w:pPr>
      <w:r>
        <w:rPr>
          <w:rFonts w:hint="eastAsia" w:ascii="楷体_GB2312" w:eastAsia="楷体_GB2312"/>
          <w:sz w:val="28"/>
        </w:rPr>
        <w:t>（一）项目概况</w:t>
      </w:r>
    </w:p>
    <w:p w14:paraId="40749448">
      <w:pPr>
        <w:spacing w:line="360" w:lineRule="auto"/>
        <w:ind w:firstLine="560" w:firstLineChars="200"/>
        <w:rPr>
          <w:rFonts w:hint="eastAsia"/>
          <w:sz w:val="28"/>
        </w:rPr>
      </w:pPr>
      <w:r>
        <w:rPr>
          <w:rFonts w:hint="eastAsia"/>
          <w:sz w:val="28"/>
        </w:rPr>
        <w:t>武汉东湖新技术开发区九峰街道办事处计划生育办公室（以下简称“计生办”）负责九峰街道办事处的计划生育目标管理、宣传培训、计生统计工作，办理有关证件及审批，计生药具发放与管理，流动人口计生管理等工作。</w:t>
      </w:r>
    </w:p>
    <w:p w14:paraId="2AAB43DD">
      <w:pPr>
        <w:spacing w:line="360" w:lineRule="auto"/>
        <w:ind w:firstLine="560" w:firstLineChars="200"/>
        <w:rPr>
          <w:rFonts w:hint="eastAsia"/>
          <w:sz w:val="28"/>
        </w:rPr>
      </w:pPr>
      <w:r>
        <w:rPr>
          <w:rFonts w:hint="eastAsia"/>
          <w:sz w:val="28"/>
        </w:rPr>
        <w:t>“计生事业经费”系计生办开展计生工作的日常工作经费，依照九峰街道办事处和武汉东湖新技术开发区（以下简称“高新区”）的组织要求，为九峰街道办事处计划生育工作提供经费保障，确保辖区计划生育工作有序开展。</w:t>
      </w:r>
    </w:p>
    <w:p w14:paraId="21F737A7">
      <w:pPr>
        <w:spacing w:line="360" w:lineRule="auto"/>
        <w:ind w:firstLine="560" w:firstLineChars="200"/>
        <w:rPr>
          <w:rFonts w:hint="eastAsia"/>
          <w:sz w:val="28"/>
        </w:rPr>
      </w:pPr>
      <w:r>
        <w:rPr>
          <w:rFonts w:hint="eastAsia"/>
          <w:sz w:val="28"/>
        </w:rPr>
        <w:t>计生事业经费主要由下列类别经费组成：</w:t>
      </w:r>
    </w:p>
    <w:p w14:paraId="7F7AC48A">
      <w:pPr>
        <w:spacing w:line="360" w:lineRule="auto"/>
        <w:ind w:firstLine="560" w:firstLineChars="200"/>
        <w:rPr>
          <w:rFonts w:hint="eastAsia"/>
          <w:sz w:val="28"/>
        </w:rPr>
      </w:pPr>
      <w:r>
        <w:rPr>
          <w:rFonts w:hint="eastAsia"/>
          <w:sz w:val="28"/>
        </w:rPr>
        <w:t>（1）计划生育家庭奖励经费；</w:t>
      </w:r>
    </w:p>
    <w:p w14:paraId="62DAAE0B">
      <w:pPr>
        <w:spacing w:line="360" w:lineRule="auto"/>
        <w:ind w:firstLine="560" w:firstLineChars="200"/>
        <w:rPr>
          <w:rFonts w:hint="eastAsia"/>
          <w:sz w:val="28"/>
        </w:rPr>
      </w:pPr>
      <w:r>
        <w:rPr>
          <w:rFonts w:hint="eastAsia"/>
          <w:sz w:val="28"/>
        </w:rPr>
        <w:t>（2）人口和计划生育信息系统建设经费；</w:t>
      </w:r>
    </w:p>
    <w:p w14:paraId="1ABB4C0E">
      <w:pPr>
        <w:spacing w:line="360" w:lineRule="auto"/>
        <w:ind w:firstLine="560" w:firstLineChars="200"/>
        <w:rPr>
          <w:rFonts w:hint="eastAsia"/>
          <w:sz w:val="28"/>
        </w:rPr>
      </w:pPr>
      <w:r>
        <w:rPr>
          <w:rFonts w:hint="eastAsia"/>
          <w:sz w:val="28"/>
        </w:rPr>
        <w:t>（3）计划生育生殖健康促进及三查四术经费（包括：生殖健康普查孕环情监测经费、优生促进工程经费、计划生育“四术”结算经费、计划生育手术并发症、病残儿经费）；</w:t>
      </w:r>
    </w:p>
    <w:p w14:paraId="1E0BDB05">
      <w:pPr>
        <w:spacing w:line="360" w:lineRule="auto"/>
        <w:ind w:firstLine="560" w:firstLineChars="200"/>
        <w:rPr>
          <w:rFonts w:hint="eastAsia"/>
          <w:sz w:val="28"/>
        </w:rPr>
      </w:pPr>
      <w:r>
        <w:rPr>
          <w:rFonts w:hint="eastAsia"/>
          <w:sz w:val="28"/>
        </w:rPr>
        <w:t>（4）人口计划生育服务网络建设经费（包括：村社区计生专干岗位补贴、村计生专干入户调查补贴、计生中心户长劳务补贴、计划生育培训经费）；</w:t>
      </w:r>
    </w:p>
    <w:p w14:paraId="34E467D1">
      <w:pPr>
        <w:spacing w:line="360" w:lineRule="auto"/>
        <w:ind w:firstLine="560" w:firstLineChars="200"/>
        <w:rPr>
          <w:rFonts w:hint="eastAsia"/>
          <w:sz w:val="28"/>
        </w:rPr>
      </w:pPr>
      <w:r>
        <w:rPr>
          <w:rFonts w:hint="eastAsia"/>
          <w:sz w:val="28"/>
        </w:rPr>
        <w:t>（5）计划生育宣传教育经费；</w:t>
      </w:r>
    </w:p>
    <w:p w14:paraId="187E575D">
      <w:pPr>
        <w:spacing w:line="360" w:lineRule="auto"/>
        <w:ind w:firstLine="560" w:firstLineChars="200"/>
        <w:rPr>
          <w:rFonts w:hint="eastAsia"/>
          <w:sz w:val="28"/>
        </w:rPr>
      </w:pPr>
      <w:r>
        <w:rPr>
          <w:rFonts w:hint="eastAsia"/>
          <w:sz w:val="28"/>
        </w:rPr>
        <w:t>（6）关爱女孩专项经费；</w:t>
      </w:r>
    </w:p>
    <w:p w14:paraId="3E156AED">
      <w:pPr>
        <w:spacing w:line="360" w:lineRule="auto"/>
        <w:ind w:firstLine="560" w:firstLineChars="200"/>
        <w:rPr>
          <w:rFonts w:hint="eastAsia"/>
          <w:sz w:val="28"/>
        </w:rPr>
      </w:pPr>
      <w:r>
        <w:rPr>
          <w:rFonts w:hint="eastAsia"/>
          <w:sz w:val="28"/>
        </w:rPr>
        <w:t>（7）人口和计划生育目标责任制管理经费；</w:t>
      </w:r>
    </w:p>
    <w:p w14:paraId="7E11C0CF">
      <w:pPr>
        <w:spacing w:line="360" w:lineRule="auto"/>
        <w:ind w:firstLine="560" w:firstLineChars="200"/>
        <w:rPr>
          <w:rFonts w:hint="eastAsia"/>
          <w:sz w:val="28"/>
        </w:rPr>
      </w:pPr>
      <w:r>
        <w:rPr>
          <w:rFonts w:hint="eastAsia"/>
          <w:sz w:val="28"/>
        </w:rPr>
        <w:t>（8）出生人口性别比综合治理经费；</w:t>
      </w:r>
    </w:p>
    <w:p w14:paraId="068F9767">
      <w:pPr>
        <w:spacing w:line="360" w:lineRule="auto"/>
        <w:ind w:firstLine="560" w:firstLineChars="200"/>
        <w:rPr>
          <w:rFonts w:hint="eastAsia"/>
          <w:sz w:val="28"/>
        </w:rPr>
      </w:pPr>
      <w:r>
        <w:rPr>
          <w:rFonts w:hint="eastAsia"/>
          <w:sz w:val="28"/>
        </w:rPr>
        <w:t>（9）流动人口计划生育管理经费。</w:t>
      </w:r>
    </w:p>
    <w:p w14:paraId="019DBDB9">
      <w:pPr>
        <w:spacing w:line="360" w:lineRule="auto"/>
        <w:ind w:firstLine="560" w:firstLineChars="200"/>
        <w:rPr>
          <w:rFonts w:hint="eastAsia"/>
          <w:sz w:val="28"/>
        </w:rPr>
      </w:pPr>
      <w:r>
        <w:rPr>
          <w:rFonts w:hint="eastAsia"/>
          <w:sz w:val="28"/>
        </w:rPr>
        <w:t>2017年，九峰街道办事处计划生育工作（以下简称“计生工作”）以省、市、区卫生计生工作会议精神为指导，坚持计划生育基本国策，稳妥实施一对夫妇可生育两个孩子政策，深化计生服务管理各项改革，以坚持和完善计生目标管理责任制、综合治理出生人口性别比、夯实计生基层基础工作、推进流动人口服务管理均等化、落实计生家庭惠民政策、不断提升妇幼健康服务水平为主要内容，主动适应全面两孩新政策，调整计生工作新思路，创新计生工作新模式，主攻重点，突破难点，打造亮点，力争全街的计生工作再上一个新台阶。</w:t>
      </w:r>
    </w:p>
    <w:p w14:paraId="02EF23AA">
      <w:pPr>
        <w:spacing w:line="360" w:lineRule="auto"/>
        <w:ind w:firstLine="560" w:firstLineChars="200"/>
        <w:rPr>
          <w:rFonts w:hint="eastAsia"/>
          <w:sz w:val="28"/>
        </w:rPr>
      </w:pPr>
      <w:r>
        <w:rPr>
          <w:rFonts w:hint="eastAsia" w:ascii="楷体_GB2312" w:eastAsia="楷体_GB2312"/>
          <w:sz w:val="28"/>
        </w:rPr>
        <w:t>（二）项目预算绩效目标</w:t>
      </w:r>
    </w:p>
    <w:p w14:paraId="130B4588">
      <w:pPr>
        <w:spacing w:line="360" w:lineRule="auto"/>
        <w:ind w:firstLine="560" w:firstLineChars="200"/>
        <w:rPr>
          <w:rFonts w:hint="eastAsia"/>
          <w:sz w:val="28"/>
        </w:rPr>
      </w:pPr>
      <w:r>
        <w:rPr>
          <w:rFonts w:hint="eastAsia"/>
          <w:sz w:val="28"/>
        </w:rPr>
        <w:t>根据《2017年部门项目申报及绩效目标表》，计生事业经费绩效总目标如下：全面落实计生服务管理改革工作，坚持和完善计生目标管理责任制，加强出生人口性别比综合治理，夯实计划生育基层基础工作，切实做好流动人口服务管理，落实计划生育各项惠民政策，进一步提升妇幼保健服务水平，积极开展计划生育宣传工作。</w:t>
      </w:r>
    </w:p>
    <w:p w14:paraId="7CB7126C">
      <w:pPr>
        <w:spacing w:line="360" w:lineRule="auto"/>
        <w:ind w:firstLine="560" w:firstLineChars="200"/>
        <w:rPr>
          <w:rFonts w:hint="eastAsia"/>
          <w:sz w:val="28"/>
        </w:rPr>
      </w:pPr>
      <w:r>
        <w:rPr>
          <w:rFonts w:hint="eastAsia"/>
          <w:sz w:val="28"/>
        </w:rPr>
        <w:t>根据《2017年部门项目申报及绩效目标表》，计生事业经费2017年度绩效指标如下：</w:t>
      </w:r>
    </w:p>
    <w:p w14:paraId="1B4B9A95">
      <w:pPr>
        <w:numPr>
          <w:ilvl w:val="0"/>
          <w:numId w:val="9"/>
        </w:numPr>
        <w:spacing w:line="360" w:lineRule="auto"/>
        <w:rPr>
          <w:rFonts w:hint="eastAsia"/>
          <w:sz w:val="28"/>
        </w:rPr>
      </w:pPr>
      <w:r>
        <w:rPr>
          <w:rFonts w:hint="eastAsia"/>
          <w:sz w:val="28"/>
        </w:rPr>
        <w:t>产出目标</w:t>
      </w:r>
    </w:p>
    <w:tbl>
      <w:tblPr>
        <w:tblStyle w:val="5"/>
        <w:tblW w:w="8605" w:type="dxa"/>
        <w:jc w:val="center"/>
        <w:tblLayout w:type="fixed"/>
        <w:tblCellMar>
          <w:top w:w="0" w:type="dxa"/>
          <w:left w:w="108" w:type="dxa"/>
          <w:bottom w:w="0" w:type="dxa"/>
          <w:right w:w="108" w:type="dxa"/>
        </w:tblCellMar>
      </w:tblPr>
      <w:tblGrid>
        <w:gridCol w:w="1134"/>
        <w:gridCol w:w="1284"/>
        <w:gridCol w:w="2977"/>
        <w:gridCol w:w="3210"/>
      </w:tblGrid>
      <w:tr w14:paraId="3757DC60">
        <w:tblPrEx>
          <w:tblCellMar>
            <w:top w:w="0" w:type="dxa"/>
            <w:left w:w="108" w:type="dxa"/>
            <w:bottom w:w="0" w:type="dxa"/>
            <w:right w:w="108" w:type="dxa"/>
          </w:tblCellMar>
        </w:tblPrEx>
        <w:trPr>
          <w:trHeight w:val="529" w:hRule="atLeast"/>
          <w:tblHeader/>
          <w:jc w:val="center"/>
        </w:trPr>
        <w:tc>
          <w:tcPr>
            <w:tcW w:w="1134" w:type="dxa"/>
            <w:tcBorders>
              <w:top w:val="single" w:color="auto" w:sz="12" w:space="0"/>
              <w:left w:val="single" w:color="auto" w:sz="12" w:space="0"/>
              <w:bottom w:val="single" w:color="auto" w:sz="4" w:space="0"/>
              <w:right w:val="single" w:color="auto" w:sz="4" w:space="0"/>
            </w:tcBorders>
            <w:shd w:val="clear" w:color="000000" w:fill="D9D9D9"/>
            <w:vAlign w:val="center"/>
          </w:tcPr>
          <w:p w14:paraId="49568DC9">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284" w:type="dxa"/>
            <w:tcBorders>
              <w:top w:val="single" w:color="auto" w:sz="12" w:space="0"/>
              <w:left w:val="nil"/>
              <w:bottom w:val="single" w:color="auto" w:sz="4" w:space="0"/>
              <w:right w:val="single" w:color="auto" w:sz="4" w:space="0"/>
            </w:tcBorders>
            <w:shd w:val="clear" w:color="000000" w:fill="D9D9D9"/>
            <w:vAlign w:val="center"/>
          </w:tcPr>
          <w:p w14:paraId="14AD257B">
            <w:pPr>
              <w:widowControl/>
              <w:jc w:val="center"/>
              <w:rPr>
                <w:rFonts w:hint="eastAsia" w:ascii="宋体" w:hAnsi="宋体" w:cs="宋体"/>
                <w:b/>
                <w:kern w:val="0"/>
                <w:sz w:val="20"/>
                <w:szCs w:val="20"/>
              </w:rPr>
            </w:pPr>
            <w:r>
              <w:rPr>
                <w:rFonts w:hint="eastAsia" w:ascii="宋体" w:hAnsi="宋体" w:cs="宋体"/>
                <w:b/>
                <w:kern w:val="0"/>
                <w:sz w:val="20"/>
                <w:szCs w:val="20"/>
              </w:rPr>
              <w:t>指标内容</w:t>
            </w:r>
          </w:p>
        </w:tc>
        <w:tc>
          <w:tcPr>
            <w:tcW w:w="2977" w:type="dxa"/>
            <w:tcBorders>
              <w:top w:val="single" w:color="auto" w:sz="12" w:space="0"/>
              <w:left w:val="nil"/>
              <w:bottom w:val="single" w:color="auto" w:sz="4" w:space="0"/>
              <w:right w:val="single" w:color="auto" w:sz="4" w:space="0"/>
            </w:tcBorders>
            <w:shd w:val="clear" w:color="000000" w:fill="D9D9D9"/>
            <w:vAlign w:val="center"/>
          </w:tcPr>
          <w:p w14:paraId="7B2788A2">
            <w:pPr>
              <w:widowControl/>
              <w:jc w:val="center"/>
              <w:rPr>
                <w:rFonts w:hint="eastAsia" w:ascii="宋体" w:hAnsi="宋体" w:cs="宋体"/>
                <w:b/>
                <w:kern w:val="0"/>
                <w:sz w:val="20"/>
                <w:szCs w:val="20"/>
              </w:rPr>
            </w:pPr>
            <w:r>
              <w:rPr>
                <w:rFonts w:hint="eastAsia" w:ascii="宋体" w:hAnsi="宋体" w:cs="宋体"/>
                <w:b/>
                <w:kern w:val="0"/>
                <w:sz w:val="20"/>
                <w:szCs w:val="20"/>
              </w:rPr>
              <w:t>指标值</w:t>
            </w:r>
          </w:p>
        </w:tc>
        <w:tc>
          <w:tcPr>
            <w:tcW w:w="3210" w:type="dxa"/>
            <w:tcBorders>
              <w:top w:val="single" w:color="auto" w:sz="12" w:space="0"/>
              <w:left w:val="nil"/>
              <w:bottom w:val="single" w:color="auto" w:sz="4" w:space="0"/>
              <w:right w:val="single" w:color="auto" w:sz="12" w:space="0"/>
            </w:tcBorders>
            <w:shd w:val="clear" w:color="000000" w:fill="D9D9D9"/>
            <w:vAlign w:val="center"/>
          </w:tcPr>
          <w:p w14:paraId="45264174">
            <w:pPr>
              <w:widowControl/>
              <w:jc w:val="center"/>
              <w:rPr>
                <w:rFonts w:hint="eastAsia" w:ascii="宋体" w:hAnsi="宋体" w:cs="宋体"/>
                <w:b/>
                <w:kern w:val="0"/>
                <w:sz w:val="20"/>
                <w:szCs w:val="20"/>
              </w:rPr>
            </w:pPr>
            <w:r>
              <w:rPr>
                <w:rFonts w:hint="eastAsia" w:ascii="宋体" w:hAnsi="宋体" w:cs="宋体"/>
                <w:b/>
                <w:kern w:val="0"/>
                <w:sz w:val="20"/>
                <w:szCs w:val="20"/>
              </w:rPr>
              <w:t>备注</w:t>
            </w:r>
          </w:p>
        </w:tc>
      </w:tr>
      <w:tr w14:paraId="4BD1D790">
        <w:tblPrEx>
          <w:tblCellMar>
            <w:top w:w="0" w:type="dxa"/>
            <w:left w:w="108" w:type="dxa"/>
            <w:bottom w:w="0" w:type="dxa"/>
            <w:right w:w="108" w:type="dxa"/>
          </w:tblCellMar>
        </w:tblPrEx>
        <w:trPr>
          <w:trHeight w:val="720" w:hRule="atLeast"/>
          <w:jc w:val="center"/>
        </w:trPr>
        <w:tc>
          <w:tcPr>
            <w:tcW w:w="1134" w:type="dxa"/>
            <w:vMerge w:val="restart"/>
            <w:tcBorders>
              <w:top w:val="nil"/>
              <w:left w:val="single" w:color="auto" w:sz="12" w:space="0"/>
              <w:bottom w:val="single" w:color="000000" w:sz="4" w:space="0"/>
              <w:right w:val="single" w:color="auto" w:sz="4" w:space="0"/>
            </w:tcBorders>
            <w:shd w:val="clear" w:color="000000" w:fill="FFFFFF"/>
            <w:vAlign w:val="center"/>
          </w:tcPr>
          <w:p w14:paraId="6C0A6747">
            <w:pPr>
              <w:widowControl/>
              <w:jc w:val="center"/>
              <w:rPr>
                <w:rFonts w:hint="eastAsia" w:ascii="宋体" w:hAnsi="宋体" w:cs="宋体"/>
                <w:kern w:val="0"/>
                <w:sz w:val="20"/>
                <w:szCs w:val="20"/>
              </w:rPr>
            </w:pPr>
            <w:r>
              <w:rPr>
                <w:rFonts w:hint="eastAsia" w:ascii="宋体" w:hAnsi="宋体" w:cs="宋体"/>
                <w:kern w:val="0"/>
                <w:sz w:val="20"/>
                <w:szCs w:val="20"/>
              </w:rPr>
              <w:t>数量指标</w:t>
            </w:r>
          </w:p>
        </w:tc>
        <w:tc>
          <w:tcPr>
            <w:tcW w:w="1284" w:type="dxa"/>
            <w:tcBorders>
              <w:top w:val="nil"/>
              <w:left w:val="nil"/>
              <w:bottom w:val="single" w:color="auto" w:sz="4" w:space="0"/>
              <w:right w:val="single" w:color="auto" w:sz="4" w:space="0"/>
            </w:tcBorders>
            <w:shd w:val="clear" w:color="000000" w:fill="FFFFFF"/>
            <w:vAlign w:val="center"/>
          </w:tcPr>
          <w:p w14:paraId="78162868">
            <w:pPr>
              <w:widowControl/>
              <w:jc w:val="left"/>
              <w:rPr>
                <w:rFonts w:hint="eastAsia" w:ascii="宋体" w:hAnsi="宋体" w:cs="宋体"/>
                <w:kern w:val="0"/>
                <w:sz w:val="20"/>
                <w:szCs w:val="20"/>
              </w:rPr>
            </w:pPr>
            <w:r>
              <w:rPr>
                <w:rFonts w:hint="eastAsia" w:ascii="宋体" w:hAnsi="宋体" w:cs="宋体"/>
                <w:kern w:val="0"/>
                <w:sz w:val="20"/>
                <w:szCs w:val="20"/>
              </w:rPr>
              <w:t>补贴发放率</w:t>
            </w:r>
          </w:p>
        </w:tc>
        <w:tc>
          <w:tcPr>
            <w:tcW w:w="2977" w:type="dxa"/>
            <w:tcBorders>
              <w:top w:val="nil"/>
              <w:left w:val="nil"/>
              <w:bottom w:val="single" w:color="auto" w:sz="4" w:space="0"/>
              <w:right w:val="single" w:color="auto" w:sz="4" w:space="0"/>
            </w:tcBorders>
            <w:shd w:val="clear" w:color="000000" w:fill="FFFFFF"/>
            <w:vAlign w:val="center"/>
          </w:tcPr>
          <w:p w14:paraId="5B6CE083">
            <w:pPr>
              <w:widowControl/>
              <w:jc w:val="left"/>
              <w:rPr>
                <w:rFonts w:hint="eastAsia" w:ascii="宋体" w:hAnsi="宋体" w:cs="宋体"/>
                <w:kern w:val="0"/>
                <w:sz w:val="20"/>
                <w:szCs w:val="20"/>
              </w:rPr>
            </w:pPr>
            <w:r>
              <w:rPr>
                <w:rFonts w:hint="eastAsia" w:ascii="宋体" w:hAnsi="宋体" w:cs="宋体"/>
                <w:kern w:val="0"/>
                <w:sz w:val="20"/>
                <w:szCs w:val="20"/>
              </w:rPr>
              <w:t>实际补贴发放金额占计划补贴发放金额比重。</w:t>
            </w:r>
          </w:p>
        </w:tc>
        <w:tc>
          <w:tcPr>
            <w:tcW w:w="3210" w:type="dxa"/>
            <w:tcBorders>
              <w:top w:val="nil"/>
              <w:left w:val="nil"/>
              <w:bottom w:val="single" w:color="auto" w:sz="4" w:space="0"/>
              <w:right w:val="single" w:color="auto" w:sz="12" w:space="0"/>
            </w:tcBorders>
            <w:shd w:val="clear" w:color="000000" w:fill="FFFFFF"/>
            <w:vAlign w:val="center"/>
          </w:tcPr>
          <w:p w14:paraId="17923BBC">
            <w:pPr>
              <w:widowControl/>
              <w:jc w:val="left"/>
              <w:rPr>
                <w:rFonts w:hint="eastAsia" w:ascii="宋体" w:hAnsi="宋体" w:cs="宋体"/>
                <w:kern w:val="0"/>
                <w:sz w:val="20"/>
                <w:szCs w:val="20"/>
              </w:rPr>
            </w:pPr>
            <w:r>
              <w:rPr>
                <w:rFonts w:hint="eastAsia" w:ascii="宋体" w:hAnsi="宋体" w:cs="宋体"/>
                <w:kern w:val="0"/>
                <w:sz w:val="20"/>
                <w:szCs w:val="20"/>
              </w:rPr>
              <w:t>补贴发放率=(实际补贴发放金额/计划补贴发放金额）×100%</w:t>
            </w:r>
          </w:p>
        </w:tc>
      </w:tr>
      <w:tr w14:paraId="3985071D">
        <w:tblPrEx>
          <w:tblCellMar>
            <w:top w:w="0" w:type="dxa"/>
            <w:left w:w="108" w:type="dxa"/>
            <w:bottom w:w="0" w:type="dxa"/>
            <w:right w:w="108" w:type="dxa"/>
          </w:tblCellMar>
        </w:tblPrEx>
        <w:trPr>
          <w:trHeight w:val="720" w:hRule="atLeast"/>
          <w:jc w:val="center"/>
        </w:trPr>
        <w:tc>
          <w:tcPr>
            <w:tcW w:w="1134" w:type="dxa"/>
            <w:vMerge w:val="continue"/>
            <w:tcBorders>
              <w:top w:val="nil"/>
              <w:left w:val="single" w:color="auto" w:sz="12" w:space="0"/>
              <w:bottom w:val="single" w:color="000000" w:sz="4" w:space="0"/>
              <w:right w:val="single" w:color="auto" w:sz="4" w:space="0"/>
            </w:tcBorders>
            <w:shd w:val="clear" w:color="auto" w:fill="auto"/>
            <w:vAlign w:val="center"/>
          </w:tcPr>
          <w:p w14:paraId="5C620156">
            <w:pPr>
              <w:widowControl/>
              <w:jc w:val="left"/>
              <w:rPr>
                <w:rFonts w:ascii="宋体" w:hAnsi="宋体" w:cs="宋体"/>
                <w:kern w:val="0"/>
                <w:sz w:val="20"/>
                <w:szCs w:val="20"/>
              </w:rPr>
            </w:pPr>
          </w:p>
        </w:tc>
        <w:tc>
          <w:tcPr>
            <w:tcW w:w="1284" w:type="dxa"/>
            <w:tcBorders>
              <w:top w:val="nil"/>
              <w:left w:val="nil"/>
              <w:bottom w:val="single" w:color="auto" w:sz="4" w:space="0"/>
              <w:right w:val="single" w:color="auto" w:sz="4" w:space="0"/>
            </w:tcBorders>
            <w:shd w:val="clear" w:color="000000" w:fill="FFFFFF"/>
            <w:vAlign w:val="center"/>
          </w:tcPr>
          <w:p w14:paraId="0806F21B">
            <w:pPr>
              <w:widowControl/>
              <w:jc w:val="left"/>
              <w:rPr>
                <w:rFonts w:hint="eastAsia" w:ascii="宋体" w:hAnsi="宋体" w:cs="宋体"/>
                <w:kern w:val="0"/>
                <w:sz w:val="20"/>
                <w:szCs w:val="20"/>
              </w:rPr>
            </w:pPr>
            <w:r>
              <w:rPr>
                <w:rFonts w:hint="eastAsia" w:ascii="宋体" w:hAnsi="宋体" w:cs="宋体"/>
                <w:kern w:val="0"/>
                <w:sz w:val="20"/>
                <w:szCs w:val="20"/>
              </w:rPr>
              <w:t>宣传、活动完成率</w:t>
            </w:r>
          </w:p>
        </w:tc>
        <w:tc>
          <w:tcPr>
            <w:tcW w:w="2977" w:type="dxa"/>
            <w:tcBorders>
              <w:top w:val="nil"/>
              <w:left w:val="nil"/>
              <w:bottom w:val="single" w:color="auto" w:sz="4" w:space="0"/>
              <w:right w:val="single" w:color="auto" w:sz="4" w:space="0"/>
            </w:tcBorders>
            <w:shd w:val="clear" w:color="000000" w:fill="FFFFFF"/>
            <w:vAlign w:val="center"/>
          </w:tcPr>
          <w:p w14:paraId="4D82C96C">
            <w:pPr>
              <w:widowControl/>
              <w:jc w:val="left"/>
              <w:rPr>
                <w:rFonts w:hint="eastAsia" w:ascii="宋体" w:hAnsi="宋体" w:cs="宋体"/>
                <w:kern w:val="0"/>
                <w:sz w:val="20"/>
                <w:szCs w:val="20"/>
              </w:rPr>
            </w:pPr>
            <w:r>
              <w:rPr>
                <w:rFonts w:hint="eastAsia" w:ascii="宋体" w:hAnsi="宋体" w:cs="宋体"/>
                <w:kern w:val="0"/>
                <w:sz w:val="20"/>
                <w:szCs w:val="20"/>
              </w:rPr>
              <w:t>实际活动次数占计划活动次数比重。</w:t>
            </w:r>
          </w:p>
        </w:tc>
        <w:tc>
          <w:tcPr>
            <w:tcW w:w="3210" w:type="dxa"/>
            <w:tcBorders>
              <w:top w:val="nil"/>
              <w:left w:val="nil"/>
              <w:bottom w:val="single" w:color="auto" w:sz="4" w:space="0"/>
              <w:right w:val="single" w:color="auto" w:sz="12" w:space="0"/>
            </w:tcBorders>
            <w:shd w:val="clear" w:color="000000" w:fill="FFFFFF"/>
            <w:vAlign w:val="center"/>
          </w:tcPr>
          <w:p w14:paraId="1A7CA9E7">
            <w:pPr>
              <w:widowControl/>
              <w:jc w:val="left"/>
              <w:rPr>
                <w:rFonts w:hint="eastAsia" w:ascii="宋体" w:hAnsi="宋体" w:cs="宋体"/>
                <w:kern w:val="0"/>
                <w:sz w:val="20"/>
                <w:szCs w:val="20"/>
              </w:rPr>
            </w:pPr>
            <w:r>
              <w:rPr>
                <w:rFonts w:hint="eastAsia" w:ascii="宋体" w:hAnsi="宋体" w:cs="宋体"/>
                <w:kern w:val="0"/>
                <w:sz w:val="20"/>
                <w:szCs w:val="20"/>
              </w:rPr>
              <w:t>活动完成率=（实际宣传活动次数/计划宣传活动次数）×100%</w:t>
            </w:r>
          </w:p>
        </w:tc>
      </w:tr>
      <w:tr w14:paraId="5CAA952B">
        <w:tblPrEx>
          <w:tblCellMar>
            <w:top w:w="0" w:type="dxa"/>
            <w:left w:w="108" w:type="dxa"/>
            <w:bottom w:w="0" w:type="dxa"/>
            <w:right w:w="108" w:type="dxa"/>
          </w:tblCellMar>
        </w:tblPrEx>
        <w:trPr>
          <w:trHeight w:val="849" w:hRule="atLeast"/>
          <w:jc w:val="center"/>
        </w:trPr>
        <w:tc>
          <w:tcPr>
            <w:tcW w:w="1134" w:type="dxa"/>
            <w:vMerge w:val="restart"/>
            <w:tcBorders>
              <w:top w:val="nil"/>
              <w:left w:val="single" w:color="auto" w:sz="12" w:space="0"/>
              <w:bottom w:val="single" w:color="000000" w:sz="4" w:space="0"/>
              <w:right w:val="single" w:color="auto" w:sz="4" w:space="0"/>
            </w:tcBorders>
            <w:shd w:val="clear" w:color="000000" w:fill="FFFFFF"/>
            <w:vAlign w:val="center"/>
          </w:tcPr>
          <w:p w14:paraId="691C5856">
            <w:pPr>
              <w:widowControl/>
              <w:jc w:val="center"/>
              <w:rPr>
                <w:rFonts w:hint="eastAsia" w:ascii="宋体" w:hAnsi="宋体" w:cs="宋体"/>
                <w:kern w:val="0"/>
                <w:sz w:val="20"/>
                <w:szCs w:val="20"/>
              </w:rPr>
            </w:pPr>
            <w:r>
              <w:rPr>
                <w:rFonts w:hint="eastAsia" w:ascii="宋体" w:hAnsi="宋体" w:cs="宋体"/>
                <w:kern w:val="0"/>
                <w:sz w:val="20"/>
                <w:szCs w:val="20"/>
              </w:rPr>
              <w:t>质量指标</w:t>
            </w:r>
          </w:p>
        </w:tc>
        <w:tc>
          <w:tcPr>
            <w:tcW w:w="1284" w:type="dxa"/>
            <w:tcBorders>
              <w:top w:val="nil"/>
              <w:left w:val="nil"/>
              <w:bottom w:val="single" w:color="auto" w:sz="4" w:space="0"/>
              <w:right w:val="single" w:color="auto" w:sz="4" w:space="0"/>
            </w:tcBorders>
            <w:shd w:val="clear" w:color="000000" w:fill="FFFFFF"/>
            <w:vAlign w:val="center"/>
          </w:tcPr>
          <w:p w14:paraId="02037D69">
            <w:pPr>
              <w:widowControl/>
              <w:jc w:val="left"/>
              <w:rPr>
                <w:rFonts w:hint="eastAsia" w:ascii="宋体" w:hAnsi="宋体" w:cs="宋体"/>
                <w:kern w:val="0"/>
                <w:sz w:val="20"/>
                <w:szCs w:val="20"/>
              </w:rPr>
            </w:pPr>
            <w:r>
              <w:rPr>
                <w:rFonts w:hint="eastAsia" w:ascii="宋体" w:hAnsi="宋体" w:cs="宋体"/>
                <w:kern w:val="0"/>
                <w:sz w:val="20"/>
                <w:szCs w:val="20"/>
              </w:rPr>
              <w:t>补贴覆盖率</w:t>
            </w:r>
          </w:p>
        </w:tc>
        <w:tc>
          <w:tcPr>
            <w:tcW w:w="2977" w:type="dxa"/>
            <w:tcBorders>
              <w:top w:val="nil"/>
              <w:left w:val="nil"/>
              <w:bottom w:val="single" w:color="auto" w:sz="4" w:space="0"/>
              <w:right w:val="single" w:color="auto" w:sz="4" w:space="0"/>
            </w:tcBorders>
            <w:shd w:val="clear" w:color="000000" w:fill="FFFFFF"/>
            <w:vAlign w:val="center"/>
          </w:tcPr>
          <w:p w14:paraId="488716D8">
            <w:pPr>
              <w:widowControl/>
              <w:jc w:val="left"/>
              <w:rPr>
                <w:rFonts w:hint="eastAsia" w:ascii="宋体" w:hAnsi="宋体" w:cs="宋体"/>
                <w:kern w:val="0"/>
                <w:sz w:val="20"/>
                <w:szCs w:val="20"/>
              </w:rPr>
            </w:pPr>
            <w:r>
              <w:rPr>
                <w:rFonts w:hint="eastAsia" w:ascii="宋体" w:hAnsi="宋体" w:cs="宋体"/>
                <w:kern w:val="0"/>
                <w:sz w:val="20"/>
                <w:szCs w:val="20"/>
              </w:rPr>
              <w:t>实际补贴发放人数占计划补贴发放人数比重。</w:t>
            </w:r>
          </w:p>
        </w:tc>
        <w:tc>
          <w:tcPr>
            <w:tcW w:w="3210" w:type="dxa"/>
            <w:tcBorders>
              <w:top w:val="nil"/>
              <w:left w:val="nil"/>
              <w:bottom w:val="single" w:color="auto" w:sz="4" w:space="0"/>
              <w:right w:val="single" w:color="auto" w:sz="12" w:space="0"/>
            </w:tcBorders>
            <w:shd w:val="clear" w:color="000000" w:fill="FFFFFF"/>
            <w:vAlign w:val="center"/>
          </w:tcPr>
          <w:p w14:paraId="5A37139E">
            <w:pPr>
              <w:widowControl/>
              <w:jc w:val="left"/>
              <w:rPr>
                <w:rFonts w:hint="eastAsia" w:ascii="宋体" w:hAnsi="宋体" w:cs="宋体"/>
                <w:kern w:val="0"/>
                <w:sz w:val="20"/>
                <w:szCs w:val="20"/>
              </w:rPr>
            </w:pPr>
            <w:r>
              <w:rPr>
                <w:rFonts w:hint="eastAsia" w:ascii="宋体" w:hAnsi="宋体" w:cs="宋体"/>
                <w:kern w:val="0"/>
                <w:sz w:val="20"/>
                <w:szCs w:val="20"/>
              </w:rPr>
              <w:t>补贴覆盖率=(实际补贴发放人数/计划补贴发放人数）×100%</w:t>
            </w:r>
          </w:p>
        </w:tc>
      </w:tr>
      <w:tr w14:paraId="7A138ACF">
        <w:tblPrEx>
          <w:tblCellMar>
            <w:top w:w="0" w:type="dxa"/>
            <w:left w:w="108" w:type="dxa"/>
            <w:bottom w:w="0" w:type="dxa"/>
            <w:right w:w="108" w:type="dxa"/>
          </w:tblCellMar>
        </w:tblPrEx>
        <w:trPr>
          <w:trHeight w:val="847" w:hRule="atLeast"/>
          <w:jc w:val="center"/>
        </w:trPr>
        <w:tc>
          <w:tcPr>
            <w:tcW w:w="1134" w:type="dxa"/>
            <w:vMerge w:val="continue"/>
            <w:tcBorders>
              <w:top w:val="nil"/>
              <w:left w:val="single" w:color="auto" w:sz="12" w:space="0"/>
              <w:bottom w:val="single" w:color="000000" w:sz="4" w:space="0"/>
              <w:right w:val="single" w:color="auto" w:sz="4" w:space="0"/>
            </w:tcBorders>
            <w:shd w:val="clear" w:color="000000" w:fill="FFFFFF"/>
            <w:vAlign w:val="center"/>
          </w:tcPr>
          <w:p w14:paraId="43B9E15C">
            <w:pPr>
              <w:widowControl/>
              <w:jc w:val="center"/>
              <w:rPr>
                <w:rFonts w:hint="eastAsia" w:ascii="宋体" w:hAnsi="宋体" w:cs="宋体"/>
                <w:kern w:val="0"/>
                <w:sz w:val="20"/>
                <w:szCs w:val="20"/>
              </w:rPr>
            </w:pPr>
          </w:p>
        </w:tc>
        <w:tc>
          <w:tcPr>
            <w:tcW w:w="1284" w:type="dxa"/>
            <w:tcBorders>
              <w:top w:val="nil"/>
              <w:left w:val="nil"/>
              <w:bottom w:val="single" w:color="auto" w:sz="4" w:space="0"/>
              <w:right w:val="single" w:color="auto" w:sz="4" w:space="0"/>
            </w:tcBorders>
            <w:shd w:val="clear" w:color="000000" w:fill="FFFFFF"/>
            <w:vAlign w:val="center"/>
          </w:tcPr>
          <w:p w14:paraId="67CDE842">
            <w:pPr>
              <w:widowControl/>
              <w:jc w:val="left"/>
              <w:rPr>
                <w:rFonts w:hint="eastAsia" w:ascii="宋体" w:hAnsi="宋体" w:cs="宋体"/>
                <w:kern w:val="0"/>
                <w:sz w:val="20"/>
                <w:szCs w:val="20"/>
              </w:rPr>
            </w:pPr>
            <w:r>
              <w:rPr>
                <w:rFonts w:hint="eastAsia" w:ascii="宋体" w:hAnsi="宋体" w:cs="宋体"/>
                <w:kern w:val="0"/>
                <w:sz w:val="20"/>
                <w:szCs w:val="20"/>
              </w:rPr>
              <w:t>信息覆盖率</w:t>
            </w:r>
          </w:p>
        </w:tc>
        <w:tc>
          <w:tcPr>
            <w:tcW w:w="2977" w:type="dxa"/>
            <w:tcBorders>
              <w:top w:val="nil"/>
              <w:left w:val="nil"/>
              <w:bottom w:val="single" w:color="auto" w:sz="4" w:space="0"/>
              <w:right w:val="single" w:color="auto" w:sz="4" w:space="0"/>
            </w:tcBorders>
            <w:shd w:val="clear" w:color="000000" w:fill="FFFFFF"/>
            <w:vAlign w:val="center"/>
          </w:tcPr>
          <w:p w14:paraId="5582FE2C">
            <w:pPr>
              <w:widowControl/>
              <w:jc w:val="left"/>
              <w:rPr>
                <w:rFonts w:hint="eastAsia" w:ascii="宋体" w:hAnsi="宋体" w:cs="宋体"/>
                <w:kern w:val="0"/>
                <w:sz w:val="20"/>
                <w:szCs w:val="20"/>
              </w:rPr>
            </w:pPr>
            <w:r>
              <w:rPr>
                <w:rFonts w:hint="eastAsia" w:ascii="宋体" w:hAnsi="宋体" w:cs="宋体"/>
                <w:kern w:val="0"/>
                <w:sz w:val="20"/>
                <w:szCs w:val="20"/>
              </w:rPr>
              <w:t>实际信息覆盖社区数占本年度辖区社区总数比重。</w:t>
            </w:r>
          </w:p>
        </w:tc>
        <w:tc>
          <w:tcPr>
            <w:tcW w:w="3210" w:type="dxa"/>
            <w:tcBorders>
              <w:top w:val="nil"/>
              <w:left w:val="nil"/>
              <w:bottom w:val="single" w:color="auto" w:sz="4" w:space="0"/>
              <w:right w:val="single" w:color="auto" w:sz="12" w:space="0"/>
            </w:tcBorders>
            <w:shd w:val="clear" w:color="000000" w:fill="FFFFFF"/>
            <w:vAlign w:val="center"/>
          </w:tcPr>
          <w:p w14:paraId="1F7169E1">
            <w:pPr>
              <w:widowControl/>
              <w:jc w:val="left"/>
              <w:rPr>
                <w:rFonts w:hint="eastAsia" w:ascii="宋体" w:hAnsi="宋体" w:cs="宋体"/>
                <w:kern w:val="0"/>
                <w:sz w:val="20"/>
                <w:szCs w:val="20"/>
              </w:rPr>
            </w:pPr>
            <w:r>
              <w:rPr>
                <w:rFonts w:hint="eastAsia" w:ascii="宋体" w:hAnsi="宋体" w:cs="宋体"/>
                <w:kern w:val="0"/>
                <w:sz w:val="20"/>
                <w:szCs w:val="20"/>
              </w:rPr>
              <w:t>信息覆盖率=（实际信息覆盖社区数/2017年辖区社区总数）×100%</w:t>
            </w:r>
          </w:p>
        </w:tc>
      </w:tr>
      <w:tr w14:paraId="13E69B18">
        <w:tblPrEx>
          <w:tblCellMar>
            <w:top w:w="0" w:type="dxa"/>
            <w:left w:w="108" w:type="dxa"/>
            <w:bottom w:w="0" w:type="dxa"/>
            <w:right w:w="108" w:type="dxa"/>
          </w:tblCellMar>
        </w:tblPrEx>
        <w:trPr>
          <w:trHeight w:val="830" w:hRule="atLeast"/>
          <w:jc w:val="center"/>
        </w:trPr>
        <w:tc>
          <w:tcPr>
            <w:tcW w:w="1134" w:type="dxa"/>
            <w:vMerge w:val="continue"/>
            <w:tcBorders>
              <w:top w:val="nil"/>
              <w:left w:val="single" w:color="auto" w:sz="12" w:space="0"/>
              <w:bottom w:val="single" w:color="000000" w:sz="4" w:space="0"/>
              <w:right w:val="single" w:color="auto" w:sz="4" w:space="0"/>
            </w:tcBorders>
            <w:shd w:val="clear" w:color="auto" w:fill="auto"/>
            <w:vAlign w:val="center"/>
          </w:tcPr>
          <w:p w14:paraId="34E9BA09">
            <w:pPr>
              <w:widowControl/>
              <w:jc w:val="left"/>
              <w:rPr>
                <w:rFonts w:ascii="宋体" w:hAnsi="宋体" w:cs="宋体"/>
                <w:kern w:val="0"/>
                <w:sz w:val="20"/>
                <w:szCs w:val="20"/>
              </w:rPr>
            </w:pPr>
          </w:p>
        </w:tc>
        <w:tc>
          <w:tcPr>
            <w:tcW w:w="1284" w:type="dxa"/>
            <w:tcBorders>
              <w:top w:val="nil"/>
              <w:left w:val="nil"/>
              <w:bottom w:val="single" w:color="auto" w:sz="4" w:space="0"/>
              <w:right w:val="single" w:color="auto" w:sz="4" w:space="0"/>
            </w:tcBorders>
            <w:shd w:val="clear" w:color="000000" w:fill="FFFFFF"/>
            <w:vAlign w:val="center"/>
          </w:tcPr>
          <w:p w14:paraId="709F8B5B">
            <w:pPr>
              <w:widowControl/>
              <w:jc w:val="left"/>
              <w:rPr>
                <w:rFonts w:hint="eastAsia" w:ascii="宋体" w:hAnsi="宋体" w:cs="宋体"/>
                <w:kern w:val="0"/>
                <w:sz w:val="20"/>
                <w:szCs w:val="20"/>
              </w:rPr>
            </w:pPr>
            <w:r>
              <w:rPr>
                <w:rFonts w:hint="eastAsia" w:ascii="宋体" w:hAnsi="宋体" w:cs="宋体"/>
                <w:kern w:val="0"/>
                <w:sz w:val="20"/>
                <w:szCs w:val="20"/>
              </w:rPr>
              <w:t>管理覆盖率</w:t>
            </w:r>
          </w:p>
        </w:tc>
        <w:tc>
          <w:tcPr>
            <w:tcW w:w="2977" w:type="dxa"/>
            <w:tcBorders>
              <w:top w:val="nil"/>
              <w:left w:val="nil"/>
              <w:bottom w:val="single" w:color="auto" w:sz="4" w:space="0"/>
              <w:right w:val="single" w:color="auto" w:sz="4" w:space="0"/>
            </w:tcBorders>
            <w:shd w:val="clear" w:color="000000" w:fill="FFFFFF"/>
            <w:vAlign w:val="center"/>
          </w:tcPr>
          <w:p w14:paraId="4049B7A1">
            <w:pPr>
              <w:widowControl/>
              <w:jc w:val="left"/>
              <w:rPr>
                <w:rFonts w:hint="eastAsia" w:ascii="宋体" w:hAnsi="宋体" w:cs="宋体"/>
                <w:kern w:val="0"/>
                <w:sz w:val="20"/>
                <w:szCs w:val="20"/>
              </w:rPr>
            </w:pPr>
            <w:r>
              <w:rPr>
                <w:rFonts w:hint="eastAsia" w:ascii="宋体" w:hAnsi="宋体" w:cs="宋体"/>
                <w:kern w:val="0"/>
                <w:sz w:val="20"/>
                <w:szCs w:val="20"/>
              </w:rPr>
              <w:t>登记管理实际人数占应当登记管理的人数比重。</w:t>
            </w:r>
          </w:p>
        </w:tc>
        <w:tc>
          <w:tcPr>
            <w:tcW w:w="3210" w:type="dxa"/>
            <w:tcBorders>
              <w:top w:val="nil"/>
              <w:left w:val="nil"/>
              <w:bottom w:val="single" w:color="auto" w:sz="4" w:space="0"/>
              <w:right w:val="single" w:color="auto" w:sz="12" w:space="0"/>
            </w:tcBorders>
            <w:shd w:val="clear" w:color="000000" w:fill="FFFFFF"/>
            <w:vAlign w:val="center"/>
          </w:tcPr>
          <w:p w14:paraId="0AF1B6A2">
            <w:pPr>
              <w:widowControl/>
              <w:jc w:val="left"/>
              <w:rPr>
                <w:rFonts w:hint="eastAsia" w:ascii="宋体" w:hAnsi="宋体" w:cs="宋体"/>
                <w:kern w:val="0"/>
                <w:sz w:val="20"/>
                <w:szCs w:val="20"/>
              </w:rPr>
            </w:pPr>
            <w:r>
              <w:rPr>
                <w:rFonts w:hint="eastAsia" w:ascii="宋体" w:hAnsi="宋体" w:cs="宋体"/>
                <w:kern w:val="0"/>
                <w:sz w:val="20"/>
                <w:szCs w:val="20"/>
              </w:rPr>
              <w:t xml:space="preserve">管理覆盖率=（实际登记管理人数/应当登记管理人数）×100% </w:t>
            </w:r>
          </w:p>
        </w:tc>
      </w:tr>
      <w:tr w14:paraId="38B3FF1B">
        <w:tblPrEx>
          <w:tblCellMar>
            <w:top w:w="0" w:type="dxa"/>
            <w:left w:w="108" w:type="dxa"/>
            <w:bottom w:w="0" w:type="dxa"/>
            <w:right w:w="108" w:type="dxa"/>
          </w:tblCellMar>
        </w:tblPrEx>
        <w:trPr>
          <w:trHeight w:val="841" w:hRule="atLeast"/>
          <w:jc w:val="center"/>
        </w:trPr>
        <w:tc>
          <w:tcPr>
            <w:tcW w:w="1134" w:type="dxa"/>
            <w:tcBorders>
              <w:top w:val="nil"/>
              <w:left w:val="single" w:color="auto" w:sz="12" w:space="0"/>
              <w:bottom w:val="single" w:color="000000" w:sz="4" w:space="0"/>
              <w:right w:val="single" w:color="auto" w:sz="4" w:space="0"/>
            </w:tcBorders>
            <w:shd w:val="clear" w:color="000000" w:fill="FFFFFF"/>
            <w:vAlign w:val="center"/>
          </w:tcPr>
          <w:p w14:paraId="282DCAA0">
            <w:pPr>
              <w:widowControl/>
              <w:jc w:val="center"/>
              <w:rPr>
                <w:rFonts w:hint="eastAsia" w:ascii="宋体" w:hAnsi="宋体" w:cs="宋体"/>
                <w:kern w:val="0"/>
                <w:sz w:val="20"/>
                <w:szCs w:val="20"/>
              </w:rPr>
            </w:pPr>
            <w:r>
              <w:rPr>
                <w:rFonts w:hint="eastAsia" w:ascii="宋体" w:hAnsi="宋体" w:cs="宋体"/>
                <w:kern w:val="0"/>
                <w:sz w:val="20"/>
                <w:szCs w:val="20"/>
              </w:rPr>
              <w:t>时效指标</w:t>
            </w:r>
          </w:p>
        </w:tc>
        <w:tc>
          <w:tcPr>
            <w:tcW w:w="1284" w:type="dxa"/>
            <w:tcBorders>
              <w:top w:val="nil"/>
              <w:left w:val="nil"/>
              <w:bottom w:val="single" w:color="auto" w:sz="4" w:space="0"/>
              <w:right w:val="single" w:color="auto" w:sz="4" w:space="0"/>
            </w:tcBorders>
            <w:shd w:val="clear" w:color="000000" w:fill="FFFFFF"/>
            <w:vAlign w:val="center"/>
          </w:tcPr>
          <w:p w14:paraId="7E046FE5">
            <w:pPr>
              <w:widowControl/>
              <w:jc w:val="left"/>
              <w:rPr>
                <w:rFonts w:hint="eastAsia" w:ascii="宋体" w:hAnsi="宋体" w:cs="宋体"/>
                <w:kern w:val="0"/>
                <w:sz w:val="20"/>
                <w:szCs w:val="20"/>
              </w:rPr>
            </w:pPr>
            <w:r>
              <w:rPr>
                <w:rFonts w:hint="eastAsia" w:ascii="宋体" w:hAnsi="宋体" w:cs="宋体"/>
                <w:kern w:val="0"/>
                <w:sz w:val="20"/>
                <w:szCs w:val="20"/>
              </w:rPr>
              <w:t>完成及时率</w:t>
            </w:r>
          </w:p>
        </w:tc>
        <w:tc>
          <w:tcPr>
            <w:tcW w:w="2977" w:type="dxa"/>
            <w:tcBorders>
              <w:top w:val="nil"/>
              <w:left w:val="nil"/>
              <w:bottom w:val="single" w:color="auto" w:sz="4" w:space="0"/>
              <w:right w:val="single" w:color="auto" w:sz="4" w:space="0"/>
            </w:tcBorders>
            <w:shd w:val="clear" w:color="000000" w:fill="FFFFFF"/>
            <w:vAlign w:val="center"/>
          </w:tcPr>
          <w:p w14:paraId="6EC39AC8">
            <w:pPr>
              <w:widowControl/>
              <w:jc w:val="left"/>
              <w:rPr>
                <w:rFonts w:hint="eastAsia" w:ascii="宋体" w:hAnsi="宋体" w:cs="宋体"/>
                <w:kern w:val="0"/>
                <w:sz w:val="20"/>
                <w:szCs w:val="20"/>
              </w:rPr>
            </w:pPr>
            <w:r>
              <w:rPr>
                <w:rFonts w:hint="eastAsia" w:ascii="宋体" w:hAnsi="宋体" w:cs="宋体"/>
                <w:kern w:val="0"/>
                <w:sz w:val="20"/>
                <w:szCs w:val="20"/>
              </w:rPr>
              <w:t>实际完成天数占项目计划天数比重。目标值100%</w:t>
            </w:r>
          </w:p>
        </w:tc>
        <w:tc>
          <w:tcPr>
            <w:tcW w:w="3210" w:type="dxa"/>
            <w:tcBorders>
              <w:top w:val="nil"/>
              <w:left w:val="nil"/>
              <w:bottom w:val="single" w:color="auto" w:sz="4" w:space="0"/>
              <w:right w:val="single" w:color="auto" w:sz="12" w:space="0"/>
            </w:tcBorders>
            <w:shd w:val="clear" w:color="000000" w:fill="FFFFFF"/>
            <w:vAlign w:val="center"/>
          </w:tcPr>
          <w:p w14:paraId="2C523837">
            <w:pPr>
              <w:widowControl/>
              <w:jc w:val="left"/>
              <w:rPr>
                <w:rFonts w:hint="eastAsia" w:ascii="宋体" w:hAnsi="宋体" w:cs="宋体"/>
                <w:kern w:val="0"/>
                <w:sz w:val="20"/>
                <w:szCs w:val="20"/>
              </w:rPr>
            </w:pPr>
            <w:r>
              <w:rPr>
                <w:rFonts w:hint="eastAsia" w:ascii="宋体" w:hAnsi="宋体" w:cs="宋体"/>
                <w:kern w:val="0"/>
                <w:sz w:val="20"/>
                <w:szCs w:val="20"/>
              </w:rPr>
              <w:t>时效控制率=(实际完成天数/项目计划天数）×100%</w:t>
            </w:r>
          </w:p>
        </w:tc>
      </w:tr>
      <w:tr w14:paraId="7A83230C">
        <w:tblPrEx>
          <w:tblCellMar>
            <w:top w:w="0" w:type="dxa"/>
            <w:left w:w="108" w:type="dxa"/>
            <w:bottom w:w="0" w:type="dxa"/>
            <w:right w:w="108" w:type="dxa"/>
          </w:tblCellMar>
        </w:tblPrEx>
        <w:trPr>
          <w:trHeight w:val="840" w:hRule="atLeast"/>
          <w:jc w:val="center"/>
        </w:trPr>
        <w:tc>
          <w:tcPr>
            <w:tcW w:w="1134" w:type="dxa"/>
            <w:tcBorders>
              <w:top w:val="nil"/>
              <w:left w:val="single" w:color="auto" w:sz="12" w:space="0"/>
              <w:bottom w:val="single" w:color="000000" w:sz="4" w:space="0"/>
              <w:right w:val="single" w:color="auto" w:sz="4" w:space="0"/>
            </w:tcBorders>
            <w:shd w:val="clear" w:color="000000" w:fill="FFFFFF"/>
            <w:vAlign w:val="center"/>
          </w:tcPr>
          <w:p w14:paraId="639F27DE">
            <w:pPr>
              <w:widowControl/>
              <w:jc w:val="center"/>
              <w:rPr>
                <w:rFonts w:hint="eastAsia" w:ascii="宋体" w:hAnsi="宋体" w:cs="宋体"/>
                <w:kern w:val="0"/>
                <w:sz w:val="20"/>
                <w:szCs w:val="20"/>
              </w:rPr>
            </w:pPr>
            <w:r>
              <w:rPr>
                <w:rFonts w:hint="eastAsia" w:ascii="宋体" w:hAnsi="宋体" w:cs="宋体"/>
                <w:kern w:val="0"/>
                <w:sz w:val="20"/>
                <w:szCs w:val="20"/>
              </w:rPr>
              <w:t>成本指标</w:t>
            </w:r>
          </w:p>
        </w:tc>
        <w:tc>
          <w:tcPr>
            <w:tcW w:w="1284" w:type="dxa"/>
            <w:tcBorders>
              <w:top w:val="nil"/>
              <w:left w:val="nil"/>
              <w:bottom w:val="single" w:color="auto" w:sz="4" w:space="0"/>
              <w:right w:val="single" w:color="auto" w:sz="4" w:space="0"/>
            </w:tcBorders>
            <w:shd w:val="clear" w:color="000000" w:fill="FFFFFF"/>
            <w:vAlign w:val="center"/>
          </w:tcPr>
          <w:p w14:paraId="7E0720CC">
            <w:pPr>
              <w:widowControl/>
              <w:jc w:val="left"/>
              <w:rPr>
                <w:rFonts w:hint="eastAsia" w:ascii="宋体" w:hAnsi="宋体" w:cs="宋体"/>
                <w:kern w:val="0"/>
                <w:sz w:val="20"/>
                <w:szCs w:val="20"/>
              </w:rPr>
            </w:pPr>
            <w:r>
              <w:rPr>
                <w:rFonts w:hint="eastAsia" w:ascii="宋体" w:hAnsi="宋体" w:cs="宋体"/>
                <w:kern w:val="0"/>
                <w:sz w:val="20"/>
                <w:szCs w:val="20"/>
              </w:rPr>
              <w:t>项目预算完成率</w:t>
            </w:r>
          </w:p>
        </w:tc>
        <w:tc>
          <w:tcPr>
            <w:tcW w:w="2977" w:type="dxa"/>
            <w:tcBorders>
              <w:top w:val="nil"/>
              <w:left w:val="nil"/>
              <w:bottom w:val="single" w:color="auto" w:sz="4" w:space="0"/>
              <w:right w:val="single" w:color="auto" w:sz="4" w:space="0"/>
            </w:tcBorders>
            <w:shd w:val="clear" w:color="000000" w:fill="FFFFFF"/>
            <w:vAlign w:val="center"/>
          </w:tcPr>
          <w:p w14:paraId="747EF685">
            <w:pPr>
              <w:widowControl/>
              <w:jc w:val="left"/>
              <w:rPr>
                <w:rFonts w:hint="eastAsia" w:ascii="宋体" w:hAnsi="宋体" w:cs="宋体"/>
                <w:kern w:val="0"/>
                <w:sz w:val="20"/>
                <w:szCs w:val="20"/>
              </w:rPr>
            </w:pPr>
            <w:r>
              <w:rPr>
                <w:rFonts w:hint="eastAsia" w:ascii="宋体" w:hAnsi="宋体" w:cs="宋体"/>
                <w:kern w:val="0"/>
                <w:sz w:val="20"/>
                <w:szCs w:val="20"/>
              </w:rPr>
              <w:t>支出经费金额占预算金额比重。目标值100%</w:t>
            </w:r>
          </w:p>
        </w:tc>
        <w:tc>
          <w:tcPr>
            <w:tcW w:w="3210" w:type="dxa"/>
            <w:tcBorders>
              <w:top w:val="nil"/>
              <w:left w:val="nil"/>
              <w:bottom w:val="single" w:color="auto" w:sz="4" w:space="0"/>
              <w:right w:val="single" w:color="auto" w:sz="12" w:space="0"/>
            </w:tcBorders>
            <w:shd w:val="clear" w:color="000000" w:fill="FFFFFF"/>
            <w:vAlign w:val="center"/>
          </w:tcPr>
          <w:p w14:paraId="09203D57">
            <w:pPr>
              <w:widowControl/>
              <w:jc w:val="left"/>
              <w:rPr>
                <w:rFonts w:hint="eastAsia" w:ascii="宋体" w:hAnsi="宋体" w:cs="宋体"/>
                <w:kern w:val="0"/>
                <w:sz w:val="20"/>
                <w:szCs w:val="20"/>
              </w:rPr>
            </w:pPr>
            <w:r>
              <w:rPr>
                <w:rFonts w:hint="eastAsia" w:ascii="宋体" w:hAnsi="宋体" w:cs="宋体"/>
                <w:kern w:val="0"/>
                <w:sz w:val="20"/>
                <w:szCs w:val="20"/>
              </w:rPr>
              <w:t>成本控制率=(实际支出经费金额/预算金额）×100%</w:t>
            </w:r>
          </w:p>
        </w:tc>
      </w:tr>
    </w:tbl>
    <w:p w14:paraId="3ED0ADA6">
      <w:pPr>
        <w:spacing w:line="360" w:lineRule="auto"/>
        <w:ind w:firstLine="560" w:firstLineChars="200"/>
        <w:rPr>
          <w:sz w:val="28"/>
        </w:rPr>
      </w:pPr>
      <w:r>
        <w:rPr>
          <w:rFonts w:hint="eastAsia"/>
          <w:sz w:val="28"/>
        </w:rPr>
        <w:t>2．效果目标</w:t>
      </w:r>
    </w:p>
    <w:tbl>
      <w:tblPr>
        <w:tblStyle w:val="5"/>
        <w:tblW w:w="8600" w:type="dxa"/>
        <w:jc w:val="center"/>
        <w:tblLayout w:type="fixed"/>
        <w:tblCellMar>
          <w:top w:w="0" w:type="dxa"/>
          <w:left w:w="108" w:type="dxa"/>
          <w:bottom w:w="0" w:type="dxa"/>
          <w:right w:w="108" w:type="dxa"/>
        </w:tblCellMar>
      </w:tblPr>
      <w:tblGrid>
        <w:gridCol w:w="1112"/>
        <w:gridCol w:w="1870"/>
        <w:gridCol w:w="2835"/>
        <w:gridCol w:w="2783"/>
      </w:tblGrid>
      <w:tr w14:paraId="631BFE37">
        <w:tblPrEx>
          <w:tblCellMar>
            <w:top w:w="0" w:type="dxa"/>
            <w:left w:w="108" w:type="dxa"/>
            <w:bottom w:w="0" w:type="dxa"/>
            <w:right w:w="108" w:type="dxa"/>
          </w:tblCellMar>
        </w:tblPrEx>
        <w:trPr>
          <w:trHeight w:val="527" w:hRule="atLeast"/>
          <w:tblHeader/>
          <w:jc w:val="center"/>
        </w:trPr>
        <w:tc>
          <w:tcPr>
            <w:tcW w:w="1112" w:type="dxa"/>
            <w:tcBorders>
              <w:top w:val="single" w:color="auto" w:sz="12" w:space="0"/>
              <w:left w:val="single" w:color="auto" w:sz="12" w:space="0"/>
              <w:bottom w:val="single" w:color="auto" w:sz="4" w:space="0"/>
              <w:right w:val="single" w:color="auto" w:sz="4" w:space="0"/>
            </w:tcBorders>
            <w:shd w:val="clear" w:color="000000" w:fill="D9D9D9"/>
            <w:vAlign w:val="center"/>
          </w:tcPr>
          <w:p w14:paraId="161E79A7">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870" w:type="dxa"/>
            <w:tcBorders>
              <w:top w:val="single" w:color="auto" w:sz="12" w:space="0"/>
              <w:left w:val="nil"/>
              <w:bottom w:val="single" w:color="auto" w:sz="4" w:space="0"/>
              <w:right w:val="single" w:color="auto" w:sz="4" w:space="0"/>
            </w:tcBorders>
            <w:shd w:val="clear" w:color="000000" w:fill="D9D9D9"/>
            <w:vAlign w:val="center"/>
          </w:tcPr>
          <w:p w14:paraId="47272335">
            <w:pPr>
              <w:widowControl/>
              <w:jc w:val="center"/>
              <w:rPr>
                <w:rFonts w:hint="eastAsia" w:ascii="宋体" w:hAnsi="宋体" w:cs="宋体"/>
                <w:b/>
                <w:kern w:val="0"/>
                <w:sz w:val="20"/>
                <w:szCs w:val="20"/>
              </w:rPr>
            </w:pPr>
            <w:r>
              <w:rPr>
                <w:rFonts w:hint="eastAsia" w:ascii="宋体" w:hAnsi="宋体" w:cs="宋体"/>
                <w:b/>
                <w:kern w:val="0"/>
                <w:sz w:val="20"/>
                <w:szCs w:val="20"/>
              </w:rPr>
              <w:t>指标内容</w:t>
            </w:r>
          </w:p>
        </w:tc>
        <w:tc>
          <w:tcPr>
            <w:tcW w:w="2835" w:type="dxa"/>
            <w:tcBorders>
              <w:top w:val="single" w:color="auto" w:sz="12" w:space="0"/>
              <w:left w:val="nil"/>
              <w:bottom w:val="single" w:color="auto" w:sz="4" w:space="0"/>
              <w:right w:val="single" w:color="auto" w:sz="4" w:space="0"/>
            </w:tcBorders>
            <w:shd w:val="clear" w:color="000000" w:fill="D9D9D9"/>
            <w:vAlign w:val="center"/>
          </w:tcPr>
          <w:p w14:paraId="78F31E5A">
            <w:pPr>
              <w:widowControl/>
              <w:jc w:val="center"/>
              <w:rPr>
                <w:rFonts w:hint="eastAsia" w:ascii="宋体" w:hAnsi="宋体" w:cs="宋体"/>
                <w:b/>
                <w:kern w:val="0"/>
                <w:sz w:val="20"/>
                <w:szCs w:val="20"/>
              </w:rPr>
            </w:pPr>
            <w:r>
              <w:rPr>
                <w:rFonts w:hint="eastAsia" w:ascii="宋体" w:hAnsi="宋体" w:cs="宋体"/>
                <w:b/>
                <w:kern w:val="0"/>
                <w:sz w:val="20"/>
                <w:szCs w:val="20"/>
              </w:rPr>
              <w:t>指标值</w:t>
            </w:r>
          </w:p>
        </w:tc>
        <w:tc>
          <w:tcPr>
            <w:tcW w:w="2783" w:type="dxa"/>
            <w:tcBorders>
              <w:top w:val="single" w:color="auto" w:sz="12" w:space="0"/>
              <w:left w:val="nil"/>
              <w:bottom w:val="single" w:color="auto" w:sz="4" w:space="0"/>
              <w:right w:val="single" w:color="auto" w:sz="12" w:space="0"/>
            </w:tcBorders>
            <w:shd w:val="clear" w:color="000000" w:fill="D9D9D9"/>
            <w:vAlign w:val="center"/>
          </w:tcPr>
          <w:p w14:paraId="3577A9BC">
            <w:pPr>
              <w:widowControl/>
              <w:jc w:val="center"/>
              <w:rPr>
                <w:rFonts w:hint="eastAsia" w:ascii="宋体" w:hAnsi="宋体" w:cs="宋体"/>
                <w:b/>
                <w:kern w:val="0"/>
                <w:sz w:val="20"/>
                <w:szCs w:val="20"/>
              </w:rPr>
            </w:pPr>
            <w:r>
              <w:rPr>
                <w:rFonts w:hint="eastAsia" w:ascii="宋体" w:hAnsi="宋体" w:cs="宋体"/>
                <w:b/>
                <w:kern w:val="0"/>
                <w:sz w:val="20"/>
                <w:szCs w:val="20"/>
              </w:rPr>
              <w:t>备注</w:t>
            </w:r>
          </w:p>
        </w:tc>
      </w:tr>
      <w:tr w14:paraId="31AEF568">
        <w:tblPrEx>
          <w:tblCellMar>
            <w:top w:w="0" w:type="dxa"/>
            <w:left w:w="108" w:type="dxa"/>
            <w:bottom w:w="0" w:type="dxa"/>
            <w:right w:w="108" w:type="dxa"/>
          </w:tblCellMar>
        </w:tblPrEx>
        <w:trPr>
          <w:trHeight w:val="864" w:hRule="atLeast"/>
          <w:jc w:val="center"/>
        </w:trPr>
        <w:tc>
          <w:tcPr>
            <w:tcW w:w="1112" w:type="dxa"/>
            <w:tcBorders>
              <w:top w:val="nil"/>
              <w:left w:val="single" w:color="auto" w:sz="12" w:space="0"/>
              <w:bottom w:val="single" w:color="000000" w:sz="4" w:space="0"/>
              <w:right w:val="single" w:color="auto" w:sz="4" w:space="0"/>
            </w:tcBorders>
            <w:shd w:val="clear" w:color="000000" w:fill="FFFFFF"/>
            <w:vAlign w:val="center"/>
          </w:tcPr>
          <w:p w14:paraId="21CE946E">
            <w:pPr>
              <w:widowControl/>
              <w:jc w:val="center"/>
              <w:rPr>
                <w:rFonts w:hint="eastAsia" w:ascii="宋体" w:hAnsi="宋体" w:cs="宋体"/>
                <w:kern w:val="0"/>
                <w:sz w:val="20"/>
                <w:szCs w:val="20"/>
              </w:rPr>
            </w:pPr>
            <w:r>
              <w:rPr>
                <w:rFonts w:hint="eastAsia" w:ascii="宋体" w:hAnsi="宋体" w:cs="宋体"/>
                <w:kern w:val="0"/>
                <w:sz w:val="20"/>
                <w:szCs w:val="20"/>
              </w:rPr>
              <w:t>经济效益指标</w:t>
            </w:r>
          </w:p>
        </w:tc>
        <w:tc>
          <w:tcPr>
            <w:tcW w:w="1870" w:type="dxa"/>
            <w:tcBorders>
              <w:top w:val="nil"/>
              <w:left w:val="nil"/>
              <w:bottom w:val="single" w:color="auto" w:sz="4" w:space="0"/>
              <w:right w:val="single" w:color="auto" w:sz="4" w:space="0"/>
            </w:tcBorders>
            <w:shd w:val="clear" w:color="000000" w:fill="FFFFFF"/>
            <w:vAlign w:val="center"/>
          </w:tcPr>
          <w:p w14:paraId="387D9293">
            <w:pPr>
              <w:widowControl/>
              <w:jc w:val="center"/>
              <w:rPr>
                <w:rFonts w:hint="eastAsia" w:ascii="宋体" w:hAnsi="宋体" w:cs="宋体"/>
                <w:kern w:val="0"/>
                <w:sz w:val="20"/>
                <w:szCs w:val="20"/>
              </w:rPr>
            </w:pPr>
            <w:r>
              <w:rPr>
                <w:rFonts w:hint="eastAsia" w:ascii="宋体" w:hAnsi="宋体" w:cs="宋体"/>
                <w:kern w:val="0"/>
                <w:sz w:val="20"/>
                <w:szCs w:val="20"/>
              </w:rPr>
              <w:t>惠民工程，无直接经济效益</w:t>
            </w:r>
          </w:p>
        </w:tc>
        <w:tc>
          <w:tcPr>
            <w:tcW w:w="2835" w:type="dxa"/>
            <w:tcBorders>
              <w:top w:val="nil"/>
              <w:left w:val="nil"/>
              <w:bottom w:val="single" w:color="auto" w:sz="4" w:space="0"/>
              <w:right w:val="single" w:color="auto" w:sz="4" w:space="0"/>
            </w:tcBorders>
            <w:shd w:val="clear" w:color="000000" w:fill="FFFFFF"/>
            <w:vAlign w:val="center"/>
          </w:tcPr>
          <w:p w14:paraId="37A0E494">
            <w:pPr>
              <w:widowControl/>
              <w:jc w:val="left"/>
              <w:rPr>
                <w:rFonts w:hint="eastAsia" w:ascii="宋体" w:hAnsi="宋体" w:cs="宋体"/>
                <w:kern w:val="0"/>
                <w:sz w:val="20"/>
                <w:szCs w:val="20"/>
              </w:rPr>
            </w:pPr>
            <w:r>
              <w:rPr>
                <w:rFonts w:hint="eastAsia" w:ascii="宋体" w:hAnsi="宋体" w:cs="宋体"/>
                <w:kern w:val="0"/>
                <w:sz w:val="20"/>
                <w:szCs w:val="20"/>
              </w:rPr>
              <w:t>-</w:t>
            </w:r>
          </w:p>
        </w:tc>
        <w:tc>
          <w:tcPr>
            <w:tcW w:w="2783" w:type="dxa"/>
            <w:tcBorders>
              <w:top w:val="nil"/>
              <w:left w:val="nil"/>
              <w:bottom w:val="single" w:color="auto" w:sz="4" w:space="0"/>
              <w:right w:val="single" w:color="auto" w:sz="12" w:space="0"/>
            </w:tcBorders>
            <w:shd w:val="clear" w:color="000000" w:fill="FFFFFF"/>
            <w:vAlign w:val="center"/>
          </w:tcPr>
          <w:p w14:paraId="06231D05">
            <w:pPr>
              <w:widowControl/>
              <w:jc w:val="left"/>
              <w:rPr>
                <w:rFonts w:hint="eastAsia" w:ascii="宋体" w:hAnsi="宋体" w:cs="宋体"/>
                <w:kern w:val="0"/>
                <w:sz w:val="20"/>
                <w:szCs w:val="20"/>
              </w:rPr>
            </w:pPr>
            <w:r>
              <w:rPr>
                <w:rFonts w:hint="eastAsia" w:ascii="宋体" w:hAnsi="宋体" w:cs="宋体"/>
                <w:kern w:val="0"/>
                <w:sz w:val="20"/>
                <w:szCs w:val="20"/>
              </w:rPr>
              <w:t>-</w:t>
            </w:r>
          </w:p>
        </w:tc>
      </w:tr>
      <w:tr w14:paraId="57D4BCDB">
        <w:tblPrEx>
          <w:tblCellMar>
            <w:top w:w="0" w:type="dxa"/>
            <w:left w:w="108" w:type="dxa"/>
            <w:bottom w:w="0" w:type="dxa"/>
            <w:right w:w="108" w:type="dxa"/>
          </w:tblCellMar>
        </w:tblPrEx>
        <w:trPr>
          <w:trHeight w:val="1131" w:hRule="atLeast"/>
          <w:jc w:val="center"/>
        </w:trPr>
        <w:tc>
          <w:tcPr>
            <w:tcW w:w="1112" w:type="dxa"/>
            <w:vMerge w:val="restart"/>
            <w:tcBorders>
              <w:top w:val="single" w:color="000000" w:sz="4" w:space="0"/>
              <w:left w:val="single" w:color="auto" w:sz="12" w:space="0"/>
              <w:right w:val="single" w:color="auto" w:sz="4" w:space="0"/>
            </w:tcBorders>
            <w:shd w:val="clear" w:color="000000" w:fill="FFFFFF"/>
            <w:vAlign w:val="center"/>
          </w:tcPr>
          <w:p w14:paraId="43A12161">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14:paraId="3B812F3D">
            <w:pPr>
              <w:widowControl/>
              <w:jc w:val="center"/>
              <w:rPr>
                <w:rFonts w:hint="eastAsia" w:ascii="宋体" w:hAnsi="宋体" w:cs="宋体"/>
                <w:kern w:val="0"/>
                <w:sz w:val="20"/>
                <w:szCs w:val="20"/>
              </w:rPr>
            </w:pPr>
            <w:r>
              <w:rPr>
                <w:rFonts w:hint="eastAsia" w:ascii="宋体" w:hAnsi="宋体" w:cs="宋体"/>
                <w:kern w:val="0"/>
                <w:sz w:val="20"/>
                <w:szCs w:val="20"/>
              </w:rPr>
              <w:t>指标</w:t>
            </w:r>
          </w:p>
        </w:tc>
        <w:tc>
          <w:tcPr>
            <w:tcW w:w="1870" w:type="dxa"/>
            <w:tcBorders>
              <w:top w:val="nil"/>
              <w:left w:val="nil"/>
              <w:bottom w:val="single" w:color="auto" w:sz="4" w:space="0"/>
              <w:right w:val="single" w:color="auto" w:sz="4" w:space="0"/>
            </w:tcBorders>
            <w:shd w:val="clear" w:color="000000" w:fill="FFFFFF"/>
            <w:vAlign w:val="center"/>
          </w:tcPr>
          <w:p w14:paraId="4AF5C371">
            <w:pPr>
              <w:widowControl/>
              <w:jc w:val="left"/>
              <w:rPr>
                <w:rFonts w:hint="eastAsia" w:ascii="宋体" w:hAnsi="宋体" w:cs="宋体"/>
                <w:kern w:val="0"/>
                <w:sz w:val="20"/>
                <w:szCs w:val="20"/>
              </w:rPr>
            </w:pPr>
            <w:r>
              <w:rPr>
                <w:rFonts w:hint="eastAsia" w:ascii="宋体" w:hAnsi="宋体" w:cs="宋体"/>
                <w:kern w:val="0"/>
                <w:sz w:val="20"/>
                <w:szCs w:val="20"/>
              </w:rPr>
              <w:t>群众生活质量和健康状况的改善情况</w:t>
            </w:r>
          </w:p>
        </w:tc>
        <w:tc>
          <w:tcPr>
            <w:tcW w:w="2835" w:type="dxa"/>
            <w:tcBorders>
              <w:top w:val="nil"/>
              <w:left w:val="nil"/>
              <w:bottom w:val="single" w:color="auto" w:sz="4" w:space="0"/>
              <w:right w:val="single" w:color="auto" w:sz="4" w:space="0"/>
            </w:tcBorders>
            <w:shd w:val="clear" w:color="000000" w:fill="FFFFFF"/>
            <w:vAlign w:val="center"/>
          </w:tcPr>
          <w:p w14:paraId="565D22F5">
            <w:pPr>
              <w:widowControl/>
              <w:jc w:val="left"/>
              <w:rPr>
                <w:rFonts w:hint="eastAsia" w:ascii="宋体" w:hAnsi="宋体" w:cs="宋体"/>
                <w:kern w:val="0"/>
                <w:sz w:val="20"/>
                <w:szCs w:val="20"/>
              </w:rPr>
            </w:pPr>
            <w:r>
              <w:rPr>
                <w:rFonts w:hint="eastAsia" w:ascii="宋体" w:hAnsi="宋体" w:cs="宋体"/>
                <w:kern w:val="0"/>
                <w:sz w:val="20"/>
                <w:szCs w:val="20"/>
              </w:rPr>
              <w:t>根据育龄群众的综合避孕率、流动人口综合避孕率和男女出生率比，反映项目的社会效益。</w:t>
            </w:r>
          </w:p>
        </w:tc>
        <w:tc>
          <w:tcPr>
            <w:tcW w:w="2783" w:type="dxa"/>
            <w:tcBorders>
              <w:top w:val="nil"/>
              <w:left w:val="nil"/>
              <w:bottom w:val="single" w:color="auto" w:sz="4" w:space="0"/>
              <w:right w:val="single" w:color="auto" w:sz="12" w:space="0"/>
            </w:tcBorders>
            <w:shd w:val="clear" w:color="000000" w:fill="FFFFFF"/>
            <w:vAlign w:val="center"/>
          </w:tcPr>
          <w:p w14:paraId="244A14E3">
            <w:pPr>
              <w:widowControl/>
              <w:jc w:val="left"/>
              <w:rPr>
                <w:rFonts w:hint="eastAsia" w:ascii="宋体" w:hAnsi="宋体" w:cs="宋体"/>
                <w:kern w:val="0"/>
                <w:sz w:val="20"/>
                <w:szCs w:val="20"/>
              </w:rPr>
            </w:pPr>
            <w:r>
              <w:rPr>
                <w:rFonts w:hint="eastAsia" w:ascii="宋体" w:hAnsi="宋体" w:cs="宋体"/>
                <w:kern w:val="0"/>
                <w:sz w:val="20"/>
                <w:szCs w:val="20"/>
              </w:rPr>
              <w:t>分析本年度和上年度育龄群众的综合避孕率、流动人口综合避孕率和男女出生率比。</w:t>
            </w:r>
          </w:p>
        </w:tc>
      </w:tr>
      <w:tr w14:paraId="57485EE3">
        <w:tblPrEx>
          <w:tblCellMar>
            <w:top w:w="0" w:type="dxa"/>
            <w:left w:w="108" w:type="dxa"/>
            <w:bottom w:w="0" w:type="dxa"/>
            <w:right w:w="108" w:type="dxa"/>
          </w:tblCellMar>
        </w:tblPrEx>
        <w:trPr>
          <w:trHeight w:val="1119" w:hRule="atLeast"/>
          <w:jc w:val="center"/>
        </w:trPr>
        <w:tc>
          <w:tcPr>
            <w:tcW w:w="1112" w:type="dxa"/>
            <w:vMerge w:val="continue"/>
            <w:tcBorders>
              <w:left w:val="single" w:color="auto" w:sz="12" w:space="0"/>
              <w:bottom w:val="single" w:color="000000" w:sz="4" w:space="0"/>
              <w:right w:val="single" w:color="auto" w:sz="4" w:space="0"/>
            </w:tcBorders>
            <w:shd w:val="clear" w:color="000000" w:fill="FFFFFF"/>
            <w:vAlign w:val="center"/>
          </w:tcPr>
          <w:p w14:paraId="6940FE7D">
            <w:pPr>
              <w:widowControl/>
              <w:jc w:val="center"/>
              <w:rPr>
                <w:rFonts w:ascii="宋体" w:hAnsi="宋体" w:cs="宋体"/>
                <w:kern w:val="0"/>
                <w:sz w:val="20"/>
                <w:szCs w:val="20"/>
              </w:rPr>
            </w:pPr>
          </w:p>
        </w:tc>
        <w:tc>
          <w:tcPr>
            <w:tcW w:w="1870" w:type="dxa"/>
            <w:tcBorders>
              <w:top w:val="nil"/>
              <w:left w:val="nil"/>
              <w:bottom w:val="single" w:color="auto" w:sz="4" w:space="0"/>
              <w:right w:val="single" w:color="auto" w:sz="4" w:space="0"/>
            </w:tcBorders>
            <w:shd w:val="clear" w:color="000000" w:fill="FFFFFF"/>
            <w:vAlign w:val="center"/>
          </w:tcPr>
          <w:p w14:paraId="4009AE22">
            <w:pPr>
              <w:widowControl/>
              <w:jc w:val="left"/>
              <w:rPr>
                <w:rFonts w:hint="eastAsia" w:ascii="宋体" w:hAnsi="宋体" w:cs="宋体"/>
                <w:kern w:val="0"/>
                <w:sz w:val="20"/>
                <w:szCs w:val="20"/>
              </w:rPr>
            </w:pPr>
            <w:r>
              <w:rPr>
                <w:rFonts w:hint="eastAsia" w:ascii="宋体" w:hAnsi="宋体" w:cs="宋体"/>
                <w:kern w:val="0"/>
                <w:sz w:val="20"/>
                <w:szCs w:val="20"/>
              </w:rPr>
              <w:t>计生服务管理水平的提高情况</w:t>
            </w:r>
          </w:p>
        </w:tc>
        <w:tc>
          <w:tcPr>
            <w:tcW w:w="2835" w:type="dxa"/>
            <w:tcBorders>
              <w:top w:val="nil"/>
              <w:left w:val="nil"/>
              <w:bottom w:val="single" w:color="auto" w:sz="4" w:space="0"/>
              <w:right w:val="single" w:color="auto" w:sz="4" w:space="0"/>
            </w:tcBorders>
            <w:shd w:val="clear" w:color="000000" w:fill="FFFFFF"/>
            <w:vAlign w:val="center"/>
          </w:tcPr>
          <w:p w14:paraId="28A34424">
            <w:pPr>
              <w:widowControl/>
              <w:jc w:val="left"/>
              <w:rPr>
                <w:rFonts w:hint="eastAsia" w:ascii="宋体" w:hAnsi="宋体" w:cs="宋体"/>
                <w:kern w:val="0"/>
                <w:sz w:val="20"/>
                <w:szCs w:val="20"/>
              </w:rPr>
            </w:pPr>
            <w:r>
              <w:rPr>
                <w:rFonts w:hint="eastAsia" w:ascii="宋体" w:hAnsi="宋体" w:cs="宋体"/>
                <w:kern w:val="0"/>
                <w:sz w:val="20"/>
                <w:szCs w:val="20"/>
              </w:rPr>
              <w:t>通过对计生办工作人员绩效考核达标情况的分析，反映工作水平管理的变化。</w:t>
            </w:r>
          </w:p>
        </w:tc>
        <w:tc>
          <w:tcPr>
            <w:tcW w:w="2783" w:type="dxa"/>
            <w:tcBorders>
              <w:top w:val="nil"/>
              <w:left w:val="nil"/>
              <w:bottom w:val="single" w:color="auto" w:sz="4" w:space="0"/>
              <w:right w:val="single" w:color="auto" w:sz="12" w:space="0"/>
            </w:tcBorders>
            <w:shd w:val="clear" w:color="000000" w:fill="FFFFFF"/>
            <w:vAlign w:val="center"/>
          </w:tcPr>
          <w:p w14:paraId="7B156B4C">
            <w:pPr>
              <w:widowControl/>
              <w:jc w:val="left"/>
              <w:rPr>
                <w:rFonts w:hint="eastAsia" w:ascii="宋体" w:hAnsi="宋体" w:cs="宋体"/>
                <w:kern w:val="0"/>
                <w:sz w:val="20"/>
                <w:szCs w:val="20"/>
              </w:rPr>
            </w:pPr>
            <w:r>
              <w:rPr>
                <w:rFonts w:hint="eastAsia" w:ascii="宋体" w:hAnsi="宋体" w:cs="宋体"/>
                <w:kern w:val="0"/>
                <w:sz w:val="20"/>
                <w:szCs w:val="20"/>
              </w:rPr>
              <w:t>分析本年度和上年度计生办工作人员绩效考核达标情况。</w:t>
            </w:r>
          </w:p>
        </w:tc>
      </w:tr>
      <w:tr w14:paraId="7D07E69C">
        <w:tblPrEx>
          <w:tblCellMar>
            <w:top w:w="0" w:type="dxa"/>
            <w:left w:w="108" w:type="dxa"/>
            <w:bottom w:w="0" w:type="dxa"/>
            <w:right w:w="108" w:type="dxa"/>
          </w:tblCellMar>
        </w:tblPrEx>
        <w:trPr>
          <w:trHeight w:val="852" w:hRule="atLeast"/>
          <w:jc w:val="center"/>
        </w:trPr>
        <w:tc>
          <w:tcPr>
            <w:tcW w:w="1112" w:type="dxa"/>
            <w:tcBorders>
              <w:top w:val="nil"/>
              <w:left w:val="single" w:color="auto" w:sz="12" w:space="0"/>
              <w:bottom w:val="single" w:color="auto" w:sz="4" w:space="0"/>
              <w:right w:val="single" w:color="auto" w:sz="4" w:space="0"/>
            </w:tcBorders>
            <w:shd w:val="clear" w:color="000000" w:fill="FFFFFF"/>
            <w:vAlign w:val="center"/>
          </w:tcPr>
          <w:p w14:paraId="13BFA2B2">
            <w:pPr>
              <w:widowControl/>
              <w:jc w:val="center"/>
              <w:rPr>
                <w:rFonts w:hint="eastAsia" w:ascii="宋体" w:hAnsi="宋体" w:cs="宋体"/>
                <w:kern w:val="0"/>
                <w:sz w:val="20"/>
                <w:szCs w:val="20"/>
              </w:rPr>
            </w:pPr>
            <w:r>
              <w:rPr>
                <w:rFonts w:hint="eastAsia" w:ascii="宋体" w:hAnsi="宋体" w:cs="宋体"/>
                <w:kern w:val="0"/>
                <w:sz w:val="20"/>
                <w:szCs w:val="20"/>
              </w:rPr>
              <w:t>环境效益指标</w:t>
            </w:r>
          </w:p>
        </w:tc>
        <w:tc>
          <w:tcPr>
            <w:tcW w:w="1870" w:type="dxa"/>
            <w:tcBorders>
              <w:top w:val="nil"/>
              <w:left w:val="nil"/>
              <w:bottom w:val="single" w:color="auto" w:sz="4" w:space="0"/>
              <w:right w:val="single" w:color="auto" w:sz="4" w:space="0"/>
            </w:tcBorders>
            <w:shd w:val="clear" w:color="000000" w:fill="FFFFFF"/>
            <w:vAlign w:val="center"/>
          </w:tcPr>
          <w:p w14:paraId="0B607D36">
            <w:pPr>
              <w:widowControl/>
              <w:jc w:val="left"/>
              <w:rPr>
                <w:rFonts w:hint="eastAsia" w:ascii="宋体" w:hAnsi="宋体" w:cs="宋体"/>
                <w:kern w:val="0"/>
                <w:sz w:val="20"/>
                <w:szCs w:val="20"/>
              </w:rPr>
            </w:pPr>
            <w:r>
              <w:rPr>
                <w:rFonts w:hint="eastAsia" w:ascii="宋体" w:hAnsi="宋体" w:cs="宋体"/>
                <w:kern w:val="0"/>
                <w:sz w:val="20"/>
                <w:szCs w:val="20"/>
              </w:rPr>
              <w:t>改善居民生活环境</w:t>
            </w:r>
          </w:p>
        </w:tc>
        <w:tc>
          <w:tcPr>
            <w:tcW w:w="2835" w:type="dxa"/>
            <w:tcBorders>
              <w:top w:val="nil"/>
              <w:left w:val="nil"/>
              <w:bottom w:val="single" w:color="auto" w:sz="4" w:space="0"/>
              <w:right w:val="single" w:color="auto" w:sz="4" w:space="0"/>
            </w:tcBorders>
            <w:shd w:val="clear" w:color="000000" w:fill="FFFFFF"/>
            <w:vAlign w:val="center"/>
          </w:tcPr>
          <w:p w14:paraId="21CDFC4E">
            <w:pPr>
              <w:widowControl/>
              <w:jc w:val="left"/>
              <w:rPr>
                <w:rFonts w:hint="eastAsia" w:ascii="宋体" w:hAnsi="宋体" w:cs="宋体"/>
                <w:kern w:val="0"/>
                <w:sz w:val="20"/>
                <w:szCs w:val="20"/>
              </w:rPr>
            </w:pPr>
            <w:r>
              <w:rPr>
                <w:rFonts w:hint="eastAsia" w:ascii="宋体" w:hAnsi="宋体" w:cs="宋体"/>
                <w:kern w:val="0"/>
                <w:sz w:val="20"/>
                <w:szCs w:val="20"/>
              </w:rPr>
              <w:t>改善居民生活环境，有利于建立良好的思想文化氛围，提高人口素质。</w:t>
            </w:r>
          </w:p>
        </w:tc>
        <w:tc>
          <w:tcPr>
            <w:tcW w:w="2783" w:type="dxa"/>
            <w:tcBorders>
              <w:top w:val="nil"/>
              <w:left w:val="nil"/>
              <w:bottom w:val="single" w:color="auto" w:sz="4" w:space="0"/>
              <w:right w:val="single" w:color="auto" w:sz="12" w:space="0"/>
            </w:tcBorders>
            <w:shd w:val="clear" w:color="000000" w:fill="FFFFFF"/>
            <w:vAlign w:val="center"/>
          </w:tcPr>
          <w:p w14:paraId="6BD4C226">
            <w:pPr>
              <w:widowControl/>
              <w:jc w:val="left"/>
              <w:rPr>
                <w:rFonts w:hint="eastAsia" w:ascii="宋体" w:hAnsi="宋体" w:cs="宋体"/>
                <w:kern w:val="0"/>
                <w:sz w:val="20"/>
                <w:szCs w:val="20"/>
              </w:rPr>
            </w:pPr>
            <w:r>
              <w:rPr>
                <w:rFonts w:hint="eastAsia" w:ascii="宋体" w:hAnsi="宋体" w:cs="宋体"/>
                <w:kern w:val="0"/>
                <w:sz w:val="20"/>
                <w:szCs w:val="20"/>
              </w:rPr>
              <w:t>暂无能较好衡量变化的短期指标。</w:t>
            </w:r>
          </w:p>
        </w:tc>
      </w:tr>
      <w:tr w14:paraId="708B2A1A">
        <w:tblPrEx>
          <w:tblCellMar>
            <w:top w:w="0" w:type="dxa"/>
            <w:left w:w="108" w:type="dxa"/>
            <w:bottom w:w="0" w:type="dxa"/>
            <w:right w:w="108" w:type="dxa"/>
          </w:tblCellMar>
        </w:tblPrEx>
        <w:trPr>
          <w:trHeight w:val="1419" w:hRule="atLeast"/>
          <w:jc w:val="center"/>
        </w:trPr>
        <w:tc>
          <w:tcPr>
            <w:tcW w:w="1112" w:type="dxa"/>
            <w:tcBorders>
              <w:top w:val="nil"/>
              <w:left w:val="single" w:color="auto" w:sz="12" w:space="0"/>
              <w:bottom w:val="single" w:color="auto" w:sz="4" w:space="0"/>
              <w:right w:val="single" w:color="auto" w:sz="4" w:space="0"/>
            </w:tcBorders>
            <w:shd w:val="clear" w:color="000000" w:fill="FFFFFF"/>
            <w:vAlign w:val="center"/>
          </w:tcPr>
          <w:p w14:paraId="2C3FEBAA">
            <w:pPr>
              <w:widowControl/>
              <w:jc w:val="center"/>
              <w:rPr>
                <w:rFonts w:hint="eastAsia" w:ascii="宋体" w:hAnsi="宋体" w:cs="宋体"/>
                <w:kern w:val="0"/>
                <w:sz w:val="20"/>
                <w:szCs w:val="20"/>
              </w:rPr>
            </w:pPr>
            <w:r>
              <w:rPr>
                <w:rFonts w:hint="eastAsia" w:ascii="宋体" w:hAnsi="宋体" w:cs="宋体"/>
                <w:kern w:val="0"/>
                <w:sz w:val="20"/>
                <w:szCs w:val="20"/>
              </w:rPr>
              <w:t>可持续影响指标</w:t>
            </w:r>
          </w:p>
        </w:tc>
        <w:tc>
          <w:tcPr>
            <w:tcW w:w="1870" w:type="dxa"/>
            <w:tcBorders>
              <w:top w:val="nil"/>
              <w:left w:val="nil"/>
              <w:bottom w:val="single" w:color="auto" w:sz="4" w:space="0"/>
              <w:right w:val="single" w:color="auto" w:sz="4" w:space="0"/>
            </w:tcBorders>
            <w:shd w:val="clear" w:color="000000" w:fill="FFFFFF"/>
            <w:vAlign w:val="center"/>
          </w:tcPr>
          <w:p w14:paraId="7C6077EB">
            <w:pPr>
              <w:widowControl/>
              <w:jc w:val="left"/>
              <w:rPr>
                <w:rFonts w:hint="eastAsia" w:ascii="宋体" w:hAnsi="宋体" w:cs="宋体"/>
                <w:kern w:val="0"/>
                <w:sz w:val="20"/>
                <w:szCs w:val="20"/>
              </w:rPr>
            </w:pPr>
            <w:r>
              <w:rPr>
                <w:rFonts w:hint="eastAsia" w:ascii="宋体" w:hAnsi="宋体" w:cs="宋体"/>
                <w:kern w:val="0"/>
                <w:sz w:val="20"/>
                <w:szCs w:val="20"/>
              </w:rPr>
              <w:t>项目可持续性</w:t>
            </w:r>
          </w:p>
        </w:tc>
        <w:tc>
          <w:tcPr>
            <w:tcW w:w="2835" w:type="dxa"/>
            <w:tcBorders>
              <w:top w:val="nil"/>
              <w:left w:val="nil"/>
              <w:bottom w:val="single" w:color="auto" w:sz="4" w:space="0"/>
              <w:right w:val="single" w:color="auto" w:sz="4" w:space="0"/>
            </w:tcBorders>
            <w:shd w:val="clear" w:color="000000" w:fill="FFFFFF"/>
            <w:vAlign w:val="center"/>
          </w:tcPr>
          <w:p w14:paraId="78F1BE17">
            <w:pPr>
              <w:widowControl/>
              <w:jc w:val="left"/>
              <w:rPr>
                <w:rFonts w:hint="eastAsia" w:ascii="宋体" w:hAnsi="宋体" w:cs="宋体"/>
                <w:kern w:val="0"/>
                <w:sz w:val="20"/>
                <w:szCs w:val="20"/>
              </w:rPr>
            </w:pPr>
            <w:r>
              <w:rPr>
                <w:rFonts w:hint="eastAsia" w:ascii="宋体" w:hAnsi="宋体" w:cs="宋体"/>
                <w:kern w:val="0"/>
                <w:sz w:val="20"/>
                <w:szCs w:val="20"/>
              </w:rPr>
              <w:t>通过对计生政策、项目经费、计生服务人员、社会氛围等方面的分析，评价项目后期运行的可持续影响。</w:t>
            </w:r>
          </w:p>
        </w:tc>
        <w:tc>
          <w:tcPr>
            <w:tcW w:w="2783" w:type="dxa"/>
            <w:tcBorders>
              <w:top w:val="nil"/>
              <w:left w:val="nil"/>
              <w:bottom w:val="single" w:color="auto" w:sz="4" w:space="0"/>
              <w:right w:val="single" w:color="auto" w:sz="12" w:space="0"/>
            </w:tcBorders>
            <w:shd w:val="clear" w:color="000000" w:fill="FFFFFF"/>
            <w:vAlign w:val="center"/>
          </w:tcPr>
          <w:p w14:paraId="1C085050">
            <w:pPr>
              <w:widowControl/>
              <w:jc w:val="left"/>
              <w:rPr>
                <w:rFonts w:hint="eastAsia" w:ascii="宋体" w:hAnsi="宋体" w:cs="宋体"/>
                <w:kern w:val="0"/>
                <w:sz w:val="20"/>
                <w:szCs w:val="20"/>
              </w:rPr>
            </w:pPr>
            <w:r>
              <w:rPr>
                <w:rFonts w:hint="eastAsia" w:ascii="宋体" w:hAnsi="宋体" w:cs="宋体"/>
                <w:kern w:val="0"/>
                <w:sz w:val="20"/>
                <w:szCs w:val="20"/>
              </w:rPr>
              <w:t>以持续不断地完善计生服务体系为目标。</w:t>
            </w:r>
          </w:p>
        </w:tc>
      </w:tr>
      <w:tr w14:paraId="06977B54">
        <w:tblPrEx>
          <w:tblCellMar>
            <w:top w:w="0" w:type="dxa"/>
            <w:left w:w="108" w:type="dxa"/>
            <w:bottom w:w="0" w:type="dxa"/>
            <w:right w:w="108" w:type="dxa"/>
          </w:tblCellMar>
        </w:tblPrEx>
        <w:trPr>
          <w:trHeight w:val="1557" w:hRule="atLeast"/>
          <w:jc w:val="center"/>
        </w:trPr>
        <w:tc>
          <w:tcPr>
            <w:tcW w:w="1112" w:type="dxa"/>
            <w:tcBorders>
              <w:top w:val="nil"/>
              <w:left w:val="single" w:color="auto" w:sz="12" w:space="0"/>
              <w:bottom w:val="single" w:color="auto" w:sz="12" w:space="0"/>
              <w:right w:val="single" w:color="auto" w:sz="4" w:space="0"/>
            </w:tcBorders>
            <w:shd w:val="clear" w:color="000000" w:fill="FFFFFF"/>
            <w:vAlign w:val="center"/>
          </w:tcPr>
          <w:p w14:paraId="71C2FCC9">
            <w:pPr>
              <w:widowControl/>
              <w:jc w:val="center"/>
              <w:rPr>
                <w:rFonts w:hint="eastAsia" w:ascii="宋体" w:hAnsi="宋体" w:cs="宋体"/>
                <w:kern w:val="0"/>
                <w:sz w:val="20"/>
                <w:szCs w:val="20"/>
              </w:rPr>
            </w:pPr>
            <w:r>
              <w:rPr>
                <w:rFonts w:hint="eastAsia" w:ascii="宋体" w:hAnsi="宋体" w:cs="宋体"/>
                <w:kern w:val="0"/>
                <w:sz w:val="20"/>
                <w:szCs w:val="20"/>
              </w:rPr>
              <w:t>社会公众或服务对象满意度指标</w:t>
            </w:r>
          </w:p>
        </w:tc>
        <w:tc>
          <w:tcPr>
            <w:tcW w:w="1870" w:type="dxa"/>
            <w:tcBorders>
              <w:top w:val="nil"/>
              <w:left w:val="nil"/>
              <w:bottom w:val="single" w:color="auto" w:sz="12" w:space="0"/>
              <w:right w:val="single" w:color="auto" w:sz="4" w:space="0"/>
            </w:tcBorders>
            <w:shd w:val="clear" w:color="000000" w:fill="FFFFFF"/>
            <w:vAlign w:val="center"/>
          </w:tcPr>
          <w:p w14:paraId="5E293A3D">
            <w:pPr>
              <w:widowControl/>
              <w:jc w:val="left"/>
              <w:rPr>
                <w:rFonts w:hint="eastAsia" w:ascii="宋体" w:hAnsi="宋体" w:cs="宋体"/>
                <w:kern w:val="0"/>
                <w:sz w:val="20"/>
                <w:szCs w:val="20"/>
              </w:rPr>
            </w:pPr>
            <w:r>
              <w:rPr>
                <w:rFonts w:hint="eastAsia" w:ascii="宋体" w:hAnsi="宋体" w:cs="宋体"/>
                <w:kern w:val="0"/>
                <w:sz w:val="20"/>
                <w:szCs w:val="20"/>
              </w:rPr>
              <w:t>社会公众或服务对象满意度</w:t>
            </w:r>
          </w:p>
        </w:tc>
        <w:tc>
          <w:tcPr>
            <w:tcW w:w="2835" w:type="dxa"/>
            <w:tcBorders>
              <w:top w:val="nil"/>
              <w:left w:val="nil"/>
              <w:bottom w:val="single" w:color="auto" w:sz="12" w:space="0"/>
              <w:right w:val="single" w:color="auto" w:sz="4" w:space="0"/>
            </w:tcBorders>
            <w:shd w:val="clear" w:color="000000" w:fill="FFFFFF"/>
            <w:vAlign w:val="center"/>
          </w:tcPr>
          <w:p w14:paraId="796A9BDE">
            <w:pPr>
              <w:widowControl/>
              <w:jc w:val="left"/>
              <w:rPr>
                <w:rFonts w:hint="eastAsia" w:ascii="宋体" w:hAnsi="宋体" w:cs="宋体"/>
                <w:kern w:val="0"/>
                <w:sz w:val="20"/>
                <w:szCs w:val="20"/>
              </w:rPr>
            </w:pPr>
            <w:r>
              <w:rPr>
                <w:rFonts w:hint="eastAsia" w:ascii="宋体" w:hAnsi="宋体" w:cs="宋体"/>
                <w:kern w:val="0"/>
                <w:sz w:val="20"/>
                <w:szCs w:val="20"/>
              </w:rPr>
              <w:t>通过问卷调查的方式，统计服务对象对九峰街道办事处计划生育办公室履职效果的满意程度。目标值80%。</w:t>
            </w:r>
          </w:p>
        </w:tc>
        <w:tc>
          <w:tcPr>
            <w:tcW w:w="2783" w:type="dxa"/>
            <w:tcBorders>
              <w:top w:val="nil"/>
              <w:left w:val="nil"/>
              <w:bottom w:val="single" w:color="auto" w:sz="12" w:space="0"/>
              <w:right w:val="single" w:color="auto" w:sz="12" w:space="0"/>
            </w:tcBorders>
            <w:shd w:val="clear" w:color="000000" w:fill="FFFFFF"/>
            <w:vAlign w:val="center"/>
          </w:tcPr>
          <w:p w14:paraId="2D786607">
            <w:pPr>
              <w:widowControl/>
              <w:jc w:val="left"/>
              <w:rPr>
                <w:rFonts w:hint="eastAsia" w:ascii="宋体" w:hAnsi="宋体" w:cs="宋体"/>
                <w:kern w:val="0"/>
                <w:sz w:val="20"/>
                <w:szCs w:val="20"/>
              </w:rPr>
            </w:pPr>
            <w:r>
              <w:rPr>
                <w:rFonts w:hint="eastAsia" w:ascii="宋体" w:hAnsi="宋体" w:cs="宋体"/>
                <w:kern w:val="0"/>
                <w:sz w:val="20"/>
                <w:szCs w:val="20"/>
              </w:rPr>
              <w:t>根据问卷结果，统计服务对象满意度。</w:t>
            </w:r>
          </w:p>
        </w:tc>
      </w:tr>
    </w:tbl>
    <w:p w14:paraId="77B610BB">
      <w:pPr>
        <w:spacing w:line="360" w:lineRule="auto"/>
        <w:ind w:firstLine="602" w:firstLineChars="200"/>
        <w:rPr>
          <w:rFonts w:hint="eastAsia" w:ascii="黑体" w:hAnsi="黑体" w:eastAsia="黑体"/>
          <w:b/>
          <w:sz w:val="30"/>
          <w:szCs w:val="30"/>
        </w:rPr>
      </w:pPr>
    </w:p>
    <w:p w14:paraId="44E95634">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二、项目绩效分析</w:t>
      </w:r>
    </w:p>
    <w:p w14:paraId="5D0AA3C8">
      <w:pPr>
        <w:spacing w:line="360" w:lineRule="auto"/>
        <w:ind w:firstLine="560" w:firstLineChars="200"/>
        <w:rPr>
          <w:rFonts w:hint="eastAsia" w:ascii="楷体_GB2312" w:eastAsia="楷体_GB2312"/>
          <w:sz w:val="28"/>
        </w:rPr>
      </w:pPr>
      <w:r>
        <w:rPr>
          <w:rFonts w:hint="eastAsia" w:ascii="楷体_GB2312" w:eastAsia="楷体_GB2312"/>
          <w:sz w:val="28"/>
        </w:rPr>
        <w:t>（一）项目管理情况</w:t>
      </w:r>
    </w:p>
    <w:p w14:paraId="6FE872C7">
      <w:pPr>
        <w:spacing w:line="360" w:lineRule="auto"/>
        <w:ind w:firstLine="560" w:firstLineChars="200"/>
        <w:rPr>
          <w:sz w:val="28"/>
        </w:rPr>
      </w:pPr>
      <w:r>
        <w:rPr>
          <w:rFonts w:hint="eastAsia"/>
          <w:sz w:val="28"/>
        </w:rPr>
        <w:t>l．业务管理情况</w:t>
      </w:r>
    </w:p>
    <w:p w14:paraId="48AE056D">
      <w:pPr>
        <w:spacing w:line="360" w:lineRule="auto"/>
        <w:ind w:firstLine="560" w:firstLineChars="200"/>
        <w:rPr>
          <w:rFonts w:hint="eastAsia"/>
          <w:sz w:val="28"/>
        </w:rPr>
      </w:pPr>
      <w:r>
        <w:rPr>
          <w:rFonts w:hint="eastAsia"/>
          <w:sz w:val="28"/>
        </w:rPr>
        <w:t>（1）项目基础资料</w:t>
      </w:r>
    </w:p>
    <w:p w14:paraId="047AA868">
      <w:pPr>
        <w:spacing w:line="360" w:lineRule="auto"/>
        <w:ind w:firstLine="560" w:firstLineChars="200"/>
        <w:rPr>
          <w:rFonts w:hint="eastAsia"/>
          <w:sz w:val="28"/>
        </w:rPr>
      </w:pPr>
      <w:r>
        <w:rPr>
          <w:rFonts w:hint="eastAsia"/>
          <w:sz w:val="28"/>
        </w:rPr>
        <w:t>评价人员根据设置的评价指标，查阅综合计生办工作相关资料，各项计生工作、宣传活动均保存有比较完整的基础资料或工作记录。</w:t>
      </w:r>
    </w:p>
    <w:p w14:paraId="2EA9FDDB">
      <w:pPr>
        <w:spacing w:line="360" w:lineRule="auto"/>
        <w:ind w:firstLine="560" w:firstLineChars="200"/>
        <w:rPr>
          <w:rFonts w:hint="eastAsia"/>
          <w:sz w:val="28"/>
        </w:rPr>
      </w:pPr>
      <w:r>
        <w:rPr>
          <w:rFonts w:hint="eastAsia"/>
          <w:sz w:val="28"/>
        </w:rPr>
        <w:t>（2）项目质量控制</w:t>
      </w:r>
    </w:p>
    <w:p w14:paraId="1B205B0B">
      <w:pPr>
        <w:spacing w:line="360" w:lineRule="auto"/>
        <w:ind w:firstLine="560" w:firstLineChars="200"/>
        <w:rPr>
          <w:rFonts w:hint="eastAsia"/>
          <w:sz w:val="28"/>
        </w:rPr>
      </w:pPr>
      <w:r>
        <w:rPr>
          <w:rFonts w:hint="eastAsia"/>
          <w:sz w:val="28"/>
        </w:rPr>
        <w:t>计生办采取了多项措施，确保计生工作质量。</w:t>
      </w:r>
    </w:p>
    <w:p w14:paraId="29C0E03E">
      <w:pPr>
        <w:spacing w:line="360" w:lineRule="auto"/>
        <w:ind w:firstLine="560" w:firstLineChars="200"/>
        <w:rPr>
          <w:rFonts w:hint="eastAsia"/>
          <w:sz w:val="28"/>
        </w:rPr>
      </w:pPr>
      <w:r>
        <w:rPr>
          <w:rFonts w:hint="eastAsia"/>
          <w:sz w:val="28"/>
        </w:rPr>
        <w:t>如：落实计生目标管理责任制：根据工作重点、工作思路和方法的转变，科学设置2017年度计生目标；监理健全“区指导，街负责，村（社区）为主”的计生工作管理体制。</w:t>
      </w:r>
    </w:p>
    <w:p w14:paraId="652082DE">
      <w:pPr>
        <w:spacing w:line="360" w:lineRule="auto"/>
        <w:ind w:firstLine="560" w:firstLineChars="200"/>
        <w:rPr>
          <w:rFonts w:hint="eastAsia"/>
          <w:sz w:val="28"/>
        </w:rPr>
      </w:pPr>
      <w:r>
        <w:rPr>
          <w:rFonts w:hint="eastAsia"/>
          <w:sz w:val="28"/>
        </w:rPr>
        <w:t xml:space="preserve">坚持党政“一把手”亲自抓、负总责：把计生工作纳入重大事项督查范围，加大人、财、物的投入力度；针对存在的问题，加强与各单位主要领导通报力度；落实“一票否决”制度。 </w:t>
      </w:r>
    </w:p>
    <w:p w14:paraId="00C27F3A">
      <w:pPr>
        <w:spacing w:line="360" w:lineRule="auto"/>
        <w:ind w:firstLine="560" w:firstLineChars="200"/>
        <w:rPr>
          <w:rFonts w:hint="eastAsia"/>
          <w:sz w:val="28"/>
        </w:rPr>
      </w:pPr>
      <w:r>
        <w:rPr>
          <w:rFonts w:hint="eastAsia"/>
          <w:sz w:val="28"/>
        </w:rPr>
        <w:t>加强平时督办调度力度：加大对重点村（社区）全面督办和重点工作督办力度；强化对计生群众关切问题的整改；加强目标调度，继续实行季度目标调度制，通过看表查找问题，落实整改，促进经常性工作落实到位。</w:t>
      </w:r>
    </w:p>
    <w:p w14:paraId="34CC047D">
      <w:pPr>
        <w:spacing w:line="360" w:lineRule="auto"/>
        <w:ind w:firstLine="560" w:firstLineChars="200"/>
        <w:rPr>
          <w:rFonts w:hint="eastAsia"/>
          <w:sz w:val="28"/>
        </w:rPr>
      </w:pPr>
      <w:r>
        <w:rPr>
          <w:rFonts w:hint="eastAsia"/>
          <w:sz w:val="28"/>
        </w:rPr>
        <w:t>（3）项目验收</w:t>
      </w:r>
    </w:p>
    <w:p w14:paraId="47F5B3C4">
      <w:pPr>
        <w:spacing w:line="360" w:lineRule="auto"/>
        <w:ind w:firstLine="560" w:firstLineChars="200"/>
        <w:rPr>
          <w:rFonts w:hint="eastAsia"/>
          <w:sz w:val="28"/>
        </w:rPr>
      </w:pPr>
      <w:r>
        <w:rPr>
          <w:rFonts w:hint="eastAsia"/>
          <w:sz w:val="28"/>
        </w:rPr>
        <w:t>计生办针对全年工作撰写提交了《九峰街2017年度计划生育工作汇报》，九峰街道办事处撰写提交了《九峰街道办事处2017年工作总结及2018年工作要点》，其中包含并总结了计划生育工作，对计生办的工作进行了验收和评价。</w:t>
      </w:r>
    </w:p>
    <w:p w14:paraId="25B4FC66">
      <w:pPr>
        <w:spacing w:line="360" w:lineRule="auto"/>
        <w:ind w:firstLine="560" w:firstLineChars="200"/>
        <w:rPr>
          <w:sz w:val="28"/>
        </w:rPr>
      </w:pPr>
      <w:r>
        <w:rPr>
          <w:rFonts w:hint="eastAsia"/>
          <w:sz w:val="28"/>
        </w:rPr>
        <w:t>2．财务管理情况</w:t>
      </w:r>
    </w:p>
    <w:p w14:paraId="5C4D0632">
      <w:pPr>
        <w:spacing w:line="360" w:lineRule="auto"/>
        <w:ind w:firstLine="560" w:firstLineChars="200"/>
        <w:rPr>
          <w:rFonts w:hint="eastAsia"/>
          <w:sz w:val="28"/>
        </w:rPr>
      </w:pPr>
      <w:r>
        <w:rPr>
          <w:rFonts w:hint="eastAsia"/>
          <w:sz w:val="28"/>
        </w:rPr>
        <w:t>根据《武汉东湖新技术开发区九峰街道办事处2017年部门预算草案编制说明》，计生事业经费预算总额为147.04万元，其中：</w:t>
      </w:r>
    </w:p>
    <w:p w14:paraId="1C378AD4">
      <w:pPr>
        <w:spacing w:line="360" w:lineRule="auto"/>
        <w:ind w:firstLine="560" w:firstLineChars="200"/>
        <w:rPr>
          <w:rFonts w:hint="eastAsia"/>
          <w:sz w:val="28"/>
        </w:rPr>
      </w:pPr>
      <w:r>
        <w:rPr>
          <w:rFonts w:hint="eastAsia"/>
          <w:sz w:val="28"/>
        </w:rPr>
        <w:t>1.计划生育家庭奖励经费90.8万元。</w:t>
      </w:r>
    </w:p>
    <w:p w14:paraId="49D52A4A">
      <w:pPr>
        <w:spacing w:line="360" w:lineRule="auto"/>
        <w:ind w:firstLine="560" w:firstLineChars="200"/>
        <w:rPr>
          <w:rFonts w:hint="eastAsia"/>
          <w:sz w:val="28"/>
        </w:rPr>
      </w:pPr>
      <w:r>
        <w:rPr>
          <w:rFonts w:hint="eastAsia"/>
          <w:sz w:val="28"/>
        </w:rPr>
        <w:t>（1）独生子女保健费 10.30万元，用于独生子女保健费1108人，标准为每人每年120元。</w:t>
      </w:r>
    </w:p>
    <w:p w14:paraId="61224BFD">
      <w:pPr>
        <w:spacing w:line="360" w:lineRule="auto"/>
        <w:ind w:firstLine="560" w:firstLineChars="200"/>
        <w:rPr>
          <w:rFonts w:hint="eastAsia"/>
          <w:sz w:val="28"/>
        </w:rPr>
      </w:pPr>
      <w:r>
        <w:rPr>
          <w:rFonts w:hint="eastAsia"/>
          <w:sz w:val="28"/>
        </w:rPr>
        <w:t>（2）退休独生子女一次性奖励80.5万元，用于退休人员独生子女一次性奖励，标准为：230人*3500元=80.5万元。</w:t>
      </w:r>
    </w:p>
    <w:p w14:paraId="1C2660B8">
      <w:pPr>
        <w:spacing w:line="360" w:lineRule="auto"/>
        <w:ind w:firstLine="560" w:firstLineChars="200"/>
        <w:rPr>
          <w:rFonts w:hint="eastAsia"/>
          <w:sz w:val="28"/>
        </w:rPr>
      </w:pPr>
      <w:r>
        <w:rPr>
          <w:rFonts w:hint="eastAsia"/>
          <w:sz w:val="28"/>
        </w:rPr>
        <w:t>2.人口和计划生育信息系统建设经费5万元。</w:t>
      </w:r>
    </w:p>
    <w:p w14:paraId="2F99060D">
      <w:pPr>
        <w:spacing w:line="360" w:lineRule="auto"/>
        <w:ind w:firstLine="560" w:firstLineChars="200"/>
        <w:rPr>
          <w:rFonts w:hint="eastAsia"/>
          <w:sz w:val="28"/>
        </w:rPr>
      </w:pPr>
      <w:r>
        <w:rPr>
          <w:rFonts w:hint="eastAsia"/>
          <w:sz w:val="28"/>
        </w:rPr>
        <w:t>（1）信息采集录入补贴0.8万元，用于信息采集录入生活补贴。</w:t>
      </w:r>
    </w:p>
    <w:p w14:paraId="772FC81E">
      <w:pPr>
        <w:spacing w:line="360" w:lineRule="auto"/>
        <w:ind w:firstLine="560" w:firstLineChars="200"/>
        <w:rPr>
          <w:rFonts w:hint="eastAsia"/>
          <w:sz w:val="28"/>
        </w:rPr>
      </w:pPr>
      <w:r>
        <w:rPr>
          <w:rFonts w:hint="eastAsia"/>
          <w:sz w:val="28"/>
        </w:rPr>
        <w:t>（2）信息化服务网络使用年费4.2万元，用于完善计划生育信息网络体系使用年费。</w:t>
      </w:r>
    </w:p>
    <w:p w14:paraId="327776E1">
      <w:pPr>
        <w:spacing w:line="360" w:lineRule="auto"/>
        <w:ind w:firstLine="560" w:firstLineChars="200"/>
        <w:rPr>
          <w:rFonts w:hint="eastAsia"/>
          <w:sz w:val="28"/>
        </w:rPr>
      </w:pPr>
      <w:r>
        <w:rPr>
          <w:rFonts w:hint="eastAsia"/>
          <w:sz w:val="28"/>
        </w:rPr>
        <w:t>3.计划生育生殖健康促进及三查四术经费15.60万元。</w:t>
      </w:r>
    </w:p>
    <w:p w14:paraId="3DA28179">
      <w:pPr>
        <w:spacing w:line="360" w:lineRule="auto"/>
        <w:ind w:firstLine="560" w:firstLineChars="200"/>
        <w:rPr>
          <w:rFonts w:hint="eastAsia"/>
          <w:sz w:val="28"/>
        </w:rPr>
      </w:pPr>
      <w:r>
        <w:rPr>
          <w:rFonts w:hint="eastAsia"/>
          <w:sz w:val="28"/>
        </w:rPr>
        <w:t>（1）生殖健康普查孕环情监测经费9.60万元，按照2015年绿皮书规定，用于生殖健康普查，按照2015年绿皮书规定，重点对象、非重点对象一年一次普查标准为25元/人，另加重点对象一年二次8元/人，重点1574人，非重点1257人，合计2831人（2831*25+1574*8*2）=9.6万元</w:t>
      </w:r>
    </w:p>
    <w:p w14:paraId="7D13F1F5">
      <w:pPr>
        <w:spacing w:line="360" w:lineRule="auto"/>
        <w:ind w:firstLine="560" w:firstLineChars="200"/>
        <w:rPr>
          <w:rFonts w:hint="eastAsia"/>
          <w:sz w:val="28"/>
        </w:rPr>
      </w:pPr>
      <w:r>
        <w:rPr>
          <w:rFonts w:hint="eastAsia"/>
          <w:sz w:val="28"/>
        </w:rPr>
        <w:t>（2）优生促进工程经费1万元，用于孕前风险评估、增补叶酸及优生检测。</w:t>
      </w:r>
    </w:p>
    <w:p w14:paraId="68B90AEE">
      <w:pPr>
        <w:spacing w:line="360" w:lineRule="auto"/>
        <w:ind w:firstLine="560" w:firstLineChars="200"/>
        <w:rPr>
          <w:rFonts w:hint="eastAsia"/>
          <w:sz w:val="28"/>
        </w:rPr>
      </w:pPr>
      <w:r>
        <w:rPr>
          <w:rFonts w:hint="eastAsia"/>
          <w:sz w:val="28"/>
        </w:rPr>
        <w:t>（3）计划生育“四术”结算经费5元，用于医疗服务机构计划生育“四术”结算经费及计划生育手术并发症经费。</w:t>
      </w:r>
    </w:p>
    <w:p w14:paraId="40EF9E9B">
      <w:pPr>
        <w:spacing w:line="360" w:lineRule="auto"/>
        <w:ind w:firstLine="560" w:firstLineChars="200"/>
        <w:rPr>
          <w:rFonts w:hint="eastAsia"/>
          <w:sz w:val="28"/>
        </w:rPr>
      </w:pPr>
      <w:r>
        <w:rPr>
          <w:rFonts w:hint="eastAsia"/>
          <w:sz w:val="28"/>
        </w:rPr>
        <w:t>4.人口计划生育服务网络建设经费10.64万元。</w:t>
      </w:r>
    </w:p>
    <w:p w14:paraId="4E49D2C3">
      <w:pPr>
        <w:spacing w:line="360" w:lineRule="auto"/>
        <w:ind w:firstLine="560" w:firstLineChars="200"/>
        <w:rPr>
          <w:rFonts w:hint="eastAsia"/>
          <w:sz w:val="28"/>
        </w:rPr>
      </w:pPr>
      <w:r>
        <w:rPr>
          <w:rFonts w:hint="eastAsia"/>
          <w:sz w:val="28"/>
        </w:rPr>
        <w:t>（1）村社区计生专干岗位补贴1.44万元，用于发放10个行政村、6个社区计生专干12人的岗位津贴，标准为每人每年1200元。</w:t>
      </w:r>
    </w:p>
    <w:p w14:paraId="5719855A">
      <w:pPr>
        <w:spacing w:line="360" w:lineRule="auto"/>
        <w:ind w:firstLine="560" w:firstLineChars="200"/>
        <w:rPr>
          <w:rFonts w:hint="eastAsia"/>
          <w:sz w:val="28"/>
        </w:rPr>
      </w:pPr>
      <w:r>
        <w:rPr>
          <w:rFonts w:hint="eastAsia"/>
          <w:sz w:val="28"/>
        </w:rPr>
        <w:t>（2）村计生专干入户调查补贴1.44万元，用于10个行政村、6个社区的计生专干12人的入户调查补贴，标准为每人每年1200元。</w:t>
      </w:r>
    </w:p>
    <w:p w14:paraId="641FE77A">
      <w:pPr>
        <w:spacing w:line="360" w:lineRule="auto"/>
        <w:ind w:firstLine="560" w:firstLineChars="200"/>
        <w:rPr>
          <w:rFonts w:hint="eastAsia"/>
          <w:sz w:val="28"/>
        </w:rPr>
      </w:pPr>
      <w:r>
        <w:rPr>
          <w:rFonts w:hint="eastAsia"/>
          <w:sz w:val="28"/>
        </w:rPr>
        <w:t>（3）计生中心户长劳务补贴5.76万元，用于发放计生中心户长96人的劳务补贴，标准为每人每年600元。</w:t>
      </w:r>
    </w:p>
    <w:p w14:paraId="0F481A26">
      <w:pPr>
        <w:spacing w:line="360" w:lineRule="auto"/>
        <w:ind w:firstLine="560" w:firstLineChars="200"/>
        <w:rPr>
          <w:rFonts w:hint="eastAsia"/>
          <w:sz w:val="28"/>
        </w:rPr>
      </w:pPr>
      <w:r>
        <w:rPr>
          <w:rFonts w:hint="eastAsia"/>
          <w:sz w:val="28"/>
        </w:rPr>
        <w:t>（4）计划生育培训经费2万元，用于计划生育培训。</w:t>
      </w:r>
    </w:p>
    <w:p w14:paraId="0BA45EEF">
      <w:pPr>
        <w:spacing w:line="360" w:lineRule="auto"/>
        <w:ind w:firstLine="560" w:firstLineChars="200"/>
        <w:rPr>
          <w:rFonts w:hint="eastAsia"/>
          <w:sz w:val="28"/>
        </w:rPr>
      </w:pPr>
      <w:r>
        <w:rPr>
          <w:rFonts w:hint="eastAsia"/>
          <w:sz w:val="28"/>
        </w:rPr>
        <w:t>5.计划生育宣传教育经费10万元，用于计划生育宣传教育。</w:t>
      </w:r>
    </w:p>
    <w:p w14:paraId="76C64784">
      <w:pPr>
        <w:spacing w:line="360" w:lineRule="auto"/>
        <w:ind w:firstLine="560" w:firstLineChars="200"/>
        <w:rPr>
          <w:rFonts w:hint="eastAsia"/>
          <w:sz w:val="28"/>
        </w:rPr>
      </w:pPr>
      <w:r>
        <w:rPr>
          <w:rFonts w:hint="eastAsia"/>
          <w:sz w:val="28"/>
        </w:rPr>
        <w:t>6.关爱女孩专项经费8万元，用于关爱女孩专项。</w:t>
      </w:r>
    </w:p>
    <w:p w14:paraId="20BE6BF3">
      <w:pPr>
        <w:spacing w:line="360" w:lineRule="auto"/>
        <w:ind w:firstLine="560" w:firstLineChars="200"/>
        <w:rPr>
          <w:rFonts w:hint="eastAsia"/>
          <w:sz w:val="28"/>
        </w:rPr>
      </w:pPr>
      <w:r>
        <w:rPr>
          <w:rFonts w:hint="eastAsia"/>
          <w:sz w:val="28"/>
        </w:rPr>
        <w:t>7、人口和计划生育目标责任制管理经费3万元。用于人口和计划生育目标责任制管理</w:t>
      </w:r>
    </w:p>
    <w:p w14:paraId="3CE7D7DB">
      <w:pPr>
        <w:spacing w:line="360" w:lineRule="auto"/>
        <w:ind w:firstLine="560" w:firstLineChars="200"/>
        <w:rPr>
          <w:rFonts w:hint="eastAsia"/>
          <w:sz w:val="28"/>
        </w:rPr>
      </w:pPr>
      <w:r>
        <w:rPr>
          <w:rFonts w:hint="eastAsia"/>
          <w:sz w:val="28"/>
        </w:rPr>
        <w:t>8.出生人口性别比综合治理经费1.5万元，用于出生人口性别比综合治理。</w:t>
      </w:r>
    </w:p>
    <w:p w14:paraId="0B4B13E9">
      <w:pPr>
        <w:spacing w:line="360" w:lineRule="auto"/>
        <w:ind w:firstLine="560" w:firstLineChars="200"/>
        <w:rPr>
          <w:rFonts w:hint="eastAsia"/>
          <w:sz w:val="28"/>
        </w:rPr>
      </w:pPr>
      <w:r>
        <w:rPr>
          <w:rFonts w:hint="eastAsia"/>
          <w:sz w:val="28"/>
        </w:rPr>
        <w:t>9.流动人口计划生育管理经费2.5万元，用于流动人口计划生育管理。</w:t>
      </w:r>
    </w:p>
    <w:p w14:paraId="6A52E5C3">
      <w:pPr>
        <w:spacing w:line="360" w:lineRule="auto"/>
        <w:ind w:firstLine="560" w:firstLineChars="200"/>
        <w:rPr>
          <w:rFonts w:hint="eastAsia"/>
          <w:sz w:val="28"/>
        </w:rPr>
      </w:pPr>
      <w:r>
        <w:rPr>
          <w:rFonts w:hint="eastAsia"/>
          <w:sz w:val="28"/>
        </w:rPr>
        <w:t>2017年度计生事业经费决算数为</w:t>
      </w:r>
      <w:r>
        <w:rPr>
          <w:sz w:val="28"/>
        </w:rPr>
        <w:t>142</w:t>
      </w:r>
      <w:r>
        <w:rPr>
          <w:rFonts w:hint="eastAsia"/>
          <w:sz w:val="28"/>
        </w:rPr>
        <w:t>.</w:t>
      </w:r>
      <w:r>
        <w:rPr>
          <w:sz w:val="28"/>
        </w:rPr>
        <w:t>74</w:t>
      </w:r>
      <w:r>
        <w:rPr>
          <w:rFonts w:hint="eastAsia"/>
          <w:sz w:val="28"/>
        </w:rPr>
        <w:t>万元，实际预算</w:t>
      </w:r>
      <w:r>
        <w:rPr>
          <w:sz w:val="28"/>
        </w:rPr>
        <w:t>执行率为</w:t>
      </w:r>
      <w:r>
        <w:rPr>
          <w:rFonts w:hint="eastAsia"/>
          <w:sz w:val="28"/>
        </w:rPr>
        <w:t>97.08% 。</w:t>
      </w:r>
    </w:p>
    <w:p w14:paraId="59496785">
      <w:pPr>
        <w:spacing w:line="360" w:lineRule="auto"/>
        <w:ind w:firstLine="560" w:firstLineChars="200"/>
        <w:rPr>
          <w:rFonts w:hint="eastAsia" w:ascii="楷体_GB2312" w:eastAsia="楷体_GB2312"/>
          <w:sz w:val="28"/>
        </w:rPr>
      </w:pPr>
      <w:r>
        <w:rPr>
          <w:rFonts w:hint="eastAsia" w:ascii="楷体_GB2312" w:eastAsia="楷体_GB2312"/>
          <w:sz w:val="28"/>
        </w:rPr>
        <w:t>（二）项目预算绩效目标的完成情况</w:t>
      </w:r>
    </w:p>
    <w:p w14:paraId="451D4E55">
      <w:pPr>
        <w:spacing w:line="360" w:lineRule="auto"/>
        <w:ind w:firstLine="560" w:firstLineChars="200"/>
        <w:rPr>
          <w:rFonts w:hint="eastAsia"/>
          <w:sz w:val="28"/>
        </w:rPr>
      </w:pPr>
      <w:r>
        <w:rPr>
          <w:rFonts w:hint="eastAsia"/>
          <w:sz w:val="28"/>
        </w:rPr>
        <w:t>依据年初 “九峰街道办事处计生事业经费”《项目绩效目标编制说明》，结合2017年度项目实际实施情况，对部分绩效指标做出相应的调整，以期更准确、更有效地反映本项目的绩效情况，具体情况如下表《项目预算绩效评价表》。</w:t>
      </w:r>
    </w:p>
    <w:p w14:paraId="75C5EC3F">
      <w:pPr>
        <w:spacing w:line="360" w:lineRule="auto"/>
        <w:ind w:firstLine="560" w:firstLineChars="200"/>
        <w:rPr>
          <w:sz w:val="28"/>
        </w:rPr>
      </w:pPr>
      <w:r>
        <w:rPr>
          <w:rFonts w:hint="eastAsia"/>
          <w:sz w:val="28"/>
        </w:rPr>
        <w:t>根据项目特点，分四个方面综合评价“九峰街道办事处计生事业经费”绩效，并采用百分制予以量化，四个方面及其分值权重如下：</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58757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4" w:type="dxa"/>
            <w:shd w:val="clear" w:color="auto" w:fill="auto"/>
            <w:vAlign w:val="center"/>
          </w:tcPr>
          <w:p w14:paraId="0A0025CF">
            <w:pPr>
              <w:spacing w:line="360" w:lineRule="auto"/>
              <w:jc w:val="center"/>
              <w:rPr>
                <w:rFonts w:hint="eastAsia"/>
                <w:sz w:val="22"/>
              </w:rPr>
            </w:pPr>
            <w:r>
              <w:rPr>
                <w:rFonts w:hint="eastAsia"/>
                <w:sz w:val="22"/>
              </w:rPr>
              <w:t>项目投入</w:t>
            </w:r>
          </w:p>
        </w:tc>
        <w:tc>
          <w:tcPr>
            <w:tcW w:w="1704" w:type="dxa"/>
            <w:shd w:val="clear" w:color="auto" w:fill="auto"/>
            <w:vAlign w:val="center"/>
          </w:tcPr>
          <w:p w14:paraId="77EEF81F">
            <w:pPr>
              <w:spacing w:line="360" w:lineRule="auto"/>
              <w:jc w:val="center"/>
              <w:rPr>
                <w:rFonts w:hint="eastAsia"/>
                <w:sz w:val="22"/>
              </w:rPr>
            </w:pPr>
            <w:r>
              <w:rPr>
                <w:rFonts w:hint="eastAsia"/>
                <w:sz w:val="22"/>
              </w:rPr>
              <w:t>过程管理</w:t>
            </w:r>
          </w:p>
        </w:tc>
        <w:tc>
          <w:tcPr>
            <w:tcW w:w="1704" w:type="dxa"/>
            <w:shd w:val="clear" w:color="auto" w:fill="auto"/>
            <w:vAlign w:val="center"/>
          </w:tcPr>
          <w:p w14:paraId="5B06F417">
            <w:pPr>
              <w:spacing w:line="360" w:lineRule="auto"/>
              <w:jc w:val="center"/>
              <w:rPr>
                <w:rFonts w:hint="eastAsia"/>
                <w:sz w:val="22"/>
              </w:rPr>
            </w:pPr>
            <w:r>
              <w:rPr>
                <w:rFonts w:hint="eastAsia"/>
                <w:sz w:val="22"/>
              </w:rPr>
              <w:t>项目产出</w:t>
            </w:r>
          </w:p>
        </w:tc>
        <w:tc>
          <w:tcPr>
            <w:tcW w:w="1705" w:type="dxa"/>
            <w:shd w:val="clear" w:color="auto" w:fill="auto"/>
            <w:vAlign w:val="center"/>
          </w:tcPr>
          <w:p w14:paraId="3E997A91">
            <w:pPr>
              <w:spacing w:line="360" w:lineRule="auto"/>
              <w:jc w:val="center"/>
              <w:rPr>
                <w:rFonts w:hint="eastAsia"/>
                <w:sz w:val="22"/>
              </w:rPr>
            </w:pPr>
            <w:r>
              <w:rPr>
                <w:rFonts w:hint="eastAsia"/>
                <w:sz w:val="22"/>
              </w:rPr>
              <w:t>项目效果</w:t>
            </w:r>
          </w:p>
        </w:tc>
        <w:tc>
          <w:tcPr>
            <w:tcW w:w="1705" w:type="dxa"/>
            <w:shd w:val="clear" w:color="auto" w:fill="auto"/>
            <w:vAlign w:val="center"/>
          </w:tcPr>
          <w:p w14:paraId="2885CE9E">
            <w:pPr>
              <w:spacing w:line="360" w:lineRule="auto"/>
              <w:jc w:val="center"/>
              <w:rPr>
                <w:rFonts w:hint="eastAsia"/>
                <w:sz w:val="22"/>
              </w:rPr>
            </w:pPr>
            <w:r>
              <w:rPr>
                <w:rFonts w:hint="eastAsia"/>
                <w:sz w:val="22"/>
              </w:rPr>
              <w:t>合计</w:t>
            </w:r>
          </w:p>
        </w:tc>
      </w:tr>
      <w:tr w14:paraId="1628D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4" w:type="dxa"/>
            <w:shd w:val="clear" w:color="auto" w:fill="auto"/>
            <w:vAlign w:val="center"/>
          </w:tcPr>
          <w:p w14:paraId="46ED1B4A">
            <w:pPr>
              <w:spacing w:line="360" w:lineRule="auto"/>
              <w:jc w:val="center"/>
              <w:rPr>
                <w:rFonts w:hint="eastAsia"/>
                <w:sz w:val="22"/>
              </w:rPr>
            </w:pPr>
            <w:r>
              <w:rPr>
                <w:rFonts w:hint="eastAsia"/>
                <w:sz w:val="22"/>
              </w:rPr>
              <w:t>2</w:t>
            </w:r>
            <w:r>
              <w:rPr>
                <w:sz w:val="22"/>
              </w:rPr>
              <w:t>0</w:t>
            </w:r>
          </w:p>
        </w:tc>
        <w:tc>
          <w:tcPr>
            <w:tcW w:w="1704" w:type="dxa"/>
            <w:shd w:val="clear" w:color="auto" w:fill="auto"/>
            <w:vAlign w:val="center"/>
          </w:tcPr>
          <w:p w14:paraId="76D3DC34">
            <w:pPr>
              <w:spacing w:line="360" w:lineRule="auto"/>
              <w:jc w:val="center"/>
              <w:rPr>
                <w:rFonts w:hint="eastAsia"/>
                <w:sz w:val="22"/>
              </w:rPr>
            </w:pPr>
            <w:r>
              <w:rPr>
                <w:rFonts w:hint="eastAsia"/>
                <w:sz w:val="22"/>
              </w:rPr>
              <w:t>2</w:t>
            </w:r>
            <w:r>
              <w:rPr>
                <w:sz w:val="22"/>
              </w:rPr>
              <w:t>0</w:t>
            </w:r>
          </w:p>
        </w:tc>
        <w:tc>
          <w:tcPr>
            <w:tcW w:w="1704" w:type="dxa"/>
            <w:shd w:val="clear" w:color="auto" w:fill="auto"/>
            <w:vAlign w:val="center"/>
          </w:tcPr>
          <w:p w14:paraId="74CCC4A5">
            <w:pPr>
              <w:spacing w:line="360" w:lineRule="auto"/>
              <w:jc w:val="center"/>
              <w:rPr>
                <w:rFonts w:hint="eastAsia"/>
                <w:sz w:val="22"/>
              </w:rPr>
            </w:pPr>
            <w:r>
              <w:rPr>
                <w:rFonts w:hint="eastAsia"/>
                <w:sz w:val="22"/>
              </w:rPr>
              <w:t>3</w:t>
            </w:r>
            <w:r>
              <w:rPr>
                <w:sz w:val="22"/>
              </w:rPr>
              <w:t>0</w:t>
            </w:r>
          </w:p>
        </w:tc>
        <w:tc>
          <w:tcPr>
            <w:tcW w:w="1705" w:type="dxa"/>
            <w:shd w:val="clear" w:color="auto" w:fill="auto"/>
            <w:vAlign w:val="center"/>
          </w:tcPr>
          <w:p w14:paraId="05CF5807">
            <w:pPr>
              <w:spacing w:line="360" w:lineRule="auto"/>
              <w:jc w:val="center"/>
              <w:rPr>
                <w:rFonts w:hint="eastAsia"/>
                <w:sz w:val="22"/>
              </w:rPr>
            </w:pPr>
            <w:r>
              <w:rPr>
                <w:rFonts w:hint="eastAsia"/>
                <w:sz w:val="22"/>
              </w:rPr>
              <w:t>3</w:t>
            </w:r>
            <w:r>
              <w:rPr>
                <w:sz w:val="22"/>
              </w:rPr>
              <w:t>0</w:t>
            </w:r>
          </w:p>
        </w:tc>
        <w:tc>
          <w:tcPr>
            <w:tcW w:w="1705" w:type="dxa"/>
            <w:shd w:val="clear" w:color="auto" w:fill="auto"/>
            <w:vAlign w:val="center"/>
          </w:tcPr>
          <w:p w14:paraId="630602DD">
            <w:pPr>
              <w:spacing w:line="360" w:lineRule="auto"/>
              <w:jc w:val="center"/>
              <w:rPr>
                <w:rFonts w:hint="eastAsia"/>
                <w:sz w:val="22"/>
              </w:rPr>
            </w:pPr>
            <w:r>
              <w:rPr>
                <w:rFonts w:hint="eastAsia"/>
                <w:sz w:val="22"/>
              </w:rPr>
              <w:t>1</w:t>
            </w:r>
            <w:r>
              <w:rPr>
                <w:sz w:val="22"/>
              </w:rPr>
              <w:t>00</w:t>
            </w:r>
          </w:p>
        </w:tc>
      </w:tr>
    </w:tbl>
    <w:p w14:paraId="3D52E9D9">
      <w:pPr>
        <w:spacing w:line="360" w:lineRule="auto"/>
        <w:ind w:firstLine="560" w:firstLineChars="200"/>
        <w:rPr>
          <w:sz w:val="28"/>
        </w:rPr>
      </w:pPr>
      <w:r>
        <w:rPr>
          <w:rFonts w:hint="eastAsia"/>
          <w:sz w:val="28"/>
        </w:rPr>
        <w:t>根据分值将评价结果分为以下几个等级：</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B16C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4" w:type="dxa"/>
            <w:shd w:val="clear" w:color="auto" w:fill="auto"/>
            <w:vAlign w:val="center"/>
          </w:tcPr>
          <w:p w14:paraId="1E123740">
            <w:pPr>
              <w:spacing w:line="360" w:lineRule="auto"/>
              <w:jc w:val="center"/>
              <w:rPr>
                <w:rFonts w:hint="eastAsia"/>
                <w:sz w:val="22"/>
              </w:rPr>
            </w:pPr>
            <w:r>
              <w:rPr>
                <w:rFonts w:hint="eastAsia"/>
                <w:sz w:val="22"/>
              </w:rPr>
              <w:t>分值区间</w:t>
            </w:r>
          </w:p>
        </w:tc>
        <w:tc>
          <w:tcPr>
            <w:tcW w:w="1704" w:type="dxa"/>
            <w:shd w:val="clear" w:color="auto" w:fill="auto"/>
            <w:vAlign w:val="center"/>
          </w:tcPr>
          <w:p w14:paraId="7E078B6A">
            <w:pPr>
              <w:spacing w:line="360" w:lineRule="auto"/>
              <w:jc w:val="center"/>
              <w:rPr>
                <w:rFonts w:hint="eastAsia"/>
                <w:sz w:val="22"/>
              </w:rPr>
            </w:pPr>
            <w:r>
              <w:rPr>
                <w:rFonts w:hint="eastAsia"/>
                <w:sz w:val="22"/>
              </w:rPr>
              <w:t>【1</w:t>
            </w:r>
            <w:r>
              <w:rPr>
                <w:sz w:val="22"/>
              </w:rPr>
              <w:t>00</w:t>
            </w:r>
            <w:r>
              <w:rPr>
                <w:rFonts w:hint="eastAsia"/>
                <w:sz w:val="22"/>
              </w:rPr>
              <w:t>，9</w:t>
            </w:r>
            <w:r>
              <w:rPr>
                <w:sz w:val="22"/>
              </w:rPr>
              <w:t>0</w:t>
            </w:r>
            <w:r>
              <w:rPr>
                <w:rFonts w:hint="eastAsia"/>
                <w:sz w:val="22"/>
              </w:rPr>
              <w:t>】</w:t>
            </w:r>
          </w:p>
        </w:tc>
        <w:tc>
          <w:tcPr>
            <w:tcW w:w="1704" w:type="dxa"/>
            <w:shd w:val="clear" w:color="auto" w:fill="auto"/>
            <w:vAlign w:val="center"/>
          </w:tcPr>
          <w:p w14:paraId="4559FE4E">
            <w:pPr>
              <w:spacing w:line="360" w:lineRule="auto"/>
              <w:jc w:val="center"/>
              <w:rPr>
                <w:rFonts w:hint="eastAsia"/>
                <w:sz w:val="22"/>
              </w:rPr>
            </w:pPr>
            <w:r>
              <w:rPr>
                <w:rFonts w:hint="eastAsia"/>
                <w:sz w:val="22"/>
              </w:rPr>
              <w:t>（9</w:t>
            </w:r>
            <w:r>
              <w:rPr>
                <w:sz w:val="22"/>
              </w:rPr>
              <w:t>0</w:t>
            </w:r>
            <w:r>
              <w:rPr>
                <w:rFonts w:hint="eastAsia"/>
                <w:sz w:val="22"/>
              </w:rPr>
              <w:t>，8</w:t>
            </w:r>
            <w:r>
              <w:rPr>
                <w:sz w:val="22"/>
              </w:rPr>
              <w:t>0</w:t>
            </w:r>
            <w:r>
              <w:rPr>
                <w:rFonts w:hint="eastAsia"/>
                <w:sz w:val="22"/>
              </w:rPr>
              <w:t>】</w:t>
            </w:r>
          </w:p>
        </w:tc>
        <w:tc>
          <w:tcPr>
            <w:tcW w:w="1705" w:type="dxa"/>
            <w:shd w:val="clear" w:color="auto" w:fill="auto"/>
            <w:vAlign w:val="center"/>
          </w:tcPr>
          <w:p w14:paraId="37221644">
            <w:pPr>
              <w:spacing w:line="360" w:lineRule="auto"/>
              <w:jc w:val="center"/>
              <w:rPr>
                <w:rFonts w:hint="eastAsia"/>
                <w:sz w:val="22"/>
              </w:rPr>
            </w:pPr>
            <w:r>
              <w:rPr>
                <w:rFonts w:hint="eastAsia"/>
                <w:sz w:val="22"/>
              </w:rPr>
              <w:t>（8</w:t>
            </w:r>
            <w:r>
              <w:rPr>
                <w:sz w:val="22"/>
              </w:rPr>
              <w:t>0</w:t>
            </w:r>
            <w:r>
              <w:rPr>
                <w:rFonts w:hint="eastAsia"/>
                <w:sz w:val="22"/>
              </w:rPr>
              <w:t>，6</w:t>
            </w:r>
            <w:r>
              <w:rPr>
                <w:sz w:val="22"/>
              </w:rPr>
              <w:t>0</w:t>
            </w:r>
            <w:r>
              <w:rPr>
                <w:rFonts w:hint="eastAsia"/>
                <w:sz w:val="22"/>
              </w:rPr>
              <w:t>】</w:t>
            </w:r>
          </w:p>
        </w:tc>
        <w:tc>
          <w:tcPr>
            <w:tcW w:w="1705" w:type="dxa"/>
            <w:shd w:val="clear" w:color="auto" w:fill="auto"/>
            <w:vAlign w:val="center"/>
          </w:tcPr>
          <w:p w14:paraId="25BB4401">
            <w:pPr>
              <w:spacing w:line="360" w:lineRule="auto"/>
              <w:jc w:val="center"/>
              <w:rPr>
                <w:rFonts w:hint="eastAsia"/>
                <w:sz w:val="22"/>
              </w:rPr>
            </w:pPr>
            <w:r>
              <w:rPr>
                <w:rFonts w:hint="eastAsia"/>
                <w:sz w:val="22"/>
              </w:rPr>
              <w:t>（</w:t>
            </w:r>
            <w:r>
              <w:rPr>
                <w:sz w:val="22"/>
              </w:rPr>
              <w:t>60</w:t>
            </w:r>
            <w:r>
              <w:rPr>
                <w:rFonts w:hint="eastAsia"/>
                <w:sz w:val="22"/>
              </w:rPr>
              <w:t>，</w:t>
            </w:r>
            <w:r>
              <w:rPr>
                <w:sz w:val="22"/>
              </w:rPr>
              <w:t>0</w:t>
            </w:r>
            <w:r>
              <w:rPr>
                <w:rFonts w:hint="eastAsia"/>
                <w:sz w:val="22"/>
              </w:rPr>
              <w:t>】</w:t>
            </w:r>
          </w:p>
        </w:tc>
      </w:tr>
      <w:tr w14:paraId="09956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4" w:type="dxa"/>
            <w:shd w:val="clear" w:color="auto" w:fill="auto"/>
            <w:vAlign w:val="center"/>
          </w:tcPr>
          <w:p w14:paraId="186D6433">
            <w:pPr>
              <w:spacing w:line="360" w:lineRule="auto"/>
              <w:jc w:val="center"/>
              <w:rPr>
                <w:rFonts w:hint="eastAsia"/>
                <w:sz w:val="22"/>
              </w:rPr>
            </w:pPr>
            <w:r>
              <w:rPr>
                <w:rFonts w:hint="eastAsia"/>
                <w:sz w:val="22"/>
              </w:rPr>
              <w:t>等级</w:t>
            </w:r>
          </w:p>
        </w:tc>
        <w:tc>
          <w:tcPr>
            <w:tcW w:w="1704" w:type="dxa"/>
            <w:shd w:val="clear" w:color="auto" w:fill="auto"/>
            <w:vAlign w:val="center"/>
          </w:tcPr>
          <w:p w14:paraId="3D7C4CBE">
            <w:pPr>
              <w:spacing w:line="360" w:lineRule="auto"/>
              <w:jc w:val="center"/>
              <w:rPr>
                <w:rFonts w:hint="eastAsia"/>
                <w:sz w:val="22"/>
              </w:rPr>
            </w:pPr>
            <w:r>
              <w:rPr>
                <w:rFonts w:hint="eastAsia"/>
                <w:sz w:val="22"/>
              </w:rPr>
              <w:t>优秀</w:t>
            </w:r>
          </w:p>
        </w:tc>
        <w:tc>
          <w:tcPr>
            <w:tcW w:w="1704" w:type="dxa"/>
            <w:shd w:val="clear" w:color="auto" w:fill="auto"/>
            <w:vAlign w:val="center"/>
          </w:tcPr>
          <w:p w14:paraId="05817982">
            <w:pPr>
              <w:spacing w:line="360" w:lineRule="auto"/>
              <w:jc w:val="center"/>
              <w:rPr>
                <w:rFonts w:hint="eastAsia"/>
                <w:sz w:val="22"/>
              </w:rPr>
            </w:pPr>
            <w:r>
              <w:rPr>
                <w:rFonts w:hint="eastAsia"/>
                <w:sz w:val="22"/>
              </w:rPr>
              <w:t>良好</w:t>
            </w:r>
          </w:p>
        </w:tc>
        <w:tc>
          <w:tcPr>
            <w:tcW w:w="1705" w:type="dxa"/>
            <w:shd w:val="clear" w:color="auto" w:fill="auto"/>
            <w:vAlign w:val="center"/>
          </w:tcPr>
          <w:p w14:paraId="29203A8B">
            <w:pPr>
              <w:spacing w:line="360" w:lineRule="auto"/>
              <w:jc w:val="center"/>
              <w:rPr>
                <w:rFonts w:hint="eastAsia"/>
                <w:sz w:val="22"/>
              </w:rPr>
            </w:pPr>
            <w:r>
              <w:rPr>
                <w:rFonts w:hint="eastAsia"/>
                <w:sz w:val="22"/>
              </w:rPr>
              <w:t>一般</w:t>
            </w:r>
          </w:p>
        </w:tc>
        <w:tc>
          <w:tcPr>
            <w:tcW w:w="1705" w:type="dxa"/>
            <w:shd w:val="clear" w:color="auto" w:fill="auto"/>
            <w:vAlign w:val="center"/>
          </w:tcPr>
          <w:p w14:paraId="37E4E4E9">
            <w:pPr>
              <w:spacing w:line="360" w:lineRule="auto"/>
              <w:jc w:val="center"/>
              <w:rPr>
                <w:rFonts w:hint="eastAsia"/>
                <w:sz w:val="22"/>
              </w:rPr>
            </w:pPr>
            <w:r>
              <w:rPr>
                <w:rFonts w:hint="eastAsia"/>
                <w:sz w:val="22"/>
              </w:rPr>
              <w:t>不合格</w:t>
            </w:r>
          </w:p>
        </w:tc>
      </w:tr>
    </w:tbl>
    <w:p w14:paraId="14DA77CA">
      <w:pPr>
        <w:spacing w:line="360" w:lineRule="auto"/>
        <w:ind w:firstLine="560" w:firstLineChars="200"/>
        <w:rPr>
          <w:sz w:val="28"/>
        </w:rPr>
      </w:pPr>
    </w:p>
    <w:p w14:paraId="1E9DE14E">
      <w:pPr>
        <w:spacing w:line="360" w:lineRule="auto"/>
        <w:ind w:firstLine="560" w:firstLineChars="200"/>
        <w:rPr>
          <w:sz w:val="28"/>
        </w:rPr>
        <w:sectPr>
          <w:pgSz w:w="11906" w:h="16838"/>
          <w:pgMar w:top="1440" w:right="1800" w:bottom="1440" w:left="1800" w:header="851" w:footer="992" w:gutter="0"/>
          <w:cols w:space="425" w:num="1"/>
          <w:docGrid w:type="lines" w:linePitch="312" w:charSpace="0"/>
        </w:sectPr>
      </w:pPr>
    </w:p>
    <w:p w14:paraId="74857230">
      <w:pPr>
        <w:rPr>
          <w:rFonts w:hint="eastAsia" w:ascii="Calibri" w:hAnsi="Calibri"/>
          <w:sz w:val="28"/>
        </w:rPr>
      </w:pPr>
      <w:r>
        <w:rPr>
          <w:rFonts w:hint="eastAsia" w:ascii="Calibri" w:hAnsi="Calibri"/>
          <w:sz w:val="28"/>
        </w:rPr>
        <w:t>表：项目预算绩效评价表</w:t>
      </w:r>
    </w:p>
    <w:tbl>
      <w:tblPr>
        <w:tblStyle w:val="5"/>
        <w:tblW w:w="13987" w:type="dxa"/>
        <w:jc w:val="center"/>
        <w:tblLayout w:type="fixed"/>
        <w:tblCellMar>
          <w:top w:w="0" w:type="dxa"/>
          <w:left w:w="108" w:type="dxa"/>
          <w:bottom w:w="0" w:type="dxa"/>
          <w:right w:w="108" w:type="dxa"/>
        </w:tblCellMar>
      </w:tblPr>
      <w:tblGrid>
        <w:gridCol w:w="1112"/>
        <w:gridCol w:w="1328"/>
        <w:gridCol w:w="2385"/>
        <w:gridCol w:w="4446"/>
        <w:gridCol w:w="4002"/>
        <w:gridCol w:w="714"/>
      </w:tblGrid>
      <w:tr w14:paraId="53FBDFE1">
        <w:tblPrEx>
          <w:tblCellMar>
            <w:top w:w="0" w:type="dxa"/>
            <w:left w:w="108" w:type="dxa"/>
            <w:bottom w:w="0" w:type="dxa"/>
            <w:right w:w="108" w:type="dxa"/>
          </w:tblCellMar>
        </w:tblPrEx>
        <w:trPr>
          <w:trHeight w:val="440" w:hRule="atLeast"/>
          <w:tblHeader/>
          <w:jc w:val="center"/>
        </w:trPr>
        <w:tc>
          <w:tcPr>
            <w:tcW w:w="1112" w:type="dxa"/>
            <w:tcBorders>
              <w:top w:val="single" w:color="auto" w:sz="12" w:space="0"/>
              <w:left w:val="single" w:color="auto" w:sz="12" w:space="0"/>
              <w:bottom w:val="single" w:color="auto" w:sz="4" w:space="0"/>
              <w:right w:val="single" w:color="auto" w:sz="4" w:space="0"/>
            </w:tcBorders>
            <w:shd w:val="clear" w:color="auto" w:fill="auto"/>
            <w:vAlign w:val="center"/>
          </w:tcPr>
          <w:p w14:paraId="7A105E93">
            <w:pPr>
              <w:widowControl/>
              <w:jc w:val="center"/>
              <w:rPr>
                <w:rFonts w:ascii="宋体" w:hAnsi="宋体" w:cs="宋体"/>
                <w:b/>
                <w:bCs/>
                <w:color w:val="000000"/>
                <w:kern w:val="0"/>
                <w:sz w:val="22"/>
              </w:rPr>
            </w:pPr>
            <w:r>
              <w:rPr>
                <w:rFonts w:hint="eastAsia" w:ascii="宋体" w:hAnsi="宋体" w:cs="宋体"/>
                <w:b/>
                <w:bCs/>
                <w:color w:val="000000"/>
                <w:kern w:val="0"/>
                <w:sz w:val="22"/>
              </w:rPr>
              <w:t>一级</w:t>
            </w:r>
          </w:p>
          <w:p w14:paraId="6AE7E58C">
            <w:pPr>
              <w:widowControl/>
              <w:jc w:val="center"/>
              <w:rPr>
                <w:rFonts w:ascii="宋体" w:hAnsi="宋体" w:cs="宋体"/>
                <w:b/>
                <w:bCs/>
                <w:color w:val="000000"/>
                <w:kern w:val="0"/>
                <w:sz w:val="22"/>
              </w:rPr>
            </w:pPr>
            <w:r>
              <w:rPr>
                <w:rFonts w:hint="eastAsia" w:ascii="宋体" w:hAnsi="宋体" w:cs="宋体"/>
                <w:b/>
                <w:bCs/>
                <w:color w:val="000000"/>
                <w:kern w:val="0"/>
                <w:sz w:val="22"/>
              </w:rPr>
              <w:t>指标</w:t>
            </w:r>
          </w:p>
        </w:tc>
        <w:tc>
          <w:tcPr>
            <w:tcW w:w="1328" w:type="dxa"/>
            <w:tcBorders>
              <w:top w:val="single" w:color="auto" w:sz="12" w:space="0"/>
              <w:left w:val="nil"/>
              <w:bottom w:val="single" w:color="auto" w:sz="4" w:space="0"/>
              <w:right w:val="single" w:color="auto" w:sz="4" w:space="0"/>
            </w:tcBorders>
            <w:shd w:val="clear" w:color="auto" w:fill="auto"/>
            <w:vAlign w:val="center"/>
          </w:tcPr>
          <w:p w14:paraId="0437CA41">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2385" w:type="dxa"/>
            <w:tcBorders>
              <w:top w:val="single" w:color="auto" w:sz="12" w:space="0"/>
              <w:left w:val="nil"/>
              <w:bottom w:val="single" w:color="auto" w:sz="4" w:space="0"/>
              <w:right w:val="single" w:color="auto" w:sz="4" w:space="0"/>
            </w:tcBorders>
            <w:shd w:val="clear" w:color="auto" w:fill="auto"/>
            <w:vAlign w:val="center"/>
          </w:tcPr>
          <w:p w14:paraId="131E030A">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4446" w:type="dxa"/>
            <w:tcBorders>
              <w:top w:val="single" w:color="auto" w:sz="12" w:space="0"/>
              <w:left w:val="nil"/>
              <w:bottom w:val="single" w:color="auto" w:sz="4" w:space="0"/>
              <w:right w:val="single" w:color="auto" w:sz="4" w:space="0"/>
            </w:tcBorders>
            <w:shd w:val="clear" w:color="auto" w:fill="auto"/>
            <w:vAlign w:val="center"/>
          </w:tcPr>
          <w:p w14:paraId="2EBFC343">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4002" w:type="dxa"/>
            <w:tcBorders>
              <w:top w:val="single" w:color="auto" w:sz="12" w:space="0"/>
              <w:left w:val="nil"/>
              <w:bottom w:val="single" w:color="auto" w:sz="4" w:space="0"/>
              <w:right w:val="single" w:color="auto" w:sz="4" w:space="0"/>
            </w:tcBorders>
            <w:shd w:val="clear" w:color="auto" w:fill="auto"/>
            <w:vAlign w:val="center"/>
          </w:tcPr>
          <w:p w14:paraId="590952CB">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14" w:type="dxa"/>
            <w:tcBorders>
              <w:top w:val="single" w:color="auto" w:sz="12" w:space="0"/>
              <w:left w:val="nil"/>
              <w:bottom w:val="single" w:color="auto" w:sz="4" w:space="0"/>
              <w:right w:val="single" w:color="auto" w:sz="12" w:space="0"/>
            </w:tcBorders>
            <w:shd w:val="clear" w:color="auto" w:fill="auto"/>
            <w:vAlign w:val="center"/>
          </w:tcPr>
          <w:p w14:paraId="38731F9E">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014C1F1E">
        <w:tblPrEx>
          <w:tblCellMar>
            <w:top w:w="0" w:type="dxa"/>
            <w:left w:w="108" w:type="dxa"/>
            <w:bottom w:w="0" w:type="dxa"/>
            <w:right w:w="108" w:type="dxa"/>
          </w:tblCellMar>
        </w:tblPrEx>
        <w:trPr>
          <w:trHeight w:val="440" w:hRule="atLeast"/>
          <w:jc w:val="center"/>
        </w:trPr>
        <w:tc>
          <w:tcPr>
            <w:tcW w:w="1112" w:type="dxa"/>
            <w:vMerge w:val="restart"/>
            <w:tcBorders>
              <w:top w:val="nil"/>
              <w:left w:val="single" w:color="auto" w:sz="12" w:space="0"/>
              <w:bottom w:val="single" w:color="auto" w:sz="4" w:space="0"/>
              <w:right w:val="single" w:color="auto" w:sz="4" w:space="0"/>
            </w:tcBorders>
            <w:shd w:val="clear" w:color="auto" w:fill="auto"/>
            <w:vAlign w:val="center"/>
          </w:tcPr>
          <w:p w14:paraId="1E46FE1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6FE1872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2385" w:type="dxa"/>
            <w:tcBorders>
              <w:top w:val="nil"/>
              <w:left w:val="nil"/>
              <w:bottom w:val="single" w:color="auto" w:sz="4" w:space="0"/>
              <w:right w:val="single" w:color="auto" w:sz="4" w:space="0"/>
            </w:tcBorders>
            <w:shd w:val="clear" w:color="auto" w:fill="auto"/>
            <w:vAlign w:val="center"/>
          </w:tcPr>
          <w:p w14:paraId="005C100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4446" w:type="dxa"/>
            <w:tcBorders>
              <w:top w:val="nil"/>
              <w:left w:val="nil"/>
              <w:bottom w:val="single" w:color="auto" w:sz="4" w:space="0"/>
              <w:right w:val="single" w:color="auto" w:sz="4" w:space="0"/>
            </w:tcBorders>
            <w:shd w:val="clear" w:color="auto" w:fill="auto"/>
            <w:vAlign w:val="center"/>
          </w:tcPr>
          <w:p w14:paraId="205C756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4002" w:type="dxa"/>
            <w:tcBorders>
              <w:top w:val="nil"/>
              <w:left w:val="nil"/>
              <w:bottom w:val="single" w:color="auto" w:sz="4" w:space="0"/>
              <w:right w:val="single" w:color="auto" w:sz="4" w:space="0"/>
            </w:tcBorders>
            <w:shd w:val="clear" w:color="auto" w:fill="auto"/>
            <w:vAlign w:val="center"/>
          </w:tcPr>
          <w:p w14:paraId="3929C8D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本项目经费为持续性、常年性项目，项目立项规范，符合相关政策要求。</w:t>
            </w:r>
          </w:p>
        </w:tc>
        <w:tc>
          <w:tcPr>
            <w:tcW w:w="714" w:type="dxa"/>
            <w:tcBorders>
              <w:top w:val="nil"/>
              <w:left w:val="nil"/>
              <w:bottom w:val="single" w:color="auto" w:sz="4" w:space="0"/>
              <w:right w:val="single" w:color="auto" w:sz="12" w:space="0"/>
            </w:tcBorders>
            <w:shd w:val="clear" w:color="auto" w:fill="auto"/>
            <w:vAlign w:val="center"/>
          </w:tcPr>
          <w:p w14:paraId="4108D4B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2ED3F6B">
        <w:tblPrEx>
          <w:tblCellMar>
            <w:top w:w="0" w:type="dxa"/>
            <w:left w:w="108" w:type="dxa"/>
            <w:bottom w:w="0" w:type="dxa"/>
            <w:right w:w="108" w:type="dxa"/>
          </w:tblCellMar>
        </w:tblPrEx>
        <w:trPr>
          <w:trHeight w:val="88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7BFFDCE8">
            <w:pPr>
              <w:widowControl/>
              <w:jc w:val="left"/>
              <w:rPr>
                <w:rFonts w:ascii="楷体_GB2312" w:hAnsi="宋体" w:eastAsia="楷体_GB2312"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5956A75B">
            <w:pPr>
              <w:widowControl/>
              <w:jc w:val="left"/>
              <w:rPr>
                <w:rFonts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483D320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4446" w:type="dxa"/>
            <w:tcBorders>
              <w:top w:val="nil"/>
              <w:left w:val="nil"/>
              <w:bottom w:val="single" w:color="auto" w:sz="4" w:space="0"/>
              <w:right w:val="single" w:color="auto" w:sz="4" w:space="0"/>
            </w:tcBorders>
            <w:shd w:val="clear" w:color="auto" w:fill="auto"/>
            <w:vAlign w:val="center"/>
          </w:tcPr>
          <w:p w14:paraId="5ACD58E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项目是否设定绩效目标和绩效指标，所设定的绩效目标和指标是否符合实际，以反映和考核项目绩效目标与项目实施的相符情况。</w:t>
            </w:r>
          </w:p>
        </w:tc>
        <w:tc>
          <w:tcPr>
            <w:tcW w:w="4002" w:type="dxa"/>
            <w:tcBorders>
              <w:top w:val="nil"/>
              <w:left w:val="nil"/>
              <w:bottom w:val="single" w:color="auto" w:sz="4" w:space="0"/>
              <w:right w:val="single" w:color="auto" w:sz="4" w:space="0"/>
            </w:tcBorders>
            <w:shd w:val="clear" w:color="auto" w:fill="auto"/>
            <w:vAlign w:val="center"/>
          </w:tcPr>
          <w:p w14:paraId="61AEF00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项目设定了绩效目标和绩效指标，所设定的绩效目标和指标基本符合实际，能体现项目效果。</w:t>
            </w:r>
          </w:p>
        </w:tc>
        <w:tc>
          <w:tcPr>
            <w:tcW w:w="714" w:type="dxa"/>
            <w:tcBorders>
              <w:top w:val="nil"/>
              <w:left w:val="nil"/>
              <w:bottom w:val="single" w:color="auto" w:sz="4" w:space="0"/>
              <w:right w:val="single" w:color="auto" w:sz="12" w:space="0"/>
            </w:tcBorders>
            <w:shd w:val="clear" w:color="auto" w:fill="auto"/>
            <w:vAlign w:val="center"/>
          </w:tcPr>
          <w:p w14:paraId="4C3AD76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9BA7F56">
        <w:tblPrEx>
          <w:tblCellMar>
            <w:top w:w="0" w:type="dxa"/>
            <w:left w:w="108" w:type="dxa"/>
            <w:bottom w:w="0" w:type="dxa"/>
            <w:right w:w="108" w:type="dxa"/>
          </w:tblCellMar>
        </w:tblPrEx>
        <w:trPr>
          <w:trHeight w:val="66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45B05919">
            <w:pPr>
              <w:widowControl/>
              <w:jc w:val="left"/>
              <w:rPr>
                <w:rFonts w:ascii="楷体_GB2312" w:hAnsi="宋体" w:eastAsia="楷体_GB2312" w:cs="宋体"/>
                <w:color w:val="000000"/>
                <w:kern w:val="0"/>
                <w:sz w:val="22"/>
              </w:rPr>
            </w:pP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3103876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2385" w:type="dxa"/>
            <w:tcBorders>
              <w:top w:val="nil"/>
              <w:left w:val="nil"/>
              <w:bottom w:val="single" w:color="auto" w:sz="4" w:space="0"/>
              <w:right w:val="single" w:color="auto" w:sz="4" w:space="0"/>
            </w:tcBorders>
            <w:shd w:val="clear" w:color="auto" w:fill="auto"/>
            <w:vAlign w:val="center"/>
          </w:tcPr>
          <w:p w14:paraId="0F3770D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4446" w:type="dxa"/>
            <w:tcBorders>
              <w:top w:val="nil"/>
              <w:left w:val="nil"/>
              <w:bottom w:val="single" w:color="auto" w:sz="4" w:space="0"/>
              <w:right w:val="single" w:color="auto" w:sz="4" w:space="0"/>
            </w:tcBorders>
            <w:shd w:val="clear" w:color="auto" w:fill="auto"/>
            <w:vAlign w:val="center"/>
          </w:tcPr>
          <w:p w14:paraId="19687A5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4002" w:type="dxa"/>
            <w:tcBorders>
              <w:top w:val="nil"/>
              <w:left w:val="nil"/>
              <w:bottom w:val="single" w:color="auto" w:sz="4" w:space="0"/>
              <w:right w:val="single" w:color="auto" w:sz="4" w:space="0"/>
            </w:tcBorders>
            <w:shd w:val="clear" w:color="auto" w:fill="auto"/>
            <w:vAlign w:val="center"/>
          </w:tcPr>
          <w:p w14:paraId="25C9A89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预算申报金额为74.34万元，预算批复金额</w:t>
            </w:r>
            <w:r>
              <w:rPr>
                <w:rFonts w:ascii="楷体_GB2312" w:hAnsi="宋体" w:eastAsia="楷体_GB2312" w:cs="宋体"/>
                <w:color w:val="000000"/>
                <w:kern w:val="0"/>
                <w:sz w:val="22"/>
              </w:rPr>
              <w:t>147.04</w:t>
            </w:r>
            <w:r>
              <w:rPr>
                <w:rFonts w:hint="eastAsia" w:ascii="楷体_GB2312" w:hAnsi="宋体" w:eastAsia="楷体_GB2312" w:cs="宋体"/>
                <w:color w:val="000000"/>
                <w:kern w:val="0"/>
                <w:sz w:val="22"/>
              </w:rPr>
              <w:t>万元，实际支出资金</w:t>
            </w:r>
            <w:r>
              <w:rPr>
                <w:rFonts w:ascii="楷体_GB2312" w:hAnsi="宋体" w:eastAsia="楷体_GB2312" w:cs="宋体"/>
                <w:color w:val="000000"/>
                <w:kern w:val="0"/>
                <w:sz w:val="22"/>
              </w:rPr>
              <w:t>142.74</w:t>
            </w:r>
            <w:r>
              <w:rPr>
                <w:rFonts w:hint="eastAsia" w:ascii="楷体_GB2312" w:hAnsi="宋体" w:eastAsia="楷体_GB2312" w:cs="宋体"/>
                <w:color w:val="000000"/>
                <w:kern w:val="0"/>
                <w:sz w:val="22"/>
              </w:rPr>
              <w:t>万元，资金到位率</w:t>
            </w:r>
            <w:r>
              <w:rPr>
                <w:rFonts w:ascii="楷体_GB2312" w:hAnsi="宋体" w:eastAsia="楷体_GB2312" w:cs="宋体"/>
                <w:color w:val="000000"/>
                <w:kern w:val="0"/>
                <w:sz w:val="22"/>
              </w:rPr>
              <w:t>97.08</w:t>
            </w:r>
            <w:r>
              <w:rPr>
                <w:rFonts w:hint="eastAsia" w:ascii="楷体_GB2312" w:hAnsi="宋体" w:eastAsia="楷体_GB2312" w:cs="宋体"/>
                <w:color w:val="000000"/>
                <w:kern w:val="0"/>
                <w:sz w:val="22"/>
              </w:rPr>
              <w:t>%。</w:t>
            </w:r>
          </w:p>
        </w:tc>
        <w:tc>
          <w:tcPr>
            <w:tcW w:w="714" w:type="dxa"/>
            <w:tcBorders>
              <w:top w:val="nil"/>
              <w:left w:val="nil"/>
              <w:bottom w:val="single" w:color="auto" w:sz="4" w:space="0"/>
              <w:right w:val="single" w:color="auto" w:sz="12" w:space="0"/>
            </w:tcBorders>
            <w:shd w:val="clear" w:color="auto" w:fill="auto"/>
            <w:vAlign w:val="center"/>
          </w:tcPr>
          <w:p w14:paraId="3AA0DE0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278D6506">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36B6687E">
            <w:pPr>
              <w:widowControl/>
              <w:jc w:val="left"/>
              <w:rPr>
                <w:rFonts w:ascii="楷体_GB2312" w:hAnsi="宋体" w:eastAsia="楷体_GB2312"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49BA26F9">
            <w:pPr>
              <w:widowControl/>
              <w:jc w:val="left"/>
              <w:rPr>
                <w:rFonts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0997263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4446" w:type="dxa"/>
            <w:tcBorders>
              <w:top w:val="nil"/>
              <w:left w:val="nil"/>
              <w:bottom w:val="single" w:color="auto" w:sz="4" w:space="0"/>
              <w:right w:val="single" w:color="auto" w:sz="4" w:space="0"/>
            </w:tcBorders>
            <w:shd w:val="clear" w:color="auto" w:fill="auto"/>
            <w:vAlign w:val="center"/>
          </w:tcPr>
          <w:p w14:paraId="0D25A25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4002" w:type="dxa"/>
            <w:tcBorders>
              <w:top w:val="nil"/>
              <w:left w:val="nil"/>
              <w:bottom w:val="single" w:color="auto" w:sz="4" w:space="0"/>
              <w:right w:val="single" w:color="auto" w:sz="4" w:space="0"/>
            </w:tcBorders>
            <w:shd w:val="clear" w:color="auto" w:fill="auto"/>
            <w:vAlign w:val="center"/>
          </w:tcPr>
          <w:p w14:paraId="59DA0A6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及时拨付各村项目资金，资金到位及时率100%</w:t>
            </w:r>
          </w:p>
        </w:tc>
        <w:tc>
          <w:tcPr>
            <w:tcW w:w="714" w:type="dxa"/>
            <w:tcBorders>
              <w:top w:val="nil"/>
              <w:left w:val="nil"/>
              <w:bottom w:val="single" w:color="auto" w:sz="4" w:space="0"/>
              <w:right w:val="single" w:color="auto" w:sz="12" w:space="0"/>
            </w:tcBorders>
            <w:shd w:val="clear" w:color="auto" w:fill="auto"/>
            <w:vAlign w:val="center"/>
          </w:tcPr>
          <w:p w14:paraId="7FB317A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25A815D">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5B388ADE">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14" w:type="dxa"/>
            <w:tcBorders>
              <w:top w:val="nil"/>
              <w:left w:val="nil"/>
              <w:bottom w:val="single" w:color="auto" w:sz="4" w:space="0"/>
              <w:right w:val="single" w:color="auto" w:sz="12" w:space="0"/>
            </w:tcBorders>
            <w:shd w:val="clear" w:color="auto" w:fill="auto"/>
            <w:vAlign w:val="center"/>
          </w:tcPr>
          <w:p w14:paraId="19E075B0">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19</w:t>
            </w:r>
          </w:p>
        </w:tc>
      </w:tr>
      <w:tr w14:paraId="6C9F30F2">
        <w:tblPrEx>
          <w:tblCellMar>
            <w:top w:w="0" w:type="dxa"/>
            <w:left w:w="108" w:type="dxa"/>
            <w:bottom w:w="0" w:type="dxa"/>
            <w:right w:w="108" w:type="dxa"/>
          </w:tblCellMar>
        </w:tblPrEx>
        <w:trPr>
          <w:trHeight w:val="440" w:hRule="atLeast"/>
          <w:jc w:val="center"/>
        </w:trPr>
        <w:tc>
          <w:tcPr>
            <w:tcW w:w="1112" w:type="dxa"/>
            <w:vMerge w:val="restart"/>
            <w:tcBorders>
              <w:top w:val="nil"/>
              <w:left w:val="single" w:color="auto" w:sz="12" w:space="0"/>
              <w:bottom w:val="single" w:color="auto" w:sz="4" w:space="0"/>
              <w:right w:val="single" w:color="auto" w:sz="4" w:space="0"/>
            </w:tcBorders>
            <w:shd w:val="clear" w:color="auto" w:fill="auto"/>
            <w:vAlign w:val="center"/>
          </w:tcPr>
          <w:p w14:paraId="4D36070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6DBB007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2385" w:type="dxa"/>
            <w:tcBorders>
              <w:top w:val="nil"/>
              <w:left w:val="nil"/>
              <w:bottom w:val="single" w:color="auto" w:sz="4" w:space="0"/>
              <w:right w:val="single" w:color="auto" w:sz="4" w:space="0"/>
            </w:tcBorders>
            <w:shd w:val="clear" w:color="auto" w:fill="auto"/>
            <w:vAlign w:val="center"/>
          </w:tcPr>
          <w:p w14:paraId="37F84D3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4446" w:type="dxa"/>
            <w:tcBorders>
              <w:top w:val="nil"/>
              <w:left w:val="nil"/>
              <w:bottom w:val="single" w:color="auto" w:sz="4" w:space="0"/>
              <w:right w:val="single" w:color="auto" w:sz="4" w:space="0"/>
            </w:tcBorders>
            <w:shd w:val="clear" w:color="auto" w:fill="auto"/>
            <w:vAlign w:val="center"/>
          </w:tcPr>
          <w:p w14:paraId="532E373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4002" w:type="dxa"/>
            <w:vMerge w:val="restart"/>
            <w:tcBorders>
              <w:top w:val="nil"/>
              <w:left w:val="single" w:color="auto" w:sz="4" w:space="0"/>
              <w:bottom w:val="single" w:color="000000" w:sz="4" w:space="0"/>
              <w:right w:val="single" w:color="auto" w:sz="4" w:space="0"/>
            </w:tcBorders>
            <w:shd w:val="clear" w:color="auto" w:fill="auto"/>
            <w:vAlign w:val="center"/>
          </w:tcPr>
          <w:p w14:paraId="1F26F77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计生办建立了良好的工作机制和工作流程并得以有效执行；街道建立了项目监督机制和项目考核机制，用于支持项目顺利实施，项目基础资料齐备。</w:t>
            </w:r>
          </w:p>
        </w:tc>
        <w:tc>
          <w:tcPr>
            <w:tcW w:w="714" w:type="dxa"/>
            <w:tcBorders>
              <w:top w:val="nil"/>
              <w:left w:val="nil"/>
              <w:bottom w:val="single" w:color="auto" w:sz="4" w:space="0"/>
              <w:right w:val="single" w:color="auto" w:sz="12" w:space="0"/>
            </w:tcBorders>
            <w:shd w:val="clear" w:color="auto" w:fill="auto"/>
            <w:vAlign w:val="center"/>
          </w:tcPr>
          <w:p w14:paraId="1F4E77B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068EEC78">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06FFD477">
            <w:pPr>
              <w:widowControl/>
              <w:jc w:val="left"/>
              <w:rPr>
                <w:rFonts w:ascii="楷体_GB2312" w:hAnsi="宋体" w:eastAsia="楷体_GB2312"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777BAD2E">
            <w:pPr>
              <w:widowControl/>
              <w:jc w:val="left"/>
              <w:rPr>
                <w:rFonts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1D78E4F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4446" w:type="dxa"/>
            <w:tcBorders>
              <w:top w:val="nil"/>
              <w:left w:val="nil"/>
              <w:bottom w:val="single" w:color="auto" w:sz="4" w:space="0"/>
              <w:right w:val="single" w:color="auto" w:sz="4" w:space="0"/>
            </w:tcBorders>
            <w:shd w:val="clear" w:color="auto" w:fill="auto"/>
            <w:vAlign w:val="center"/>
          </w:tcPr>
          <w:p w14:paraId="4FB51E7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4002" w:type="dxa"/>
            <w:vMerge w:val="continue"/>
            <w:tcBorders>
              <w:top w:val="nil"/>
              <w:left w:val="single" w:color="auto" w:sz="4" w:space="0"/>
              <w:bottom w:val="single" w:color="000000" w:sz="4" w:space="0"/>
              <w:right w:val="single" w:color="auto" w:sz="4" w:space="0"/>
            </w:tcBorders>
            <w:shd w:val="clear" w:color="auto" w:fill="auto"/>
            <w:vAlign w:val="center"/>
          </w:tcPr>
          <w:p w14:paraId="672A169C">
            <w:pPr>
              <w:widowControl/>
              <w:jc w:val="left"/>
              <w:rPr>
                <w:rFonts w:ascii="楷体_GB2312" w:hAnsi="宋体" w:eastAsia="楷体_GB2312" w:cs="宋体"/>
                <w:color w:val="000000"/>
                <w:kern w:val="0"/>
                <w:sz w:val="22"/>
              </w:rPr>
            </w:pPr>
          </w:p>
        </w:tc>
        <w:tc>
          <w:tcPr>
            <w:tcW w:w="714" w:type="dxa"/>
            <w:tcBorders>
              <w:top w:val="nil"/>
              <w:left w:val="nil"/>
              <w:bottom w:val="single" w:color="auto" w:sz="4" w:space="0"/>
              <w:right w:val="single" w:color="auto" w:sz="12" w:space="0"/>
            </w:tcBorders>
            <w:shd w:val="clear" w:color="auto" w:fill="auto"/>
            <w:vAlign w:val="center"/>
          </w:tcPr>
          <w:p w14:paraId="26F7D3A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04DF4EB9">
        <w:tblPrEx>
          <w:tblCellMar>
            <w:top w:w="0" w:type="dxa"/>
            <w:left w:w="108" w:type="dxa"/>
            <w:bottom w:w="0" w:type="dxa"/>
            <w:right w:w="108" w:type="dxa"/>
          </w:tblCellMar>
        </w:tblPrEx>
        <w:trPr>
          <w:trHeight w:val="66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33D94C81">
            <w:pPr>
              <w:widowControl/>
              <w:jc w:val="left"/>
              <w:rPr>
                <w:rFonts w:ascii="楷体_GB2312" w:hAnsi="宋体" w:eastAsia="楷体_GB2312" w:cs="宋体"/>
                <w:color w:val="000000"/>
                <w:kern w:val="0"/>
                <w:sz w:val="22"/>
              </w:rPr>
            </w:pP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0A586B3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2385" w:type="dxa"/>
            <w:tcBorders>
              <w:top w:val="nil"/>
              <w:left w:val="nil"/>
              <w:bottom w:val="single" w:color="auto" w:sz="4" w:space="0"/>
              <w:right w:val="single" w:color="auto" w:sz="4" w:space="0"/>
            </w:tcBorders>
            <w:shd w:val="clear" w:color="auto" w:fill="auto"/>
            <w:vAlign w:val="center"/>
          </w:tcPr>
          <w:p w14:paraId="69B2028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4446" w:type="dxa"/>
            <w:tcBorders>
              <w:top w:val="nil"/>
              <w:left w:val="nil"/>
              <w:bottom w:val="single" w:color="auto" w:sz="4" w:space="0"/>
              <w:right w:val="single" w:color="auto" w:sz="4" w:space="0"/>
            </w:tcBorders>
            <w:shd w:val="clear" w:color="auto" w:fill="auto"/>
            <w:vAlign w:val="center"/>
          </w:tcPr>
          <w:p w14:paraId="4B42EDE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4002" w:type="dxa"/>
            <w:vMerge w:val="restart"/>
            <w:tcBorders>
              <w:top w:val="nil"/>
              <w:left w:val="single" w:color="auto" w:sz="4" w:space="0"/>
              <w:bottom w:val="single" w:color="000000" w:sz="4" w:space="0"/>
              <w:right w:val="single" w:color="auto" w:sz="4" w:space="0"/>
            </w:tcBorders>
            <w:shd w:val="clear" w:color="auto" w:fill="auto"/>
            <w:vAlign w:val="center"/>
          </w:tcPr>
          <w:p w14:paraId="3EE6A90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街道制订了严格的财务管理措施，每项支出均有迹可循。会计账簿中重要支出事项原始单据或记录手续齐全，单证规范，标准相符，财务把关严格，会计核算准确、完整。</w:t>
            </w:r>
          </w:p>
        </w:tc>
        <w:tc>
          <w:tcPr>
            <w:tcW w:w="714" w:type="dxa"/>
            <w:tcBorders>
              <w:top w:val="nil"/>
              <w:left w:val="nil"/>
              <w:bottom w:val="single" w:color="auto" w:sz="4" w:space="0"/>
              <w:right w:val="single" w:color="auto" w:sz="12" w:space="0"/>
            </w:tcBorders>
            <w:shd w:val="clear" w:color="auto" w:fill="auto"/>
            <w:vAlign w:val="center"/>
          </w:tcPr>
          <w:p w14:paraId="72B7E0F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3ABD5BF">
        <w:tblPrEx>
          <w:tblCellMar>
            <w:top w:w="0" w:type="dxa"/>
            <w:left w:w="108" w:type="dxa"/>
            <w:bottom w:w="0" w:type="dxa"/>
            <w:right w:w="108" w:type="dxa"/>
          </w:tblCellMar>
        </w:tblPrEx>
        <w:trPr>
          <w:trHeight w:val="793"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3A76A7D6">
            <w:pPr>
              <w:widowControl/>
              <w:jc w:val="left"/>
              <w:rPr>
                <w:rFonts w:ascii="楷体_GB2312" w:hAnsi="宋体" w:eastAsia="楷体_GB2312"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53340DF5">
            <w:pPr>
              <w:widowControl/>
              <w:jc w:val="left"/>
              <w:rPr>
                <w:rFonts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062C188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4446" w:type="dxa"/>
            <w:tcBorders>
              <w:top w:val="nil"/>
              <w:left w:val="nil"/>
              <w:bottom w:val="single" w:color="auto" w:sz="4" w:space="0"/>
              <w:right w:val="single" w:color="auto" w:sz="4" w:space="0"/>
            </w:tcBorders>
            <w:shd w:val="clear" w:color="auto" w:fill="auto"/>
            <w:vAlign w:val="center"/>
          </w:tcPr>
          <w:p w14:paraId="6042D9A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4002" w:type="dxa"/>
            <w:vMerge w:val="continue"/>
            <w:tcBorders>
              <w:top w:val="nil"/>
              <w:left w:val="single" w:color="auto" w:sz="4" w:space="0"/>
              <w:bottom w:val="single" w:color="000000" w:sz="4" w:space="0"/>
              <w:right w:val="single" w:color="auto" w:sz="4" w:space="0"/>
            </w:tcBorders>
            <w:shd w:val="clear" w:color="auto" w:fill="auto"/>
            <w:vAlign w:val="center"/>
          </w:tcPr>
          <w:p w14:paraId="3562C42C">
            <w:pPr>
              <w:widowControl/>
              <w:jc w:val="left"/>
              <w:rPr>
                <w:rFonts w:ascii="楷体_GB2312" w:hAnsi="宋体" w:eastAsia="楷体_GB2312" w:cs="宋体"/>
                <w:color w:val="000000"/>
                <w:kern w:val="0"/>
                <w:sz w:val="22"/>
              </w:rPr>
            </w:pPr>
          </w:p>
        </w:tc>
        <w:tc>
          <w:tcPr>
            <w:tcW w:w="714" w:type="dxa"/>
            <w:tcBorders>
              <w:top w:val="nil"/>
              <w:left w:val="nil"/>
              <w:bottom w:val="single" w:color="auto" w:sz="4" w:space="0"/>
              <w:right w:val="single" w:color="auto" w:sz="12" w:space="0"/>
            </w:tcBorders>
            <w:shd w:val="clear" w:color="auto" w:fill="auto"/>
            <w:vAlign w:val="center"/>
          </w:tcPr>
          <w:p w14:paraId="3E7E17C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F6D0C2C">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5C959EC0">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14" w:type="dxa"/>
            <w:tcBorders>
              <w:top w:val="nil"/>
              <w:left w:val="nil"/>
              <w:bottom w:val="single" w:color="auto" w:sz="4" w:space="0"/>
              <w:right w:val="single" w:color="auto" w:sz="12" w:space="0"/>
            </w:tcBorders>
            <w:shd w:val="clear" w:color="auto" w:fill="auto"/>
            <w:vAlign w:val="center"/>
          </w:tcPr>
          <w:p w14:paraId="6987C701">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20</w:t>
            </w:r>
          </w:p>
        </w:tc>
      </w:tr>
      <w:tr w14:paraId="42E6579D">
        <w:tblPrEx>
          <w:tblCellMar>
            <w:top w:w="0" w:type="dxa"/>
            <w:left w:w="108" w:type="dxa"/>
            <w:bottom w:w="0" w:type="dxa"/>
            <w:right w:w="108" w:type="dxa"/>
          </w:tblCellMar>
        </w:tblPrEx>
        <w:trPr>
          <w:trHeight w:val="293" w:hRule="atLeast"/>
          <w:jc w:val="center"/>
        </w:trPr>
        <w:tc>
          <w:tcPr>
            <w:tcW w:w="1112" w:type="dxa"/>
            <w:vMerge w:val="restart"/>
            <w:tcBorders>
              <w:top w:val="nil"/>
              <w:left w:val="single" w:color="auto" w:sz="12" w:space="0"/>
              <w:bottom w:val="single" w:color="auto" w:sz="4" w:space="0"/>
              <w:right w:val="single" w:color="auto" w:sz="4" w:space="0"/>
            </w:tcBorders>
            <w:shd w:val="clear" w:color="auto" w:fill="auto"/>
            <w:vAlign w:val="center"/>
          </w:tcPr>
          <w:p w14:paraId="60FD2A7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453851F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数量指标（10分）</w:t>
            </w:r>
          </w:p>
        </w:tc>
        <w:tc>
          <w:tcPr>
            <w:tcW w:w="2385" w:type="dxa"/>
            <w:tcBorders>
              <w:top w:val="nil"/>
              <w:left w:val="nil"/>
              <w:bottom w:val="single" w:color="auto" w:sz="4" w:space="0"/>
              <w:right w:val="single" w:color="auto" w:sz="4" w:space="0"/>
            </w:tcBorders>
            <w:shd w:val="clear" w:color="auto" w:fill="auto"/>
            <w:vAlign w:val="center"/>
          </w:tcPr>
          <w:p w14:paraId="0706ECB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补贴发放率（5分）</w:t>
            </w:r>
          </w:p>
        </w:tc>
        <w:tc>
          <w:tcPr>
            <w:tcW w:w="4446" w:type="dxa"/>
            <w:tcBorders>
              <w:top w:val="nil"/>
              <w:left w:val="nil"/>
              <w:bottom w:val="single" w:color="auto" w:sz="4" w:space="0"/>
              <w:right w:val="single" w:color="auto" w:sz="4" w:space="0"/>
            </w:tcBorders>
            <w:shd w:val="clear" w:color="auto" w:fill="auto"/>
            <w:vAlign w:val="center"/>
          </w:tcPr>
          <w:p w14:paraId="62BD2C4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补贴发放率达到100%</w:t>
            </w:r>
          </w:p>
        </w:tc>
        <w:tc>
          <w:tcPr>
            <w:tcW w:w="4002" w:type="dxa"/>
            <w:tcBorders>
              <w:top w:val="nil"/>
              <w:left w:val="nil"/>
              <w:bottom w:val="single" w:color="auto" w:sz="4" w:space="0"/>
              <w:right w:val="single" w:color="auto" w:sz="4" w:space="0"/>
            </w:tcBorders>
            <w:shd w:val="clear" w:color="auto" w:fill="auto"/>
            <w:vAlign w:val="center"/>
          </w:tcPr>
          <w:p w14:paraId="23F7041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tcBorders>
              <w:top w:val="nil"/>
              <w:left w:val="nil"/>
              <w:bottom w:val="single" w:color="auto" w:sz="4" w:space="0"/>
              <w:right w:val="single" w:color="auto" w:sz="12" w:space="0"/>
            </w:tcBorders>
            <w:shd w:val="clear" w:color="auto" w:fill="auto"/>
            <w:vAlign w:val="center"/>
          </w:tcPr>
          <w:p w14:paraId="48182B9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8828CA8">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52A32809">
            <w:pPr>
              <w:widowControl/>
              <w:jc w:val="left"/>
              <w:rPr>
                <w:rFonts w:ascii="楷体_GB2312" w:hAnsi="宋体" w:eastAsia="楷体_GB2312"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03854C5C">
            <w:pPr>
              <w:widowControl/>
              <w:jc w:val="left"/>
              <w:rPr>
                <w:rFonts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79E9D22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活动次数（5分）</w:t>
            </w:r>
          </w:p>
        </w:tc>
        <w:tc>
          <w:tcPr>
            <w:tcW w:w="4446" w:type="dxa"/>
            <w:tcBorders>
              <w:top w:val="nil"/>
              <w:left w:val="nil"/>
              <w:bottom w:val="single" w:color="auto" w:sz="4" w:space="0"/>
              <w:right w:val="single" w:color="auto" w:sz="4" w:space="0"/>
            </w:tcBorders>
            <w:shd w:val="clear" w:color="auto" w:fill="auto"/>
            <w:vAlign w:val="center"/>
          </w:tcPr>
          <w:p w14:paraId="34EC2F8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计生活动次数4次以上</w:t>
            </w:r>
          </w:p>
        </w:tc>
        <w:tc>
          <w:tcPr>
            <w:tcW w:w="4002" w:type="dxa"/>
            <w:tcBorders>
              <w:top w:val="nil"/>
              <w:left w:val="nil"/>
              <w:bottom w:val="single" w:color="auto" w:sz="4" w:space="0"/>
              <w:right w:val="single" w:color="auto" w:sz="4" w:space="0"/>
            </w:tcBorders>
            <w:shd w:val="clear" w:color="auto" w:fill="auto"/>
            <w:vAlign w:val="center"/>
          </w:tcPr>
          <w:p w14:paraId="786A7A9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计生宣传活动次数3次，关爱女孩活动次数4次</w:t>
            </w:r>
          </w:p>
        </w:tc>
        <w:tc>
          <w:tcPr>
            <w:tcW w:w="714" w:type="dxa"/>
            <w:tcBorders>
              <w:top w:val="nil"/>
              <w:left w:val="nil"/>
              <w:bottom w:val="single" w:color="auto" w:sz="4" w:space="0"/>
              <w:right w:val="single" w:color="auto" w:sz="12" w:space="0"/>
            </w:tcBorders>
            <w:shd w:val="clear" w:color="auto" w:fill="auto"/>
            <w:vAlign w:val="center"/>
          </w:tcPr>
          <w:p w14:paraId="020B6C1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1426E62C">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127FDF35">
            <w:pPr>
              <w:widowControl/>
              <w:jc w:val="left"/>
              <w:rPr>
                <w:rFonts w:ascii="楷体_GB2312" w:hAnsi="宋体" w:eastAsia="楷体_GB2312" w:cs="宋体"/>
                <w:color w:val="000000"/>
                <w:kern w:val="0"/>
                <w:sz w:val="22"/>
              </w:rPr>
            </w:pPr>
          </w:p>
        </w:tc>
        <w:tc>
          <w:tcPr>
            <w:tcW w:w="1328" w:type="dxa"/>
            <w:vMerge w:val="restart"/>
            <w:tcBorders>
              <w:top w:val="single" w:color="000000" w:sz="4" w:space="0"/>
              <w:left w:val="nil"/>
              <w:right w:val="single" w:color="auto" w:sz="4" w:space="0"/>
            </w:tcBorders>
            <w:shd w:val="clear" w:color="auto" w:fill="auto"/>
            <w:vAlign w:val="center"/>
          </w:tcPr>
          <w:p w14:paraId="02079D30">
            <w:pPr>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质量指标（15分）</w:t>
            </w:r>
          </w:p>
        </w:tc>
        <w:tc>
          <w:tcPr>
            <w:tcW w:w="2385" w:type="dxa"/>
            <w:tcBorders>
              <w:top w:val="nil"/>
              <w:left w:val="nil"/>
              <w:bottom w:val="single" w:color="auto" w:sz="4" w:space="0"/>
              <w:right w:val="single" w:color="auto" w:sz="4" w:space="0"/>
            </w:tcBorders>
            <w:shd w:val="clear" w:color="auto" w:fill="auto"/>
            <w:vAlign w:val="center"/>
          </w:tcPr>
          <w:p w14:paraId="1D3E3E53">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补贴覆盖率（5分）</w:t>
            </w:r>
          </w:p>
        </w:tc>
        <w:tc>
          <w:tcPr>
            <w:tcW w:w="4446" w:type="dxa"/>
            <w:tcBorders>
              <w:top w:val="nil"/>
              <w:left w:val="nil"/>
              <w:bottom w:val="single" w:color="auto" w:sz="4" w:space="0"/>
              <w:right w:val="single" w:color="auto" w:sz="4" w:space="0"/>
            </w:tcBorders>
            <w:shd w:val="clear" w:color="auto" w:fill="auto"/>
            <w:vAlign w:val="center"/>
          </w:tcPr>
          <w:p w14:paraId="15A07551">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补贴发放应基本覆盖所有应享受补贴人员</w:t>
            </w:r>
          </w:p>
        </w:tc>
        <w:tc>
          <w:tcPr>
            <w:tcW w:w="4002" w:type="dxa"/>
            <w:tcBorders>
              <w:top w:val="nil"/>
              <w:left w:val="nil"/>
              <w:bottom w:val="single" w:color="auto" w:sz="4" w:space="0"/>
              <w:right w:val="single" w:color="auto" w:sz="4" w:space="0"/>
            </w:tcBorders>
            <w:shd w:val="clear" w:color="auto" w:fill="auto"/>
            <w:vAlign w:val="center"/>
          </w:tcPr>
          <w:p w14:paraId="4BAF575D">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95%-100%</w:t>
            </w:r>
          </w:p>
        </w:tc>
        <w:tc>
          <w:tcPr>
            <w:tcW w:w="714" w:type="dxa"/>
            <w:tcBorders>
              <w:top w:val="nil"/>
              <w:left w:val="nil"/>
              <w:bottom w:val="single" w:color="auto" w:sz="4" w:space="0"/>
              <w:right w:val="single" w:color="auto" w:sz="12" w:space="0"/>
            </w:tcBorders>
            <w:shd w:val="clear" w:color="auto" w:fill="auto"/>
            <w:vAlign w:val="center"/>
          </w:tcPr>
          <w:p w14:paraId="6690BAD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A770D16">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7E238141">
            <w:pPr>
              <w:widowControl/>
              <w:jc w:val="left"/>
              <w:rPr>
                <w:rFonts w:ascii="楷体_GB2312" w:hAnsi="宋体" w:eastAsia="楷体_GB2312" w:cs="宋体"/>
                <w:color w:val="000000"/>
                <w:kern w:val="0"/>
                <w:sz w:val="22"/>
              </w:rPr>
            </w:pPr>
          </w:p>
        </w:tc>
        <w:tc>
          <w:tcPr>
            <w:tcW w:w="1328" w:type="dxa"/>
            <w:vMerge w:val="continue"/>
            <w:tcBorders>
              <w:top w:val="single" w:color="000000" w:sz="4" w:space="0"/>
              <w:left w:val="nil"/>
              <w:right w:val="single" w:color="auto" w:sz="4" w:space="0"/>
            </w:tcBorders>
            <w:shd w:val="clear" w:color="auto" w:fill="auto"/>
            <w:vAlign w:val="center"/>
          </w:tcPr>
          <w:p w14:paraId="697F4145">
            <w:pPr>
              <w:jc w:val="center"/>
              <w:rPr>
                <w:rFonts w:hint="eastAsia"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1C493290">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信息覆盖率（5分）</w:t>
            </w:r>
          </w:p>
        </w:tc>
        <w:tc>
          <w:tcPr>
            <w:tcW w:w="4446" w:type="dxa"/>
            <w:tcBorders>
              <w:top w:val="nil"/>
              <w:left w:val="nil"/>
              <w:bottom w:val="single" w:color="auto" w:sz="4" w:space="0"/>
              <w:right w:val="single" w:color="auto" w:sz="4" w:space="0"/>
            </w:tcBorders>
            <w:shd w:val="clear" w:color="auto" w:fill="auto"/>
            <w:vAlign w:val="center"/>
          </w:tcPr>
          <w:p w14:paraId="03F595A8">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相关计生知识宣传应覆盖全部社区</w:t>
            </w:r>
          </w:p>
        </w:tc>
        <w:tc>
          <w:tcPr>
            <w:tcW w:w="4002" w:type="dxa"/>
            <w:tcBorders>
              <w:top w:val="nil"/>
              <w:left w:val="nil"/>
              <w:bottom w:val="single" w:color="auto" w:sz="4" w:space="0"/>
              <w:right w:val="single" w:color="auto" w:sz="4" w:space="0"/>
            </w:tcBorders>
            <w:shd w:val="clear" w:color="auto" w:fill="auto"/>
            <w:vAlign w:val="center"/>
          </w:tcPr>
          <w:p w14:paraId="5E780157">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80%-90%</w:t>
            </w:r>
          </w:p>
        </w:tc>
        <w:tc>
          <w:tcPr>
            <w:tcW w:w="714" w:type="dxa"/>
            <w:tcBorders>
              <w:top w:val="nil"/>
              <w:left w:val="nil"/>
              <w:bottom w:val="single" w:color="auto" w:sz="4" w:space="0"/>
              <w:right w:val="single" w:color="auto" w:sz="12" w:space="0"/>
            </w:tcBorders>
            <w:shd w:val="clear" w:color="auto" w:fill="auto"/>
            <w:vAlign w:val="center"/>
          </w:tcPr>
          <w:p w14:paraId="30535AA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21C3BD14">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2E968536">
            <w:pPr>
              <w:widowControl/>
              <w:jc w:val="left"/>
              <w:rPr>
                <w:rFonts w:ascii="楷体_GB2312" w:hAnsi="宋体" w:eastAsia="楷体_GB2312" w:cs="宋体"/>
                <w:color w:val="000000"/>
                <w:kern w:val="0"/>
                <w:sz w:val="22"/>
              </w:rPr>
            </w:pPr>
          </w:p>
        </w:tc>
        <w:tc>
          <w:tcPr>
            <w:tcW w:w="1328" w:type="dxa"/>
            <w:vMerge w:val="continue"/>
            <w:tcBorders>
              <w:left w:val="nil"/>
              <w:bottom w:val="nil"/>
              <w:right w:val="single" w:color="auto" w:sz="4" w:space="0"/>
            </w:tcBorders>
            <w:shd w:val="clear" w:color="auto" w:fill="auto"/>
            <w:vAlign w:val="center"/>
          </w:tcPr>
          <w:p w14:paraId="3BEEF34C">
            <w:pPr>
              <w:widowControl/>
              <w:jc w:val="center"/>
              <w:rPr>
                <w:rFonts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6067B541">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管理覆盖率（5分）</w:t>
            </w:r>
          </w:p>
        </w:tc>
        <w:tc>
          <w:tcPr>
            <w:tcW w:w="4446" w:type="dxa"/>
            <w:tcBorders>
              <w:top w:val="nil"/>
              <w:left w:val="nil"/>
              <w:bottom w:val="single" w:color="auto" w:sz="4" w:space="0"/>
              <w:right w:val="single" w:color="auto" w:sz="4" w:space="0"/>
            </w:tcBorders>
            <w:shd w:val="clear" w:color="auto" w:fill="auto"/>
            <w:vAlign w:val="center"/>
          </w:tcPr>
          <w:p w14:paraId="7AF8D3C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综合管理和治理工作应覆盖95%以上的服务对象</w:t>
            </w:r>
          </w:p>
        </w:tc>
        <w:tc>
          <w:tcPr>
            <w:tcW w:w="4002" w:type="dxa"/>
            <w:tcBorders>
              <w:top w:val="nil"/>
              <w:left w:val="nil"/>
              <w:bottom w:val="single" w:color="auto" w:sz="4" w:space="0"/>
              <w:right w:val="single" w:color="auto" w:sz="4" w:space="0"/>
            </w:tcBorders>
            <w:shd w:val="clear" w:color="auto" w:fill="auto"/>
            <w:vAlign w:val="center"/>
          </w:tcPr>
          <w:p w14:paraId="35EFAD5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90%-95%</w:t>
            </w:r>
          </w:p>
        </w:tc>
        <w:tc>
          <w:tcPr>
            <w:tcW w:w="714" w:type="dxa"/>
            <w:tcBorders>
              <w:top w:val="nil"/>
              <w:left w:val="nil"/>
              <w:bottom w:val="single" w:color="auto" w:sz="4" w:space="0"/>
              <w:right w:val="single" w:color="auto" w:sz="12" w:space="0"/>
            </w:tcBorders>
            <w:shd w:val="clear" w:color="auto" w:fill="auto"/>
            <w:vAlign w:val="center"/>
          </w:tcPr>
          <w:p w14:paraId="19D0F7F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66A90AF">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46428EB6">
            <w:pPr>
              <w:widowControl/>
              <w:jc w:val="left"/>
              <w:rPr>
                <w:rFonts w:ascii="楷体_GB2312" w:hAnsi="宋体" w:eastAsia="楷体_GB2312" w:cs="宋体"/>
                <w:color w:val="000000"/>
                <w:kern w:val="0"/>
                <w:sz w:val="22"/>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1612F4D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（5分）</w:t>
            </w:r>
          </w:p>
        </w:tc>
        <w:tc>
          <w:tcPr>
            <w:tcW w:w="2385" w:type="dxa"/>
            <w:tcBorders>
              <w:top w:val="nil"/>
              <w:left w:val="nil"/>
              <w:bottom w:val="single" w:color="auto" w:sz="4" w:space="0"/>
              <w:right w:val="single" w:color="auto" w:sz="4" w:space="0"/>
            </w:tcBorders>
            <w:shd w:val="clear" w:color="auto" w:fill="auto"/>
            <w:vAlign w:val="center"/>
          </w:tcPr>
          <w:p w14:paraId="2658B57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完成及时率（5分）</w:t>
            </w:r>
          </w:p>
        </w:tc>
        <w:tc>
          <w:tcPr>
            <w:tcW w:w="4446" w:type="dxa"/>
            <w:tcBorders>
              <w:top w:val="nil"/>
              <w:left w:val="nil"/>
              <w:bottom w:val="single" w:color="auto" w:sz="4" w:space="0"/>
              <w:right w:val="single" w:color="auto" w:sz="4" w:space="0"/>
            </w:tcBorders>
            <w:shd w:val="clear" w:color="auto" w:fill="auto"/>
            <w:vAlign w:val="center"/>
          </w:tcPr>
          <w:p w14:paraId="73E52E3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项目完成及时性达到100%</w:t>
            </w:r>
          </w:p>
        </w:tc>
        <w:tc>
          <w:tcPr>
            <w:tcW w:w="4002" w:type="dxa"/>
            <w:tcBorders>
              <w:top w:val="nil"/>
              <w:left w:val="nil"/>
              <w:bottom w:val="single" w:color="auto" w:sz="4" w:space="0"/>
              <w:right w:val="single" w:color="auto" w:sz="4" w:space="0"/>
            </w:tcBorders>
            <w:shd w:val="clear" w:color="auto" w:fill="auto"/>
            <w:vAlign w:val="center"/>
          </w:tcPr>
          <w:p w14:paraId="22DFBB5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tcBorders>
              <w:top w:val="nil"/>
              <w:left w:val="nil"/>
              <w:bottom w:val="single" w:color="auto" w:sz="4" w:space="0"/>
              <w:right w:val="single" w:color="auto" w:sz="12" w:space="0"/>
            </w:tcBorders>
            <w:shd w:val="clear" w:color="auto" w:fill="auto"/>
            <w:vAlign w:val="center"/>
          </w:tcPr>
          <w:p w14:paraId="27D2F8D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3FF20C4">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32C516D6">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14" w:type="dxa"/>
            <w:tcBorders>
              <w:top w:val="nil"/>
              <w:left w:val="nil"/>
              <w:bottom w:val="single" w:color="auto" w:sz="4" w:space="0"/>
              <w:right w:val="single" w:color="auto" w:sz="12" w:space="0"/>
            </w:tcBorders>
            <w:shd w:val="clear" w:color="auto" w:fill="auto"/>
            <w:vAlign w:val="center"/>
          </w:tcPr>
          <w:p w14:paraId="52B4E584">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26</w:t>
            </w:r>
          </w:p>
        </w:tc>
      </w:tr>
      <w:tr w14:paraId="5D5F4AD7">
        <w:tblPrEx>
          <w:tblCellMar>
            <w:top w:w="0" w:type="dxa"/>
            <w:left w:w="108" w:type="dxa"/>
            <w:bottom w:w="0" w:type="dxa"/>
            <w:right w:w="108" w:type="dxa"/>
          </w:tblCellMar>
        </w:tblPrEx>
        <w:trPr>
          <w:trHeight w:val="1101" w:hRule="atLeast"/>
          <w:jc w:val="center"/>
        </w:trPr>
        <w:tc>
          <w:tcPr>
            <w:tcW w:w="1112" w:type="dxa"/>
            <w:vMerge w:val="restart"/>
            <w:tcBorders>
              <w:top w:val="nil"/>
              <w:left w:val="single" w:color="auto" w:sz="12" w:space="0"/>
              <w:bottom w:val="single" w:color="000000" w:sz="4" w:space="0"/>
              <w:right w:val="single" w:color="auto" w:sz="4" w:space="0"/>
            </w:tcBorders>
            <w:shd w:val="clear" w:color="auto" w:fill="auto"/>
            <w:vAlign w:val="center"/>
          </w:tcPr>
          <w:p w14:paraId="311145D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1328" w:type="dxa"/>
            <w:vMerge w:val="restart"/>
            <w:tcBorders>
              <w:top w:val="nil"/>
              <w:left w:val="nil"/>
              <w:right w:val="single" w:color="auto" w:sz="4" w:space="0"/>
            </w:tcBorders>
            <w:shd w:val="clear" w:color="auto" w:fill="auto"/>
            <w:vAlign w:val="center"/>
          </w:tcPr>
          <w:p w14:paraId="2F9F805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社会效益指标（10分）</w:t>
            </w:r>
          </w:p>
        </w:tc>
        <w:tc>
          <w:tcPr>
            <w:tcW w:w="2385" w:type="dxa"/>
            <w:tcBorders>
              <w:top w:val="nil"/>
              <w:left w:val="nil"/>
              <w:bottom w:val="single" w:color="auto" w:sz="4" w:space="0"/>
              <w:right w:val="single" w:color="auto" w:sz="4" w:space="0"/>
            </w:tcBorders>
            <w:shd w:val="clear" w:color="auto" w:fill="auto"/>
            <w:vAlign w:val="center"/>
          </w:tcPr>
          <w:p w14:paraId="22F7E39D">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群众生活质量和健康状况的改善情况（5分）</w:t>
            </w:r>
          </w:p>
        </w:tc>
        <w:tc>
          <w:tcPr>
            <w:tcW w:w="4446" w:type="dxa"/>
            <w:tcBorders>
              <w:top w:val="nil"/>
              <w:left w:val="nil"/>
              <w:bottom w:val="single" w:color="auto" w:sz="4" w:space="0"/>
              <w:right w:val="single" w:color="auto" w:sz="4" w:space="0"/>
            </w:tcBorders>
            <w:shd w:val="clear" w:color="auto" w:fill="auto"/>
            <w:vAlign w:val="center"/>
          </w:tcPr>
          <w:p w14:paraId="3C276706">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根据育龄群众的综合避孕率、流动人口综合避孕率和男女出生率比，反映项目的社会效益</w:t>
            </w:r>
          </w:p>
        </w:tc>
        <w:tc>
          <w:tcPr>
            <w:tcW w:w="4002" w:type="dxa"/>
            <w:tcBorders>
              <w:top w:val="nil"/>
              <w:left w:val="nil"/>
              <w:bottom w:val="single" w:color="auto" w:sz="4" w:space="0"/>
              <w:right w:val="single" w:color="auto" w:sz="4" w:space="0"/>
            </w:tcBorders>
            <w:shd w:val="clear" w:color="auto" w:fill="auto"/>
            <w:vAlign w:val="center"/>
          </w:tcPr>
          <w:p w14:paraId="67182A5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社区居民特别是妇女的生活质量得到改善；落实“少生优生”；保持人口性别结构平衡。</w:t>
            </w:r>
          </w:p>
        </w:tc>
        <w:tc>
          <w:tcPr>
            <w:tcW w:w="714" w:type="dxa"/>
            <w:tcBorders>
              <w:top w:val="nil"/>
              <w:left w:val="nil"/>
              <w:bottom w:val="single" w:color="auto" w:sz="4" w:space="0"/>
              <w:right w:val="single" w:color="auto" w:sz="12" w:space="0"/>
            </w:tcBorders>
            <w:shd w:val="clear" w:color="auto" w:fill="auto"/>
            <w:vAlign w:val="center"/>
          </w:tcPr>
          <w:p w14:paraId="096E99D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8BE6531">
        <w:tblPrEx>
          <w:tblCellMar>
            <w:top w:w="0" w:type="dxa"/>
            <w:left w:w="108" w:type="dxa"/>
            <w:bottom w:w="0" w:type="dxa"/>
            <w:right w:w="108" w:type="dxa"/>
          </w:tblCellMar>
        </w:tblPrEx>
        <w:trPr>
          <w:trHeight w:val="1101" w:hRule="atLeast"/>
          <w:jc w:val="center"/>
        </w:trPr>
        <w:tc>
          <w:tcPr>
            <w:tcW w:w="1112" w:type="dxa"/>
            <w:vMerge w:val="continue"/>
            <w:tcBorders>
              <w:top w:val="nil"/>
              <w:left w:val="single" w:color="auto" w:sz="12" w:space="0"/>
              <w:bottom w:val="single" w:color="000000" w:sz="4" w:space="0"/>
              <w:right w:val="single" w:color="auto" w:sz="4" w:space="0"/>
            </w:tcBorders>
            <w:shd w:val="clear" w:color="auto" w:fill="auto"/>
            <w:vAlign w:val="center"/>
          </w:tcPr>
          <w:p w14:paraId="190B6C29">
            <w:pPr>
              <w:widowControl/>
              <w:jc w:val="center"/>
              <w:rPr>
                <w:rFonts w:hint="eastAsia" w:ascii="楷体_GB2312" w:hAnsi="宋体" w:eastAsia="楷体_GB2312" w:cs="宋体"/>
                <w:color w:val="000000"/>
                <w:kern w:val="0"/>
                <w:sz w:val="22"/>
              </w:rPr>
            </w:pPr>
          </w:p>
        </w:tc>
        <w:tc>
          <w:tcPr>
            <w:tcW w:w="1328" w:type="dxa"/>
            <w:vMerge w:val="continue"/>
            <w:tcBorders>
              <w:left w:val="nil"/>
              <w:bottom w:val="single" w:color="auto" w:sz="4" w:space="0"/>
              <w:right w:val="single" w:color="auto" w:sz="4" w:space="0"/>
            </w:tcBorders>
            <w:shd w:val="clear" w:color="auto" w:fill="auto"/>
            <w:vAlign w:val="center"/>
          </w:tcPr>
          <w:p w14:paraId="7E3D3CB6">
            <w:pPr>
              <w:widowControl/>
              <w:jc w:val="center"/>
              <w:rPr>
                <w:rFonts w:hint="eastAsia" w:ascii="楷体_GB2312" w:hAnsi="宋体" w:eastAsia="楷体_GB2312"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655E5ACE">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计生服务管理水平的提高情况（5分）</w:t>
            </w:r>
          </w:p>
        </w:tc>
        <w:tc>
          <w:tcPr>
            <w:tcW w:w="4446" w:type="dxa"/>
            <w:tcBorders>
              <w:top w:val="nil"/>
              <w:left w:val="nil"/>
              <w:bottom w:val="single" w:color="auto" w:sz="4" w:space="0"/>
              <w:right w:val="single" w:color="auto" w:sz="4" w:space="0"/>
            </w:tcBorders>
            <w:shd w:val="clear" w:color="auto" w:fill="auto"/>
            <w:vAlign w:val="center"/>
          </w:tcPr>
          <w:p w14:paraId="75830579">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通过对计生办工作人员绩效考核达标情况的分析，反映工作水平管理的变化</w:t>
            </w:r>
          </w:p>
        </w:tc>
        <w:tc>
          <w:tcPr>
            <w:tcW w:w="4002" w:type="dxa"/>
            <w:tcBorders>
              <w:top w:val="nil"/>
              <w:left w:val="nil"/>
              <w:bottom w:val="single" w:color="auto" w:sz="4" w:space="0"/>
              <w:right w:val="single" w:color="auto" w:sz="4" w:space="0"/>
            </w:tcBorders>
            <w:shd w:val="clear" w:color="auto" w:fill="auto"/>
            <w:vAlign w:val="center"/>
          </w:tcPr>
          <w:p w14:paraId="73AC952A">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计生服务人员深入群众，关心群众最根本的需求；计生工作的信息化管理水平有待提高。</w:t>
            </w:r>
          </w:p>
        </w:tc>
        <w:tc>
          <w:tcPr>
            <w:tcW w:w="714" w:type="dxa"/>
            <w:tcBorders>
              <w:top w:val="nil"/>
              <w:left w:val="nil"/>
              <w:bottom w:val="single" w:color="auto" w:sz="4" w:space="0"/>
              <w:right w:val="single" w:color="auto" w:sz="12" w:space="0"/>
            </w:tcBorders>
            <w:shd w:val="clear" w:color="auto" w:fill="auto"/>
            <w:vAlign w:val="center"/>
          </w:tcPr>
          <w:p w14:paraId="1911627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76E86F91">
        <w:tblPrEx>
          <w:tblCellMar>
            <w:top w:w="0" w:type="dxa"/>
            <w:left w:w="108" w:type="dxa"/>
            <w:bottom w:w="0" w:type="dxa"/>
            <w:right w:w="108" w:type="dxa"/>
          </w:tblCellMar>
        </w:tblPrEx>
        <w:trPr>
          <w:trHeight w:val="1067" w:hRule="atLeast"/>
          <w:jc w:val="center"/>
        </w:trPr>
        <w:tc>
          <w:tcPr>
            <w:tcW w:w="1112" w:type="dxa"/>
            <w:vMerge w:val="continue"/>
            <w:tcBorders>
              <w:top w:val="nil"/>
              <w:left w:val="single" w:color="auto" w:sz="12" w:space="0"/>
              <w:bottom w:val="single" w:color="000000" w:sz="4" w:space="0"/>
              <w:right w:val="single" w:color="auto" w:sz="4" w:space="0"/>
            </w:tcBorders>
            <w:shd w:val="clear" w:color="auto" w:fill="auto"/>
            <w:vAlign w:val="center"/>
          </w:tcPr>
          <w:p w14:paraId="3C0FDDEC">
            <w:pPr>
              <w:widowControl/>
              <w:jc w:val="left"/>
              <w:rPr>
                <w:rFonts w:ascii="楷体_GB2312" w:hAnsi="宋体" w:eastAsia="楷体_GB2312" w:cs="宋体"/>
                <w:color w:val="000000"/>
                <w:kern w:val="0"/>
                <w:sz w:val="22"/>
              </w:rPr>
            </w:pPr>
          </w:p>
        </w:tc>
        <w:tc>
          <w:tcPr>
            <w:tcW w:w="1328" w:type="dxa"/>
            <w:tcBorders>
              <w:top w:val="nil"/>
              <w:left w:val="nil"/>
              <w:bottom w:val="single" w:color="auto" w:sz="4" w:space="0"/>
              <w:right w:val="single" w:color="auto" w:sz="4" w:space="0"/>
            </w:tcBorders>
            <w:shd w:val="clear" w:color="auto" w:fill="auto"/>
            <w:vAlign w:val="center"/>
          </w:tcPr>
          <w:p w14:paraId="440653C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可持续影响指标(10分)</w:t>
            </w:r>
          </w:p>
        </w:tc>
        <w:tc>
          <w:tcPr>
            <w:tcW w:w="2385" w:type="dxa"/>
            <w:tcBorders>
              <w:top w:val="nil"/>
              <w:left w:val="nil"/>
              <w:bottom w:val="single" w:color="auto" w:sz="4" w:space="0"/>
              <w:right w:val="single" w:color="auto" w:sz="4" w:space="0"/>
            </w:tcBorders>
            <w:shd w:val="clear" w:color="auto" w:fill="auto"/>
            <w:vAlign w:val="center"/>
          </w:tcPr>
          <w:p w14:paraId="0C3F056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可持续影响指标（10分）</w:t>
            </w:r>
          </w:p>
        </w:tc>
        <w:tc>
          <w:tcPr>
            <w:tcW w:w="4446" w:type="dxa"/>
            <w:tcBorders>
              <w:top w:val="nil"/>
              <w:left w:val="nil"/>
              <w:bottom w:val="single" w:color="auto" w:sz="4" w:space="0"/>
              <w:right w:val="single" w:color="auto" w:sz="4" w:space="0"/>
            </w:tcBorders>
            <w:shd w:val="clear" w:color="auto" w:fill="auto"/>
            <w:vAlign w:val="center"/>
          </w:tcPr>
          <w:p w14:paraId="0F439F1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项目持续发挥作用</w:t>
            </w:r>
          </w:p>
        </w:tc>
        <w:tc>
          <w:tcPr>
            <w:tcW w:w="4002" w:type="dxa"/>
            <w:tcBorders>
              <w:top w:val="nil"/>
              <w:left w:val="nil"/>
              <w:bottom w:val="single" w:color="auto" w:sz="4" w:space="0"/>
              <w:right w:val="single" w:color="auto" w:sz="4" w:space="0"/>
            </w:tcBorders>
            <w:shd w:val="clear" w:color="auto" w:fill="auto"/>
            <w:vAlign w:val="center"/>
          </w:tcPr>
          <w:p w14:paraId="3C94581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完善计生服务体系；强化流动人口的自我管理意识；形成了全社会共同关爱女孩成长的良好社会环境。</w:t>
            </w:r>
          </w:p>
        </w:tc>
        <w:tc>
          <w:tcPr>
            <w:tcW w:w="714" w:type="dxa"/>
            <w:tcBorders>
              <w:top w:val="nil"/>
              <w:left w:val="nil"/>
              <w:bottom w:val="single" w:color="auto" w:sz="4" w:space="0"/>
              <w:right w:val="single" w:color="auto" w:sz="12" w:space="0"/>
            </w:tcBorders>
            <w:shd w:val="clear" w:color="auto" w:fill="auto"/>
            <w:vAlign w:val="center"/>
          </w:tcPr>
          <w:p w14:paraId="3391970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w:t>
            </w:r>
          </w:p>
        </w:tc>
      </w:tr>
      <w:tr w14:paraId="6895F395">
        <w:tblPrEx>
          <w:tblCellMar>
            <w:top w:w="0" w:type="dxa"/>
            <w:left w:w="108" w:type="dxa"/>
            <w:bottom w:w="0" w:type="dxa"/>
            <w:right w:w="108" w:type="dxa"/>
          </w:tblCellMar>
        </w:tblPrEx>
        <w:trPr>
          <w:trHeight w:val="660" w:hRule="atLeast"/>
          <w:jc w:val="center"/>
        </w:trPr>
        <w:tc>
          <w:tcPr>
            <w:tcW w:w="1112" w:type="dxa"/>
            <w:vMerge w:val="continue"/>
            <w:tcBorders>
              <w:top w:val="nil"/>
              <w:left w:val="single" w:color="auto" w:sz="12" w:space="0"/>
              <w:bottom w:val="single" w:color="000000" w:sz="4" w:space="0"/>
              <w:right w:val="single" w:color="auto" w:sz="4" w:space="0"/>
            </w:tcBorders>
            <w:shd w:val="clear" w:color="auto" w:fill="auto"/>
            <w:vAlign w:val="center"/>
          </w:tcPr>
          <w:p w14:paraId="686B6062">
            <w:pPr>
              <w:widowControl/>
              <w:jc w:val="left"/>
              <w:rPr>
                <w:rFonts w:ascii="楷体_GB2312" w:hAnsi="宋体" w:eastAsia="楷体_GB2312" w:cs="宋体"/>
                <w:color w:val="000000"/>
                <w:kern w:val="0"/>
                <w:sz w:val="22"/>
              </w:rPr>
            </w:pPr>
          </w:p>
        </w:tc>
        <w:tc>
          <w:tcPr>
            <w:tcW w:w="1328" w:type="dxa"/>
            <w:tcBorders>
              <w:top w:val="nil"/>
              <w:left w:val="nil"/>
              <w:bottom w:val="single" w:color="auto" w:sz="4" w:space="0"/>
              <w:right w:val="single" w:color="auto" w:sz="4" w:space="0"/>
            </w:tcBorders>
            <w:shd w:val="clear" w:color="auto" w:fill="auto"/>
            <w:vAlign w:val="center"/>
          </w:tcPr>
          <w:p w14:paraId="0B5880A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服务对象满意度指标 （10分）</w:t>
            </w:r>
          </w:p>
        </w:tc>
        <w:tc>
          <w:tcPr>
            <w:tcW w:w="2385" w:type="dxa"/>
            <w:tcBorders>
              <w:top w:val="nil"/>
              <w:left w:val="nil"/>
              <w:bottom w:val="single" w:color="auto" w:sz="4" w:space="0"/>
              <w:right w:val="single" w:color="auto" w:sz="4" w:space="0"/>
            </w:tcBorders>
            <w:shd w:val="clear" w:color="auto" w:fill="auto"/>
            <w:vAlign w:val="center"/>
          </w:tcPr>
          <w:p w14:paraId="6552AC8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社会公众或服务对象满意度指标（10分）</w:t>
            </w:r>
          </w:p>
        </w:tc>
        <w:tc>
          <w:tcPr>
            <w:tcW w:w="4446" w:type="dxa"/>
            <w:tcBorders>
              <w:top w:val="nil"/>
              <w:left w:val="nil"/>
              <w:bottom w:val="single" w:color="auto" w:sz="4" w:space="0"/>
              <w:right w:val="single" w:color="auto" w:sz="4" w:space="0"/>
            </w:tcBorders>
            <w:shd w:val="clear" w:color="auto" w:fill="auto"/>
            <w:vAlign w:val="center"/>
          </w:tcPr>
          <w:p w14:paraId="61C2BFF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社会公众或服务对象满意度达到90%以上</w:t>
            </w:r>
          </w:p>
        </w:tc>
        <w:tc>
          <w:tcPr>
            <w:tcW w:w="4002" w:type="dxa"/>
            <w:tcBorders>
              <w:top w:val="nil"/>
              <w:left w:val="nil"/>
              <w:bottom w:val="single" w:color="auto" w:sz="4" w:space="0"/>
              <w:right w:val="single" w:color="auto" w:sz="4" w:space="0"/>
            </w:tcBorders>
            <w:shd w:val="clear" w:color="auto" w:fill="auto"/>
            <w:vAlign w:val="center"/>
          </w:tcPr>
          <w:p w14:paraId="0CD1690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 xml:space="preserve">社区居民满意度80%-85% </w:t>
            </w:r>
          </w:p>
        </w:tc>
        <w:tc>
          <w:tcPr>
            <w:tcW w:w="714" w:type="dxa"/>
            <w:tcBorders>
              <w:top w:val="nil"/>
              <w:left w:val="nil"/>
              <w:bottom w:val="single" w:color="auto" w:sz="4" w:space="0"/>
              <w:right w:val="single" w:color="auto" w:sz="12" w:space="0"/>
            </w:tcBorders>
            <w:shd w:val="clear" w:color="auto" w:fill="auto"/>
            <w:vAlign w:val="center"/>
          </w:tcPr>
          <w:p w14:paraId="2FD27FE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w:t>
            </w:r>
          </w:p>
        </w:tc>
      </w:tr>
      <w:tr w14:paraId="0EFE733B">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1BB4AA8B">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14" w:type="dxa"/>
            <w:tcBorders>
              <w:top w:val="nil"/>
              <w:left w:val="nil"/>
              <w:bottom w:val="single" w:color="auto" w:sz="4" w:space="0"/>
              <w:right w:val="single" w:color="auto" w:sz="12" w:space="0"/>
            </w:tcBorders>
            <w:shd w:val="clear" w:color="auto" w:fill="auto"/>
            <w:vAlign w:val="center"/>
          </w:tcPr>
          <w:p w14:paraId="0C7397D8">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27</w:t>
            </w:r>
          </w:p>
        </w:tc>
      </w:tr>
      <w:tr w14:paraId="6B52A000">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12" w:space="0"/>
              <w:right w:val="single" w:color="000000" w:sz="4" w:space="0"/>
            </w:tcBorders>
            <w:shd w:val="clear" w:color="auto" w:fill="auto"/>
            <w:vAlign w:val="center"/>
          </w:tcPr>
          <w:p w14:paraId="0F725699">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14" w:type="dxa"/>
            <w:tcBorders>
              <w:top w:val="nil"/>
              <w:left w:val="nil"/>
              <w:bottom w:val="single" w:color="auto" w:sz="12" w:space="0"/>
              <w:right w:val="single" w:color="auto" w:sz="12" w:space="0"/>
            </w:tcBorders>
            <w:shd w:val="clear" w:color="auto" w:fill="auto"/>
            <w:vAlign w:val="center"/>
          </w:tcPr>
          <w:p w14:paraId="2531547B">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92</w:t>
            </w:r>
          </w:p>
        </w:tc>
      </w:tr>
    </w:tbl>
    <w:p w14:paraId="5F23A734">
      <w:pPr>
        <w:spacing w:line="360" w:lineRule="auto"/>
        <w:rPr>
          <w:rFonts w:hint="eastAsia" w:ascii="楷体_GB2312" w:eastAsia="楷体_GB2312"/>
          <w:sz w:val="28"/>
        </w:rPr>
      </w:pPr>
    </w:p>
    <w:p w14:paraId="318ECD62">
      <w:pPr>
        <w:spacing w:line="360" w:lineRule="auto"/>
        <w:ind w:firstLine="560" w:firstLineChars="200"/>
        <w:rPr>
          <w:sz w:val="28"/>
        </w:rPr>
        <w:sectPr>
          <w:pgSz w:w="16838" w:h="11906" w:orient="landscape"/>
          <w:pgMar w:top="1800" w:right="1440" w:bottom="1800" w:left="1440" w:header="851" w:footer="992" w:gutter="0"/>
          <w:cols w:space="425" w:num="1"/>
          <w:docGrid w:type="lines" w:linePitch="312" w:charSpace="0"/>
        </w:sectPr>
      </w:pPr>
    </w:p>
    <w:p w14:paraId="4DF05FD2">
      <w:pPr>
        <w:spacing w:line="360" w:lineRule="auto"/>
        <w:ind w:firstLine="560" w:firstLineChars="200"/>
        <w:rPr>
          <w:sz w:val="28"/>
        </w:rPr>
      </w:pPr>
      <w:r>
        <w:rPr>
          <w:rFonts w:hint="eastAsia"/>
          <w:sz w:val="28"/>
        </w:rPr>
        <w:t>1．产出目标</w:t>
      </w:r>
    </w:p>
    <w:p w14:paraId="7DB27DD7">
      <w:pPr>
        <w:spacing w:line="360" w:lineRule="auto"/>
        <w:ind w:firstLine="560" w:firstLineChars="200"/>
        <w:rPr>
          <w:rFonts w:hint="eastAsia"/>
          <w:sz w:val="28"/>
        </w:rPr>
      </w:pPr>
      <w:r>
        <w:rPr>
          <w:rFonts w:hint="eastAsia"/>
          <w:sz w:val="28"/>
        </w:rPr>
        <w:t>（1）数量指标</w:t>
      </w:r>
    </w:p>
    <w:p w14:paraId="1A9B5918">
      <w:pPr>
        <w:spacing w:line="360" w:lineRule="auto"/>
        <w:ind w:firstLine="560" w:firstLineChars="200"/>
        <w:rPr>
          <w:rFonts w:hint="eastAsia"/>
          <w:sz w:val="28"/>
        </w:rPr>
      </w:pPr>
      <w:r>
        <w:rPr>
          <w:rFonts w:hint="eastAsia"/>
          <w:sz w:val="28"/>
        </w:rPr>
        <w:t>数量指标中，计生工作各项补贴发放率达到了100%，补贴资金未出现多发或漏发的现象；在活动次数方面，计生宣传活动次数3次，关爱女孩活动次数4次，基本上达到了要求，但计生宣传活动的次数建议增加，以提高居民意识，更有利于计生工作顺利开展。</w:t>
      </w:r>
    </w:p>
    <w:p w14:paraId="5D9B943E">
      <w:pPr>
        <w:spacing w:line="360" w:lineRule="auto"/>
        <w:ind w:firstLine="560" w:firstLineChars="200"/>
        <w:rPr>
          <w:rFonts w:hint="eastAsia"/>
          <w:sz w:val="28"/>
        </w:rPr>
      </w:pPr>
      <w:r>
        <w:rPr>
          <w:rFonts w:hint="eastAsia"/>
          <w:sz w:val="28"/>
        </w:rPr>
        <w:t>（2）质量指标</w:t>
      </w:r>
    </w:p>
    <w:p w14:paraId="31D6D30D">
      <w:pPr>
        <w:spacing w:line="360" w:lineRule="auto"/>
        <w:ind w:firstLine="560" w:firstLineChars="200"/>
        <w:rPr>
          <w:rFonts w:hint="eastAsia"/>
          <w:sz w:val="28"/>
        </w:rPr>
      </w:pPr>
      <w:r>
        <w:rPr>
          <w:rFonts w:hint="eastAsia"/>
          <w:sz w:val="28"/>
        </w:rPr>
        <w:t>补贴覆盖率（按实际补贴发放人数/计划补贴发放人数×</w:t>
      </w:r>
      <w:r>
        <w:rPr>
          <w:sz w:val="28"/>
        </w:rPr>
        <w:t>100%</w:t>
      </w:r>
      <w:r>
        <w:rPr>
          <w:rFonts w:hint="eastAsia"/>
          <w:sz w:val="28"/>
        </w:rPr>
        <w:t>）实际达到95%以上，基本覆盖了所有应发补贴的对象，仅术后并发症人员享受补贴覆盖率相对较低为80%（按2017年社区实际享受发放补贴的人数/2017年社区应当享受发放补贴的人数×</w:t>
      </w:r>
      <w:r>
        <w:rPr>
          <w:sz w:val="28"/>
        </w:rPr>
        <w:t>100%</w:t>
      </w:r>
      <w:r>
        <w:rPr>
          <w:rFonts w:hint="eastAsia"/>
          <w:sz w:val="28"/>
        </w:rPr>
        <w:t>）。从业务记录及现场抽查情况来看，社区计生宣传活动质量较高，但计生知识宣传覆盖率欠佳，例如优生知识普及率仅80%（按2017年优生知识普及实际覆盖社区数/2017年辖区社区总数×</w:t>
      </w:r>
      <w:r>
        <w:rPr>
          <w:sz w:val="28"/>
        </w:rPr>
        <w:t>100%</w:t>
      </w:r>
      <w:r>
        <w:rPr>
          <w:rFonts w:hint="eastAsia"/>
          <w:sz w:val="28"/>
        </w:rPr>
        <w:t>）。从综合管理和治理工作覆盖情况来看，管理覆盖率达到90%-95%，孕环覆盖率95%，女孩关爱率90%，出生人口性别比综合治理覆盖率90%，流动人口登记率90% ，覆盖率良好。虽然管理工作中有客观因素，如地域、思想素质等，限制工作人员开展工作，但希望能从技术和主观上克服困难，进一步加强管理，使更多的群众受益。</w:t>
      </w:r>
    </w:p>
    <w:p w14:paraId="6ADCB58F">
      <w:pPr>
        <w:spacing w:line="360" w:lineRule="auto"/>
        <w:ind w:firstLine="560" w:firstLineChars="200"/>
        <w:rPr>
          <w:rFonts w:hint="eastAsia"/>
          <w:sz w:val="28"/>
        </w:rPr>
      </w:pPr>
      <w:r>
        <w:rPr>
          <w:rFonts w:hint="eastAsia"/>
          <w:sz w:val="28"/>
        </w:rPr>
        <w:t>（3）时效指标</w:t>
      </w:r>
    </w:p>
    <w:p w14:paraId="0BD80AB1">
      <w:pPr>
        <w:spacing w:line="360" w:lineRule="auto"/>
        <w:ind w:firstLine="560" w:firstLineChars="200"/>
        <w:rPr>
          <w:rFonts w:hint="eastAsia"/>
          <w:sz w:val="28"/>
        </w:rPr>
      </w:pPr>
      <w:r>
        <w:rPr>
          <w:rFonts w:hint="eastAsia"/>
          <w:sz w:val="28"/>
        </w:rPr>
        <w:t>通过查看活动举办记录，访谈部分居民，计生补贴发放及时、合理，计生宣传活动举办频次较均匀，对困难群众的帮扶较为及时，项目完成及时性达到100% 。</w:t>
      </w:r>
    </w:p>
    <w:p w14:paraId="1223B14C">
      <w:pPr>
        <w:spacing w:line="360" w:lineRule="auto"/>
        <w:ind w:firstLine="560" w:firstLineChars="200"/>
        <w:rPr>
          <w:sz w:val="28"/>
        </w:rPr>
      </w:pPr>
      <w:r>
        <w:rPr>
          <w:rFonts w:hint="eastAsia"/>
          <w:sz w:val="28"/>
        </w:rPr>
        <w:t>2．效果目标</w:t>
      </w:r>
    </w:p>
    <w:p w14:paraId="10EBB4BC">
      <w:pPr>
        <w:spacing w:line="360" w:lineRule="auto"/>
        <w:ind w:firstLine="560" w:firstLineChars="200"/>
        <w:rPr>
          <w:rFonts w:hint="eastAsia"/>
          <w:sz w:val="28"/>
        </w:rPr>
      </w:pPr>
      <w:r>
        <w:rPr>
          <w:rFonts w:hint="eastAsia"/>
          <w:sz w:val="28"/>
        </w:rPr>
        <w:t>（1）社会效益指标</w:t>
      </w:r>
    </w:p>
    <w:p w14:paraId="3F1A2386">
      <w:pPr>
        <w:spacing w:line="360" w:lineRule="auto"/>
        <w:ind w:firstLine="560" w:firstLineChars="200"/>
        <w:rPr>
          <w:rFonts w:hint="eastAsia"/>
          <w:sz w:val="28"/>
        </w:rPr>
      </w:pPr>
      <w:r>
        <w:rPr>
          <w:rFonts w:hint="eastAsia"/>
          <w:sz w:val="28"/>
        </w:rPr>
        <w:t>总体来看，项目产生了良好的社会效益，形成了良好的文化环境，提升了居民的幸福感，有利于提升社区群众的综合素质。一是社区居民特别是妇女的生活质量得到改善，主要体现在健康情况的改善上；育龄群众和流动人口的综合避孕率均在80%以上，体现“少生优生”的思想贯彻落实情况良好；男女出生率比达到110:100，辖区男女出生率达到略低于社会平均水平，较好得保持了辖区人口性别结构平衡。二是计生服务管理水平的提高情况，通过对计生办工作人员绩效考核达标情况的分析和对计生服务对象的交谈了解到，计生服务人员能做到深入群众，关心群众最根本的需求，及时发现并解决群众的问题；2017年社区信息化管理和信息采集覆盖率为90%，主要是通过信息集采录入补贴的发放，说明计生办管理职能范围有待扩大，计生工作的信息化管理水平有待提高。</w:t>
      </w:r>
    </w:p>
    <w:p w14:paraId="7335668F">
      <w:pPr>
        <w:spacing w:line="360" w:lineRule="auto"/>
        <w:ind w:firstLine="560" w:firstLineChars="200"/>
        <w:rPr>
          <w:rFonts w:hint="eastAsia"/>
          <w:sz w:val="28"/>
        </w:rPr>
      </w:pPr>
      <w:r>
        <w:rPr>
          <w:rFonts w:hint="eastAsia"/>
          <w:sz w:val="28"/>
        </w:rPr>
        <w:t>（2）可持续影响指标</w:t>
      </w:r>
    </w:p>
    <w:p w14:paraId="79C56E21">
      <w:pPr>
        <w:spacing w:line="360" w:lineRule="auto"/>
        <w:ind w:firstLine="560" w:firstLineChars="200"/>
        <w:rPr>
          <w:rFonts w:hint="eastAsia"/>
          <w:sz w:val="28"/>
        </w:rPr>
      </w:pPr>
      <w:r>
        <w:rPr>
          <w:rFonts w:hint="eastAsia"/>
          <w:sz w:val="28"/>
        </w:rPr>
        <w:t>从群众的反馈情况来看，项目美誉度较高，综合管理和治理工作方面取得了一定成效，例如通过对流动人口的登记和服务率的提高，强化了流动人口的自我管理意识；根据《市委办公厅市政府办公厅关于在机构改革中进一步加强计划生育工作的意见》武发办（2013）15号的规定，深入开展“关爱女孩”行动，严厉打击非医学需要的胎儿性别鉴定和非法选择性别的人工终止妊娠（即“两非”）的行为，综合治理出生人口性别比偏高问题，促进男女平等与社会和谐。形成了全社会共同关爱女孩成长的良好社会环境。此外，项目在一定程度上还增强了社区凝聚力，确保了社会稳定，形成建立良好的社区氛围。</w:t>
      </w:r>
    </w:p>
    <w:p w14:paraId="45201DDE">
      <w:pPr>
        <w:spacing w:line="360" w:lineRule="auto"/>
        <w:ind w:firstLine="560" w:firstLineChars="200"/>
        <w:rPr>
          <w:rFonts w:hint="eastAsia"/>
          <w:sz w:val="28"/>
        </w:rPr>
      </w:pPr>
      <w:r>
        <w:rPr>
          <w:rFonts w:hint="eastAsia"/>
          <w:sz w:val="28"/>
        </w:rPr>
        <w:t>（3）社会公众或服务对象满意度指标</w:t>
      </w:r>
    </w:p>
    <w:p w14:paraId="420C66AA">
      <w:pPr>
        <w:spacing w:line="360" w:lineRule="auto"/>
        <w:ind w:firstLine="560" w:firstLineChars="200"/>
        <w:rPr>
          <w:rFonts w:hint="eastAsia"/>
          <w:sz w:val="28"/>
        </w:rPr>
      </w:pPr>
      <w:r>
        <w:rPr>
          <w:rFonts w:hint="eastAsia"/>
          <w:sz w:val="28"/>
        </w:rPr>
        <w:t>社会公众或服务对象满意度为80%-90%，其中社区居民满意度85%，辖区妇女满意度80%，流动人口满意度80%，居民对计划生育工作满意度80%。绝大多数居民对计生工作的需求能及时得到满足，知悉和配合计生宣传工作并能中获益，并希望以后继续参与其中并与社区计生工作人员建立了良好的关系；少数居民反响平平，参与积极性不高，对计生工作的认识和计生知识了解不够，所以扩大计生服务的影响力仍是今后计生工作的重点之一。</w:t>
      </w:r>
    </w:p>
    <w:p w14:paraId="1D91CDE7">
      <w:pPr>
        <w:spacing w:line="360" w:lineRule="auto"/>
        <w:ind w:firstLine="560" w:firstLineChars="200"/>
        <w:rPr>
          <w:rFonts w:hint="eastAsia"/>
          <w:sz w:val="28"/>
        </w:rPr>
      </w:pPr>
    </w:p>
    <w:p w14:paraId="761C403D">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266C99DB">
      <w:pPr>
        <w:spacing w:line="360" w:lineRule="auto"/>
        <w:ind w:firstLine="560" w:firstLineChars="200"/>
        <w:rPr>
          <w:sz w:val="28"/>
        </w:rPr>
      </w:pPr>
      <w:r>
        <w:rPr>
          <w:rFonts w:hint="eastAsia" w:ascii="楷体_GB2312" w:eastAsia="楷体_GB2312"/>
          <w:sz w:val="28"/>
        </w:rPr>
        <w:t>（一）自评结论</w:t>
      </w:r>
    </w:p>
    <w:p w14:paraId="51378616">
      <w:pPr>
        <w:spacing w:line="360" w:lineRule="auto"/>
        <w:ind w:firstLine="560" w:firstLineChars="200"/>
        <w:rPr>
          <w:rFonts w:hint="eastAsia"/>
          <w:sz w:val="28"/>
        </w:rPr>
      </w:pPr>
      <w:r>
        <w:rPr>
          <w:rFonts w:hint="eastAsia"/>
          <w:sz w:val="28"/>
        </w:rPr>
        <w:t>“项目投入”方面，作为计生事业经费，依照高新区组织要求，为确保九峰街道办事处计生办工作顺利开展，经费有保障，在2016年度批复预算基础上稍作增加，预算申报金额为74.34万元，预算批复金额147.04万元，实际支出金额为</w:t>
      </w:r>
      <w:r>
        <w:rPr>
          <w:sz w:val="28"/>
        </w:rPr>
        <w:t>142</w:t>
      </w:r>
      <w:r>
        <w:rPr>
          <w:rFonts w:hint="eastAsia"/>
          <w:sz w:val="28"/>
        </w:rPr>
        <w:t>.</w:t>
      </w:r>
      <w:r>
        <w:rPr>
          <w:sz w:val="28"/>
        </w:rPr>
        <w:t>74</w:t>
      </w:r>
      <w:r>
        <w:rPr>
          <w:rFonts w:hint="eastAsia"/>
          <w:sz w:val="28"/>
        </w:rPr>
        <w:t>万元，2017年实际预算执行率为97.08%，预算执行率较高但测算准确率欠佳，故“项目投入”扣1分，得19分。</w:t>
      </w:r>
    </w:p>
    <w:p w14:paraId="370C734D">
      <w:pPr>
        <w:spacing w:line="360" w:lineRule="auto"/>
        <w:ind w:firstLine="560" w:firstLineChars="200"/>
        <w:rPr>
          <w:rFonts w:hint="eastAsia"/>
          <w:sz w:val="28"/>
        </w:rPr>
      </w:pPr>
      <w:r>
        <w:rPr>
          <w:rFonts w:hint="eastAsia"/>
          <w:sz w:val="28"/>
        </w:rPr>
        <w:t>“过程管理”方面，计生工作的其他基础资料完整，计生工作的阶段性质量控制、工作总结、自我评价均得到了落实。在经费财务管理方面，除前述测算准确率有待提高外，支出内容合理，支付手续齐全，会计核算规范。因此，“项目管理”获满分20分。</w:t>
      </w:r>
    </w:p>
    <w:p w14:paraId="719C9442">
      <w:pPr>
        <w:spacing w:line="360" w:lineRule="auto"/>
        <w:ind w:firstLine="560" w:firstLineChars="200"/>
        <w:rPr>
          <w:rFonts w:hint="eastAsia"/>
          <w:sz w:val="28"/>
        </w:rPr>
      </w:pPr>
      <w:r>
        <w:rPr>
          <w:rFonts w:hint="eastAsia"/>
          <w:sz w:val="28"/>
        </w:rPr>
        <w:t>“项目产出”方面，计生办在补贴发放、补贴覆盖和项目时效工作上完成较好，均获得了5分，但在活动次数、信息覆盖和管理覆盖方面，均有提升空间，故根据各项完成比率打分情况，“项目产出”扣4分，得26分。</w:t>
      </w:r>
    </w:p>
    <w:p w14:paraId="11DD6E03">
      <w:pPr>
        <w:spacing w:line="360" w:lineRule="auto"/>
        <w:ind w:firstLine="560" w:firstLineChars="200"/>
        <w:rPr>
          <w:rFonts w:hint="eastAsia"/>
          <w:sz w:val="28"/>
        </w:rPr>
      </w:pPr>
      <w:r>
        <w:rPr>
          <w:rFonts w:hint="eastAsia"/>
          <w:sz w:val="28"/>
        </w:rPr>
        <w:t>“项目效果”方面，计生办开展的一系列计生工作均取得了良好的影响，特别是在群众生活质量和健康状况的改善方面；受客观因素限制，计生服务管理水平的提高情况、可持续影响和社会公众或服务对象满意度指标方面效果欠佳，均扣1分，“项目产出”得27分。</w:t>
      </w:r>
    </w:p>
    <w:p w14:paraId="6204774D">
      <w:pPr>
        <w:spacing w:line="360" w:lineRule="auto"/>
        <w:ind w:firstLine="560" w:firstLineChars="200"/>
        <w:rPr>
          <w:rFonts w:hint="eastAsia"/>
          <w:sz w:val="28"/>
        </w:rPr>
      </w:pPr>
      <w:r>
        <w:rPr>
          <w:rFonts w:hint="eastAsia"/>
          <w:sz w:val="28"/>
        </w:rPr>
        <w:t>综上，九峰街道办事处计划生育办公室2017年“计生事业经费”绩效自评综合得分92分，绩效评价结果为“优秀”。</w:t>
      </w:r>
    </w:p>
    <w:p w14:paraId="7CBE8446">
      <w:pPr>
        <w:spacing w:line="360" w:lineRule="auto"/>
        <w:ind w:firstLine="560" w:firstLineChars="200"/>
        <w:rPr>
          <w:rFonts w:ascii="楷体_GB2312" w:eastAsia="楷体_GB2312"/>
          <w:sz w:val="28"/>
        </w:rPr>
      </w:pPr>
      <w:r>
        <w:rPr>
          <w:rFonts w:hint="eastAsia" w:ascii="楷体_GB2312" w:eastAsia="楷体_GB2312"/>
          <w:sz w:val="28"/>
        </w:rPr>
        <w:t>（二）主要经验，存在的问题和改进措施</w:t>
      </w:r>
    </w:p>
    <w:p w14:paraId="3A367D12">
      <w:pPr>
        <w:spacing w:line="360" w:lineRule="auto"/>
        <w:ind w:firstLine="560" w:firstLineChars="200"/>
        <w:rPr>
          <w:rFonts w:hint="eastAsia"/>
          <w:sz w:val="28"/>
        </w:rPr>
      </w:pPr>
      <w:r>
        <w:rPr>
          <w:rFonts w:hint="eastAsia"/>
          <w:sz w:val="28"/>
        </w:rPr>
        <w:t>1.主要经验</w:t>
      </w:r>
    </w:p>
    <w:p w14:paraId="0454FDDE">
      <w:pPr>
        <w:spacing w:line="360" w:lineRule="auto"/>
        <w:ind w:firstLine="560" w:firstLineChars="200"/>
        <w:rPr>
          <w:rFonts w:hint="eastAsia"/>
          <w:sz w:val="28"/>
        </w:rPr>
      </w:pPr>
      <w:r>
        <w:rPr>
          <w:rFonts w:hint="eastAsia"/>
          <w:sz w:val="28"/>
        </w:rPr>
        <w:t>（1）强化便民服务理念，努力提高优质服务水平</w:t>
      </w:r>
    </w:p>
    <w:p w14:paraId="419EFF35">
      <w:pPr>
        <w:spacing w:line="360" w:lineRule="auto"/>
        <w:ind w:firstLine="560" w:firstLineChars="200"/>
        <w:rPr>
          <w:rFonts w:hint="eastAsia"/>
          <w:sz w:val="28"/>
        </w:rPr>
      </w:pPr>
      <w:r>
        <w:rPr>
          <w:rFonts w:hint="eastAsia"/>
          <w:sz w:val="28"/>
        </w:rPr>
        <w:t>在落实一孩二孩生育服务登记工作中，对群众有需要的，由社区主动为群众发放《生育服务证》。进一步简化和规范再生育审批，取消各类前置条件，大力推行网上办证和凭群众承诺办理制度。通过各类系统和途径，主动核实申请人的婚育信息，确保群众对计划生育工作的满意率。在发放证件的同时，积极对新婚夫妇、计划怀孕夫妇宣传优生优育、出生缺陷预防知识，主动提供免费孕前优生健康检查等相关信息，促进育龄群众自觉参与，全面落实免费孕前优生健康检查服务，使办证工作与为群众提供计划生育各项服务得到有效结合，真正寓管理于服务之中。2017年2月28日，召开了计生优质服务月活动动员会，发动各社区大力开展好计生优质服务工作。3月1日至3月23日，在全街开展了为期23天的免费生殖健康检查活动，辖区参检人数达2399人。</w:t>
      </w:r>
    </w:p>
    <w:p w14:paraId="7B129586">
      <w:pPr>
        <w:spacing w:line="360" w:lineRule="auto"/>
        <w:ind w:firstLine="560" w:firstLineChars="200"/>
        <w:rPr>
          <w:rFonts w:hint="eastAsia"/>
          <w:sz w:val="28"/>
        </w:rPr>
      </w:pPr>
      <w:r>
        <w:rPr>
          <w:rFonts w:hint="eastAsia"/>
          <w:sz w:val="28"/>
        </w:rPr>
        <w:t>（2）大力推进均等化服务，创建流动人口健康促进示范单位</w:t>
      </w:r>
    </w:p>
    <w:p w14:paraId="24641358">
      <w:pPr>
        <w:spacing w:line="360" w:lineRule="auto"/>
        <w:ind w:firstLine="560" w:firstLineChars="200"/>
        <w:rPr>
          <w:rFonts w:hint="eastAsia"/>
          <w:sz w:val="28"/>
        </w:rPr>
      </w:pPr>
      <w:r>
        <w:rPr>
          <w:rFonts w:hint="eastAsia"/>
          <w:sz w:val="28"/>
        </w:rPr>
        <w:t>按照高新区卫生计生局的要求，组织并引导流动人口在健康方面进行自我教育、自我管理和自我服务。2017年元旦、春节期间，街道结合流动人口“暖在江城”行动，开展了系列宣传服务活动。在街道辖区为流动人口提供免费义诊、免费卫生计生知识培训、免费送春联等服务活动。现场发放宣传资料共计1300多份，宣传品4136份，发放避孕药具152盒，接待前来咨询政策的群众100多人。通过活动，进一步提升了服务质量，有效促进了计生业务规范化管理。</w:t>
      </w:r>
    </w:p>
    <w:p w14:paraId="50932714">
      <w:pPr>
        <w:spacing w:line="360" w:lineRule="auto"/>
        <w:ind w:firstLine="560" w:firstLineChars="200"/>
        <w:rPr>
          <w:rFonts w:hint="eastAsia"/>
          <w:sz w:val="28"/>
        </w:rPr>
      </w:pPr>
      <w:r>
        <w:rPr>
          <w:rFonts w:hint="eastAsia"/>
          <w:sz w:val="28"/>
        </w:rPr>
        <w:t>（3）全面提升帮扶力度，真情关爱计生特殊困难家庭</w:t>
      </w:r>
    </w:p>
    <w:p w14:paraId="7072726E">
      <w:pPr>
        <w:spacing w:line="360" w:lineRule="auto"/>
        <w:ind w:firstLine="560" w:firstLineChars="200"/>
        <w:rPr>
          <w:rFonts w:hint="eastAsia"/>
          <w:sz w:val="28"/>
        </w:rPr>
      </w:pPr>
      <w:r>
        <w:rPr>
          <w:rFonts w:hint="eastAsia"/>
          <w:sz w:val="28"/>
        </w:rPr>
        <w:t>认真落实省、市、区有关计划生育特殊困难家庭的文件要求。一是落实联系人制度。以2017年两节期间走访慰问为契机，全面清理计生特殊家庭的信息，完善帮扶档案，确定了一名街道干部、一名社区干部和一名社区计生专干或网格员为帮扶联系人，制作并发放了联系人帮扶卡。二是落实就医绿色通道。及时将优诊服务卡发放到对象手中，为辖区4名特扶对象提供了免费健康体检服务。三是落实扶助政策。2017年度新增特扶对象7名。各项扶助政策均已落实到位。</w:t>
      </w:r>
    </w:p>
    <w:p w14:paraId="18EC0179">
      <w:pPr>
        <w:spacing w:line="360" w:lineRule="auto"/>
        <w:ind w:firstLine="560" w:firstLineChars="200"/>
        <w:rPr>
          <w:rFonts w:hint="eastAsia"/>
          <w:sz w:val="28"/>
        </w:rPr>
      </w:pPr>
      <w:r>
        <w:rPr>
          <w:rFonts w:hint="eastAsia"/>
          <w:sz w:val="28"/>
        </w:rPr>
        <w:t>2.存在的问题</w:t>
      </w:r>
    </w:p>
    <w:p w14:paraId="5AA9A555">
      <w:pPr>
        <w:spacing w:line="360" w:lineRule="auto"/>
        <w:ind w:firstLine="560" w:firstLineChars="200"/>
        <w:rPr>
          <w:rFonts w:hint="eastAsia"/>
          <w:sz w:val="28"/>
        </w:rPr>
      </w:pPr>
      <w:r>
        <w:rPr>
          <w:rFonts w:hint="eastAsia"/>
          <w:sz w:val="28"/>
        </w:rPr>
        <w:t>信息采集的有效性是现阶段工作的主要难点，特别是在开展综合治理工作过程中，计划生育办公室尽管加大了对打击“两非”的宣传力度，也强化了对孕情的跟踪管理，但由于街道没由相应的执法权和执法队伍，且辖区居民自我保护意识强，工作人员难以入户，故对“两非”案源的寻找和甄别较困难。</w:t>
      </w:r>
    </w:p>
    <w:p w14:paraId="57B74045">
      <w:pPr>
        <w:spacing w:line="360" w:lineRule="auto"/>
        <w:ind w:firstLine="560" w:firstLineChars="200"/>
        <w:rPr>
          <w:rFonts w:hint="eastAsia"/>
          <w:sz w:val="28"/>
        </w:rPr>
      </w:pPr>
      <w:r>
        <w:rPr>
          <w:rFonts w:hint="eastAsia"/>
          <w:sz w:val="28"/>
        </w:rPr>
        <w:t>3.改进措施</w:t>
      </w:r>
    </w:p>
    <w:p w14:paraId="752475EB">
      <w:pPr>
        <w:spacing w:line="360" w:lineRule="auto"/>
        <w:ind w:firstLine="560" w:firstLineChars="200"/>
        <w:rPr>
          <w:rFonts w:hint="eastAsia"/>
          <w:sz w:val="28"/>
        </w:rPr>
      </w:pPr>
      <w:r>
        <w:rPr>
          <w:rFonts w:hint="eastAsia"/>
          <w:sz w:val="28"/>
        </w:rPr>
        <w:t>（1）进一步加强信息化建设。坚持求真务实，加强部门之间信息交流共享，及时准确掌握育龄群众婚、孕、育信息，全面提升信息共享水平和全员人口数据质量。</w:t>
      </w:r>
    </w:p>
    <w:p w14:paraId="1B774AED">
      <w:pPr>
        <w:spacing w:line="360" w:lineRule="auto"/>
        <w:ind w:firstLine="560" w:firstLineChars="200"/>
        <w:rPr>
          <w:rFonts w:hint="eastAsia"/>
          <w:sz w:val="28"/>
        </w:rPr>
      </w:pPr>
      <w:r>
        <w:rPr>
          <w:rFonts w:hint="eastAsia"/>
          <w:sz w:val="28"/>
        </w:rPr>
        <w:t>（2）深入推进计划生育服务管理转型。要求社区以服务为主，主动服务、贴心服务、精准服务，把工作做到人民群众最需要的地方，不断提高群众对计划生育工作的满意度。</w:t>
      </w:r>
    </w:p>
    <w:p w14:paraId="54F5D91A">
      <w:pPr>
        <w:spacing w:line="360" w:lineRule="auto"/>
        <w:ind w:firstLine="560" w:firstLineChars="200"/>
        <w:rPr>
          <w:rFonts w:hint="eastAsia"/>
          <w:sz w:val="28"/>
        </w:rPr>
      </w:pPr>
      <w:r>
        <w:rPr>
          <w:rFonts w:hint="eastAsia"/>
          <w:sz w:val="28"/>
        </w:rPr>
        <w:t>（3）努力提升街道流动人口服务管理水平。扎实推进全员流动人口统计信息工作，提升全员流动人口信息化水平和全员流动人口主要信息准确率。积极开展以关爱流动人口为主题的宣传服务活动，全面普及计生政策法规、家庭保健、避孕节育等知识，不断提高流动人口计划生育、优生优育的能力，真正将流动人口公共服务均等化工作落到实处。</w:t>
      </w:r>
    </w:p>
    <w:p w14:paraId="162B231B">
      <w:pPr>
        <w:spacing w:line="360" w:lineRule="auto"/>
        <w:ind w:firstLine="560" w:firstLineChars="200"/>
        <w:rPr>
          <w:rFonts w:hint="eastAsia"/>
          <w:sz w:val="28"/>
        </w:rPr>
      </w:pPr>
      <w:r>
        <w:rPr>
          <w:rFonts w:hint="eastAsia"/>
          <w:sz w:val="28"/>
        </w:rPr>
        <w:t>（4）扎实推进示范点创建。以夯实基层计划生育工作基础为着力点，结合街道实际，选择条件成熟的多个社区，努力推进示范点创建，积极打造亮点，着力构建充满诚信、阳光、和谐的计生体系。</w:t>
      </w:r>
    </w:p>
    <w:p w14:paraId="7F023CDF">
      <w:pPr>
        <w:pStyle w:val="9"/>
        <w:widowControl w:val="0"/>
        <w:numPr>
          <w:ilvl w:val="0"/>
          <w:numId w:val="0"/>
        </w:numPr>
        <w:tabs>
          <w:tab w:val="left" w:pos="993"/>
          <w:tab w:val="left" w:pos="1418"/>
        </w:tabs>
        <w:spacing w:line="600" w:lineRule="exact"/>
        <w:jc w:val="left"/>
        <w:rPr>
          <w:rFonts w:hint="eastAsia"/>
          <w:sz w:val="28"/>
        </w:rPr>
      </w:pPr>
    </w:p>
    <w:p w14:paraId="2C57A9D5">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5C9C28D9">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012C5A88">
      <w:pPr>
        <w:rPr>
          <w:rFonts w:hint="eastAsia"/>
          <w:sz w:val="32"/>
          <w:szCs w:val="32"/>
        </w:rPr>
      </w:pPr>
    </w:p>
    <w:p w14:paraId="54D89402">
      <w:pPr>
        <w:rPr>
          <w:rFonts w:hint="eastAsia"/>
          <w:sz w:val="32"/>
          <w:szCs w:val="32"/>
        </w:rPr>
      </w:pPr>
    </w:p>
    <w:p w14:paraId="4C3B556E">
      <w:pPr>
        <w:rPr>
          <w:rFonts w:hint="eastAsia"/>
          <w:sz w:val="32"/>
          <w:szCs w:val="32"/>
        </w:rPr>
      </w:pPr>
    </w:p>
    <w:p w14:paraId="209B2B73">
      <w:pPr>
        <w:rPr>
          <w:rFonts w:hint="eastAsia"/>
          <w:sz w:val="32"/>
          <w:szCs w:val="32"/>
        </w:rPr>
      </w:pPr>
    </w:p>
    <w:p w14:paraId="38EB2955">
      <w:pPr>
        <w:rPr>
          <w:sz w:val="32"/>
          <w:szCs w:val="32"/>
        </w:rPr>
      </w:pPr>
    </w:p>
    <w:p w14:paraId="14FA2B15">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安全生产及维稳经费               </w:t>
      </w:r>
      <w:r>
        <w:rPr>
          <w:sz w:val="32"/>
          <w:szCs w:val="32"/>
          <w:u w:val="single"/>
        </w:rPr>
        <w:t xml:space="preserve"> </w:t>
      </w:r>
      <w:r>
        <w:rPr>
          <w:rFonts w:hint="eastAsia"/>
          <w:sz w:val="32"/>
          <w:szCs w:val="32"/>
          <w:u w:val="single"/>
        </w:rPr>
        <w:t xml:space="preserve"> </w:t>
      </w:r>
    </w:p>
    <w:p w14:paraId="56EA6CC3">
      <w:pPr>
        <w:ind w:left="420" w:leftChars="200"/>
        <w:rPr>
          <w:sz w:val="32"/>
          <w:szCs w:val="32"/>
        </w:rPr>
      </w:pPr>
      <w:r>
        <w:rPr>
          <w:rFonts w:hint="eastAsia"/>
          <w:sz w:val="32"/>
          <w:szCs w:val="32"/>
        </w:rPr>
        <w:t>项目单位：</w:t>
      </w:r>
      <w:r>
        <w:rPr>
          <w:rFonts w:hint="eastAsia"/>
          <w:sz w:val="32"/>
          <w:szCs w:val="32"/>
          <w:u w:val="single"/>
        </w:rPr>
        <w:t xml:space="preserve">武汉东湖新技术开发区九峰街道办事处 </w:t>
      </w:r>
    </w:p>
    <w:p w14:paraId="5E3C8BCA">
      <w:pPr>
        <w:ind w:left="420" w:leftChars="200"/>
        <w:rPr>
          <w:sz w:val="32"/>
          <w:szCs w:val="32"/>
          <w:u w:val="single"/>
        </w:rPr>
      </w:pPr>
      <w:r>
        <w:rPr>
          <w:rFonts w:hint="eastAsia"/>
          <w:sz w:val="32"/>
          <w:szCs w:val="32"/>
        </w:rPr>
        <w:t>区财政局主管业务科室；</w:t>
      </w:r>
      <w:r>
        <w:rPr>
          <w:rFonts w:hint="eastAsia"/>
          <w:sz w:val="32"/>
          <w:szCs w:val="32"/>
          <w:u w:val="single"/>
        </w:rPr>
        <w:t xml:space="preserve">       （盖章）      </w:t>
      </w:r>
      <w:r>
        <w:rPr>
          <w:sz w:val="32"/>
          <w:szCs w:val="32"/>
          <w:u w:val="single"/>
        </w:rPr>
        <w:t xml:space="preserve"> </w:t>
      </w:r>
      <w:r>
        <w:rPr>
          <w:rFonts w:hint="eastAsia"/>
          <w:sz w:val="32"/>
          <w:szCs w:val="32"/>
          <w:u w:val="single"/>
        </w:rPr>
        <w:t xml:space="preserve"> </w:t>
      </w:r>
    </w:p>
    <w:p w14:paraId="2EEF3099">
      <w:pPr>
        <w:ind w:left="420" w:leftChars="200"/>
        <w:rPr>
          <w:rFonts w:hint="eastAsia"/>
          <w:sz w:val="32"/>
          <w:szCs w:val="32"/>
        </w:rPr>
      </w:pPr>
      <w:r>
        <w:rPr>
          <w:rFonts w:hint="eastAsia"/>
          <w:sz w:val="32"/>
          <w:szCs w:val="32"/>
        </w:rPr>
        <w:t>评价机构：</w:t>
      </w:r>
      <w:r>
        <w:rPr>
          <w:rFonts w:hint="eastAsia"/>
          <w:sz w:val="32"/>
          <w:szCs w:val="32"/>
          <w:u w:val="single"/>
        </w:rPr>
        <w:t xml:space="preserve">武汉康力会计师事务有限责任公司 </w:t>
      </w:r>
      <w:r>
        <w:rPr>
          <w:sz w:val="32"/>
          <w:szCs w:val="32"/>
          <w:u w:val="single"/>
        </w:rPr>
        <w:t xml:space="preserve">    </w:t>
      </w:r>
    </w:p>
    <w:p w14:paraId="19AD2686">
      <w:pPr>
        <w:rPr>
          <w:sz w:val="32"/>
          <w:szCs w:val="32"/>
        </w:rPr>
      </w:pPr>
    </w:p>
    <w:p w14:paraId="3472D09A">
      <w:pPr>
        <w:rPr>
          <w:rFonts w:hint="eastAsia"/>
          <w:sz w:val="32"/>
          <w:szCs w:val="32"/>
        </w:rPr>
      </w:pPr>
    </w:p>
    <w:p w14:paraId="7662F156">
      <w:pPr>
        <w:rPr>
          <w:rFonts w:hint="eastAsia"/>
          <w:sz w:val="32"/>
          <w:szCs w:val="32"/>
        </w:rPr>
      </w:pPr>
    </w:p>
    <w:p w14:paraId="0B50093C">
      <w:pPr>
        <w:rPr>
          <w:rFonts w:hint="eastAsia"/>
          <w:sz w:val="32"/>
          <w:szCs w:val="32"/>
        </w:rPr>
      </w:pPr>
    </w:p>
    <w:p w14:paraId="14B0D866">
      <w:pPr>
        <w:rPr>
          <w:sz w:val="32"/>
          <w:szCs w:val="32"/>
        </w:rPr>
      </w:pPr>
    </w:p>
    <w:p w14:paraId="0465D876">
      <w:pPr>
        <w:rPr>
          <w:rFonts w:hint="eastAsia"/>
          <w:sz w:val="32"/>
          <w:szCs w:val="32"/>
        </w:rPr>
      </w:pPr>
    </w:p>
    <w:p w14:paraId="697CE2E9">
      <w:pPr>
        <w:jc w:val="center"/>
        <w:rPr>
          <w:sz w:val="32"/>
          <w:szCs w:val="32"/>
        </w:rPr>
      </w:pPr>
      <w:r>
        <w:rPr>
          <w:rFonts w:hint="eastAsia"/>
          <w:sz w:val="32"/>
          <w:szCs w:val="32"/>
        </w:rPr>
        <w:t>二零一八年五月</w:t>
      </w:r>
    </w:p>
    <w:p w14:paraId="095A9A23">
      <w:pPr>
        <w:spacing w:line="360" w:lineRule="auto"/>
        <w:ind w:firstLine="640" w:firstLineChars="200"/>
        <w:rPr>
          <w:rFonts w:hint="eastAsia" w:ascii="黑体" w:hAnsi="黑体" w:eastAsia="黑体"/>
          <w:b/>
          <w:sz w:val="30"/>
          <w:szCs w:val="30"/>
        </w:rPr>
      </w:pPr>
      <w:r>
        <w:rPr>
          <w:sz w:val="32"/>
          <w:szCs w:val="32"/>
        </w:rPr>
        <w:br w:type="page"/>
      </w:r>
      <w:r>
        <w:rPr>
          <w:rFonts w:hint="eastAsia" w:ascii="黑体" w:hAnsi="黑体" w:eastAsia="黑体"/>
          <w:b/>
          <w:sz w:val="30"/>
          <w:szCs w:val="30"/>
        </w:rPr>
        <w:t>一、项目基本情况</w:t>
      </w:r>
    </w:p>
    <w:p w14:paraId="65AC7888">
      <w:pPr>
        <w:spacing w:line="360" w:lineRule="auto"/>
        <w:ind w:firstLine="560" w:firstLineChars="200"/>
        <w:rPr>
          <w:sz w:val="28"/>
        </w:rPr>
      </w:pPr>
      <w:r>
        <w:rPr>
          <w:rFonts w:hint="eastAsia"/>
          <w:sz w:val="28"/>
        </w:rPr>
        <w:t>（一）项目概况</w:t>
      </w:r>
    </w:p>
    <w:p w14:paraId="2E0A0B7C">
      <w:pPr>
        <w:spacing w:line="360" w:lineRule="auto"/>
        <w:ind w:firstLine="560" w:firstLineChars="200"/>
        <w:rPr>
          <w:rFonts w:hint="eastAsia"/>
          <w:sz w:val="28"/>
        </w:rPr>
      </w:pPr>
      <w:r>
        <w:rPr>
          <w:rFonts w:hint="eastAsia"/>
          <w:sz w:val="28"/>
        </w:rPr>
        <w:t>九峰街道办事处安全生产及维稳经费由武汉东湖新技术开发区九峰街道办事处设立，项目意在解决综合治理流动人口协管员经费，巡防辖区重点工程，集镇管理，还建社区治安综合管理，安装社区小区监控探头；解决信访专干业务培训，经济、民事纠纷协调，处理来信、来访、市长专线等突发事件；解决安全监管工作，安全生产工作规范化建设，消防工作；解决司法调解工作、社区矫正工作、普法工作、安置帮教工作；解决食品安全工作中市场巡查，食品安全培训及卫生创建工作。</w:t>
      </w:r>
    </w:p>
    <w:p w14:paraId="7627BF26">
      <w:pPr>
        <w:spacing w:line="360" w:lineRule="auto"/>
        <w:ind w:firstLine="560" w:firstLineChars="200"/>
        <w:rPr>
          <w:rFonts w:hint="eastAsia"/>
          <w:bCs/>
          <w:sz w:val="30"/>
          <w:szCs w:val="30"/>
        </w:rPr>
      </w:pPr>
      <w:r>
        <w:rPr>
          <w:rFonts w:hint="eastAsia"/>
          <w:sz w:val="28"/>
        </w:rPr>
        <w:t>项目经费预算</w:t>
      </w:r>
      <w:r>
        <w:rPr>
          <w:sz w:val="28"/>
        </w:rPr>
        <w:t>125</w:t>
      </w:r>
      <w:r>
        <w:rPr>
          <w:rFonts w:hint="eastAsia"/>
          <w:sz w:val="28"/>
        </w:rPr>
        <w:t>万元，</w:t>
      </w:r>
      <w:r>
        <w:rPr>
          <w:rFonts w:hint="eastAsia"/>
          <w:bCs/>
          <w:sz w:val="30"/>
          <w:szCs w:val="30"/>
        </w:rPr>
        <w:t xml:space="preserve"> 其中：</w:t>
      </w:r>
    </w:p>
    <w:p w14:paraId="7C29DB44">
      <w:pPr>
        <w:spacing w:line="360" w:lineRule="auto"/>
        <w:ind w:firstLine="560" w:firstLineChars="200"/>
        <w:rPr>
          <w:rFonts w:hint="eastAsia"/>
          <w:sz w:val="28"/>
        </w:rPr>
      </w:pPr>
      <w:r>
        <w:rPr>
          <w:rFonts w:hint="eastAsia"/>
          <w:sz w:val="28"/>
        </w:rPr>
        <w:t>1、综合治理经费81.04万元，用于专项治理32.45万元（含根据武财社【2009】457号，九峰街道办事处聘请8名流动人口协管员每人工资加各项保险和福利,共计每人基本工资2200元/人.月、社保补贴959.45元/人.月、公积金220元/人.月，全年合计32.45万元）。</w:t>
      </w:r>
    </w:p>
    <w:p w14:paraId="62D9FA40">
      <w:pPr>
        <w:spacing w:line="360" w:lineRule="auto"/>
        <w:ind w:firstLine="560" w:firstLineChars="200"/>
        <w:rPr>
          <w:rFonts w:hint="eastAsia"/>
          <w:sz w:val="28"/>
        </w:rPr>
      </w:pPr>
      <w:r>
        <w:rPr>
          <w:rFonts w:hint="eastAsia"/>
          <w:sz w:val="28"/>
        </w:rPr>
        <w:t>各项综合治理专项48.59万元：用于巡防辖区重点工程、集镇管理、还建社区治安综合管理、“平安社区”创建、反邪教反传销工作、禁毒工作及学校周边及网吧治理以及为了弥补人力管理资源缺乏效率低的缺点，提高社区治安管理的范围和效率，安装景源里、明畅里等六个社区小区监控探头，构建统一的一体化安防综合监控管理平台。</w:t>
      </w:r>
    </w:p>
    <w:p w14:paraId="1C8305DC">
      <w:pPr>
        <w:spacing w:line="360" w:lineRule="auto"/>
        <w:ind w:firstLine="560" w:firstLineChars="200"/>
        <w:rPr>
          <w:rFonts w:hint="eastAsia"/>
          <w:sz w:val="28"/>
        </w:rPr>
      </w:pPr>
      <w:r>
        <w:rPr>
          <w:rFonts w:hint="eastAsia"/>
          <w:sz w:val="28"/>
        </w:rPr>
        <w:t xml:space="preserve"> 2、信访维稳经费12.56万元。</w:t>
      </w:r>
    </w:p>
    <w:p w14:paraId="138E6BA8">
      <w:pPr>
        <w:spacing w:line="360" w:lineRule="auto"/>
        <w:ind w:firstLine="560" w:firstLineChars="200"/>
        <w:rPr>
          <w:rFonts w:hint="eastAsia"/>
          <w:sz w:val="28"/>
        </w:rPr>
      </w:pPr>
      <w:r>
        <w:rPr>
          <w:rFonts w:hint="eastAsia"/>
          <w:sz w:val="28"/>
        </w:rPr>
        <w:t>用于信访专干业务培训及工作例会全年共计2.5万元。</w:t>
      </w:r>
    </w:p>
    <w:p w14:paraId="52A84986">
      <w:pPr>
        <w:spacing w:line="360" w:lineRule="auto"/>
        <w:ind w:firstLine="560" w:firstLineChars="200"/>
        <w:rPr>
          <w:rFonts w:hint="eastAsia"/>
          <w:sz w:val="28"/>
        </w:rPr>
      </w:pPr>
      <w:r>
        <w:rPr>
          <w:rFonts w:hint="eastAsia"/>
          <w:sz w:val="28"/>
        </w:rPr>
        <w:t>信访工作人员住宿、生活补助特殊时期值守（京、省、市）年实际支出3.55万元（上级规定补助标准）。</w:t>
      </w:r>
    </w:p>
    <w:p w14:paraId="114F301B">
      <w:pPr>
        <w:spacing w:line="360" w:lineRule="auto"/>
        <w:ind w:firstLine="560" w:firstLineChars="200"/>
        <w:rPr>
          <w:rFonts w:hint="eastAsia"/>
          <w:sz w:val="28"/>
        </w:rPr>
      </w:pPr>
      <w:r>
        <w:rPr>
          <w:rFonts w:hint="eastAsia"/>
          <w:sz w:val="28"/>
        </w:rPr>
        <w:t>信访工作规范化建设（档案及设施建设，各项制度程序上墙、稳定工作排查、处理活动及对人民来信来访进行调查核实办案费）6.51万元。</w:t>
      </w:r>
    </w:p>
    <w:p w14:paraId="1DAF109D">
      <w:pPr>
        <w:spacing w:line="360" w:lineRule="auto"/>
        <w:ind w:firstLine="560" w:firstLineChars="200"/>
        <w:rPr>
          <w:rFonts w:hint="eastAsia"/>
          <w:sz w:val="28"/>
        </w:rPr>
      </w:pPr>
      <w:r>
        <w:rPr>
          <w:rFonts w:hint="eastAsia"/>
          <w:sz w:val="28"/>
        </w:rPr>
        <w:t>3、安全生产、消防专项工作经费9.22万元。用于安全监管工作人员岗位津贴8人*500元/月*12月=4.8万元（武安【2012】17号）；安全生产工作规范化建设2.5万元；消防工作1.92万元。（含：消防知识培训、消防宣传资料、消防安全检查等业务）</w:t>
      </w:r>
    </w:p>
    <w:p w14:paraId="7241A95C">
      <w:pPr>
        <w:spacing w:line="360" w:lineRule="auto"/>
        <w:ind w:firstLine="560" w:firstLineChars="200"/>
        <w:rPr>
          <w:rFonts w:hint="eastAsia"/>
          <w:sz w:val="28"/>
        </w:rPr>
      </w:pPr>
      <w:r>
        <w:rPr>
          <w:rFonts w:hint="eastAsia"/>
          <w:sz w:val="28"/>
        </w:rPr>
        <w:t>4、司法普法专项业务经费17.18万元。</w:t>
      </w:r>
    </w:p>
    <w:p w14:paraId="045DD74A">
      <w:pPr>
        <w:spacing w:line="360" w:lineRule="auto"/>
        <w:ind w:firstLine="560" w:firstLineChars="200"/>
        <w:rPr>
          <w:rFonts w:hint="eastAsia"/>
          <w:sz w:val="28"/>
        </w:rPr>
      </w:pPr>
      <w:r>
        <w:rPr>
          <w:rFonts w:hint="eastAsia"/>
          <w:sz w:val="28"/>
        </w:rPr>
        <w:t>用于司法助理员岗位津贴、人民调解工作、社区矫正工作、普法工作、安置帮教工作7.18万元；</w:t>
      </w:r>
    </w:p>
    <w:p w14:paraId="719F7D9F">
      <w:pPr>
        <w:spacing w:line="360" w:lineRule="auto"/>
        <w:ind w:firstLine="560" w:firstLineChars="200"/>
        <w:rPr>
          <w:rFonts w:hint="eastAsia"/>
          <w:sz w:val="28"/>
        </w:rPr>
      </w:pPr>
      <w:r>
        <w:rPr>
          <w:rFonts w:hint="eastAsia"/>
          <w:sz w:val="28"/>
        </w:rPr>
        <w:t>用于街道聘请法律顾问费、行政诉讼费、律师代理费、律师误工补助及街道设立社区便民法律服务室运转维护费共计10万元。</w:t>
      </w:r>
    </w:p>
    <w:p w14:paraId="02529178">
      <w:pPr>
        <w:spacing w:line="360" w:lineRule="auto"/>
        <w:ind w:firstLine="560" w:firstLineChars="200"/>
        <w:rPr>
          <w:rFonts w:hint="eastAsia"/>
          <w:sz w:val="28"/>
        </w:rPr>
      </w:pPr>
      <w:r>
        <w:rPr>
          <w:rFonts w:hint="eastAsia"/>
          <w:sz w:val="28"/>
        </w:rPr>
        <w:t xml:space="preserve"> 5、食品安全专项5万元。用于卫生创建工作经费2万元 ；食品安全工作经费3万元</w:t>
      </w:r>
    </w:p>
    <w:p w14:paraId="59F9B75D">
      <w:pPr>
        <w:spacing w:line="360" w:lineRule="auto"/>
        <w:ind w:firstLine="560" w:firstLineChars="200"/>
        <w:rPr>
          <w:rFonts w:hint="eastAsia"/>
          <w:sz w:val="28"/>
        </w:rPr>
      </w:pPr>
      <w:r>
        <w:rPr>
          <w:rFonts w:hint="eastAsia"/>
          <w:sz w:val="28"/>
        </w:rPr>
        <w:t>截止2017年12月31日，经费实际支出125万元。其中，综合治理经费81.04万元，信访稳定专项经费12.56万元，司法普法专项业务费17.18万元，食品安全经费5万元，安全生产、消防专项工作经费9.22万元。</w:t>
      </w:r>
    </w:p>
    <w:p w14:paraId="2BBD9EBB">
      <w:pPr>
        <w:spacing w:line="360" w:lineRule="auto"/>
        <w:ind w:firstLine="560" w:firstLineChars="200"/>
        <w:rPr>
          <w:rFonts w:hint="eastAsia"/>
          <w:sz w:val="28"/>
        </w:rPr>
      </w:pPr>
      <w:r>
        <w:rPr>
          <w:rFonts w:hint="eastAsia"/>
          <w:sz w:val="28"/>
        </w:rPr>
        <w:t>（二）项目预算绩效目标</w:t>
      </w:r>
    </w:p>
    <w:p w14:paraId="42DCDDC7">
      <w:pPr>
        <w:spacing w:line="360" w:lineRule="auto"/>
        <w:ind w:firstLine="560" w:firstLineChars="200"/>
        <w:rPr>
          <w:sz w:val="28"/>
        </w:rPr>
      </w:pPr>
      <w:r>
        <w:rPr>
          <w:sz w:val="28"/>
        </w:rPr>
        <w:t>1</w:t>
      </w:r>
      <w:r>
        <w:rPr>
          <w:rFonts w:hint="eastAsia"/>
          <w:sz w:val="28"/>
        </w:rPr>
        <w:t>．产出目标</w:t>
      </w:r>
    </w:p>
    <w:p w14:paraId="6FA7F939">
      <w:pPr>
        <w:widowControl/>
        <w:spacing w:line="600" w:lineRule="exact"/>
        <w:ind w:firstLine="560" w:firstLineChars="200"/>
        <w:jc w:val="left"/>
        <w:rPr>
          <w:rFonts w:hint="eastAsia"/>
          <w:sz w:val="28"/>
        </w:rPr>
      </w:pPr>
      <w:r>
        <w:rPr>
          <w:rFonts w:hint="eastAsia"/>
          <w:sz w:val="28"/>
        </w:rPr>
        <w:t>产出目标包括数量指标、质量指标、时效指标和成本指标。</w:t>
      </w:r>
    </w:p>
    <w:p w14:paraId="0E6C8078">
      <w:pPr>
        <w:widowControl/>
        <w:spacing w:line="600" w:lineRule="exact"/>
        <w:ind w:firstLine="560" w:firstLineChars="200"/>
        <w:jc w:val="left"/>
        <w:rPr>
          <w:sz w:val="28"/>
        </w:rPr>
      </w:pPr>
      <w:r>
        <w:rPr>
          <w:rFonts w:hint="eastAsia"/>
          <w:sz w:val="28"/>
        </w:rPr>
        <w:t>（1）数量指标</w:t>
      </w:r>
    </w:p>
    <w:p w14:paraId="50DEA83D">
      <w:pPr>
        <w:widowControl/>
        <w:spacing w:line="600" w:lineRule="exact"/>
        <w:ind w:firstLine="560" w:firstLineChars="200"/>
        <w:jc w:val="left"/>
        <w:rPr>
          <w:sz w:val="28"/>
        </w:rPr>
      </w:pPr>
      <w:r>
        <w:rPr>
          <w:rFonts w:hint="eastAsia"/>
          <w:sz w:val="28"/>
        </w:rPr>
        <w:t>指标内容：按街道办2017年安全生产及维稳目标进行考核。</w:t>
      </w:r>
    </w:p>
    <w:p w14:paraId="5D5CE19D">
      <w:pPr>
        <w:widowControl/>
        <w:spacing w:line="600" w:lineRule="exact"/>
        <w:ind w:firstLine="560" w:firstLineChars="200"/>
        <w:jc w:val="left"/>
        <w:rPr>
          <w:sz w:val="28"/>
        </w:rPr>
      </w:pPr>
      <w:r>
        <w:rPr>
          <w:rFonts w:hint="eastAsia"/>
          <w:sz w:val="28"/>
        </w:rPr>
        <w:t>（2）质量指标：</w:t>
      </w:r>
    </w:p>
    <w:p w14:paraId="77CD8487">
      <w:pPr>
        <w:widowControl/>
        <w:spacing w:line="600" w:lineRule="exact"/>
        <w:ind w:firstLine="560" w:firstLineChars="200"/>
        <w:jc w:val="left"/>
        <w:rPr>
          <w:sz w:val="28"/>
        </w:rPr>
      </w:pPr>
      <w:r>
        <w:rPr>
          <w:rFonts w:hint="eastAsia"/>
          <w:sz w:val="28"/>
        </w:rPr>
        <w:t>指标内容：安全生产及维稳覆盖率，指标值：90%，按安全生产及维稳覆盖率90%进行考核。</w:t>
      </w:r>
    </w:p>
    <w:p w14:paraId="570C7416">
      <w:pPr>
        <w:widowControl/>
        <w:spacing w:line="600" w:lineRule="exact"/>
        <w:ind w:firstLine="560" w:firstLineChars="200"/>
        <w:jc w:val="left"/>
        <w:rPr>
          <w:sz w:val="28"/>
        </w:rPr>
      </w:pPr>
      <w:r>
        <w:rPr>
          <w:rFonts w:hint="eastAsia"/>
          <w:sz w:val="28"/>
        </w:rPr>
        <w:t>（3）时效指标</w:t>
      </w:r>
    </w:p>
    <w:p w14:paraId="649BB58A">
      <w:pPr>
        <w:widowControl/>
        <w:spacing w:line="600" w:lineRule="exact"/>
        <w:ind w:firstLine="560" w:firstLineChars="200"/>
        <w:jc w:val="left"/>
        <w:rPr>
          <w:sz w:val="28"/>
        </w:rPr>
      </w:pPr>
      <w:r>
        <w:rPr>
          <w:rFonts w:hint="eastAsia"/>
          <w:sz w:val="28"/>
        </w:rPr>
        <w:t>指标内容：完成及时率，指标值：100%，按组织活动完成及时率100%进行考核</w:t>
      </w:r>
    </w:p>
    <w:p w14:paraId="0A3C396D">
      <w:pPr>
        <w:widowControl/>
        <w:spacing w:line="600" w:lineRule="exact"/>
        <w:ind w:firstLine="560" w:firstLineChars="200"/>
        <w:jc w:val="left"/>
        <w:rPr>
          <w:sz w:val="28"/>
        </w:rPr>
      </w:pPr>
      <w:r>
        <w:rPr>
          <w:rFonts w:hint="eastAsia"/>
          <w:sz w:val="28"/>
        </w:rPr>
        <w:t>（4）成本指标：125万元</w:t>
      </w:r>
    </w:p>
    <w:p w14:paraId="2BAA4586">
      <w:pPr>
        <w:spacing w:line="360" w:lineRule="auto"/>
        <w:ind w:firstLine="560" w:firstLineChars="200"/>
        <w:rPr>
          <w:sz w:val="28"/>
        </w:rPr>
      </w:pPr>
      <w:r>
        <w:rPr>
          <w:rFonts w:hint="eastAsia"/>
          <w:sz w:val="28"/>
        </w:rPr>
        <w:t>2．效果目标</w:t>
      </w:r>
    </w:p>
    <w:p w14:paraId="3723EEB1">
      <w:pPr>
        <w:spacing w:line="360" w:lineRule="auto"/>
        <w:ind w:firstLine="560" w:firstLineChars="200"/>
        <w:rPr>
          <w:rFonts w:hint="eastAsia"/>
          <w:sz w:val="28"/>
        </w:rPr>
      </w:pPr>
      <w:r>
        <w:rPr>
          <w:rFonts w:hint="eastAsia"/>
          <w:sz w:val="28"/>
        </w:rPr>
        <w:t>（1）经济资产指标：不适用；</w:t>
      </w:r>
    </w:p>
    <w:p w14:paraId="470FC2DA">
      <w:pPr>
        <w:spacing w:line="360" w:lineRule="auto"/>
        <w:ind w:firstLine="560" w:firstLineChars="200"/>
        <w:rPr>
          <w:rFonts w:hint="eastAsia"/>
          <w:sz w:val="28"/>
        </w:rPr>
      </w:pPr>
      <w:r>
        <w:rPr>
          <w:rFonts w:hint="eastAsia"/>
          <w:sz w:val="28"/>
        </w:rPr>
        <w:t>（2）社会效益指标：促进保障社会和谐、稳定发展；</w:t>
      </w:r>
    </w:p>
    <w:p w14:paraId="7C93269A">
      <w:pPr>
        <w:spacing w:line="360" w:lineRule="auto"/>
        <w:ind w:firstLine="560" w:firstLineChars="200"/>
        <w:rPr>
          <w:rFonts w:hint="eastAsia"/>
          <w:sz w:val="28"/>
        </w:rPr>
      </w:pPr>
      <w:r>
        <w:rPr>
          <w:rFonts w:hint="eastAsia"/>
          <w:sz w:val="28"/>
        </w:rPr>
        <w:t>（3）环境效益指标：构筑较为完善的社会治安防控体系；</w:t>
      </w:r>
    </w:p>
    <w:p w14:paraId="2926C097">
      <w:pPr>
        <w:spacing w:line="360" w:lineRule="auto"/>
        <w:ind w:firstLine="560" w:firstLineChars="200"/>
        <w:rPr>
          <w:rFonts w:hint="eastAsia"/>
          <w:sz w:val="28"/>
        </w:rPr>
      </w:pPr>
      <w:r>
        <w:rPr>
          <w:rFonts w:hint="eastAsia"/>
          <w:sz w:val="28"/>
        </w:rPr>
        <w:t>（4）可持续影响指标：确保社会稳定，建立良好的建设环境；</w:t>
      </w:r>
    </w:p>
    <w:p w14:paraId="660BAD71">
      <w:pPr>
        <w:spacing w:line="360" w:lineRule="auto"/>
        <w:ind w:firstLine="560" w:firstLineChars="200"/>
        <w:rPr>
          <w:rFonts w:hint="eastAsia"/>
          <w:sz w:val="28"/>
        </w:rPr>
      </w:pPr>
      <w:r>
        <w:rPr>
          <w:rFonts w:hint="eastAsia"/>
          <w:sz w:val="28"/>
        </w:rPr>
        <w:t>（5）社会公众或服务对象满意度指标：工作及服务质量投诉率不高于5%。</w:t>
      </w:r>
    </w:p>
    <w:p w14:paraId="11ACF33E">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二、项目绩效分析</w:t>
      </w:r>
    </w:p>
    <w:p w14:paraId="1C4F85B9">
      <w:pPr>
        <w:spacing w:line="360" w:lineRule="auto"/>
        <w:ind w:firstLine="560" w:firstLineChars="200"/>
        <w:rPr>
          <w:rFonts w:hint="eastAsia"/>
          <w:sz w:val="28"/>
        </w:rPr>
      </w:pPr>
      <w:r>
        <w:rPr>
          <w:rFonts w:hint="eastAsia"/>
          <w:sz w:val="28"/>
        </w:rPr>
        <w:t>（一）项目管理情况</w:t>
      </w:r>
    </w:p>
    <w:p w14:paraId="2AF1904B">
      <w:pPr>
        <w:spacing w:line="360" w:lineRule="auto"/>
        <w:ind w:firstLine="560" w:firstLineChars="200"/>
        <w:rPr>
          <w:rFonts w:hint="eastAsia"/>
          <w:sz w:val="28"/>
        </w:rPr>
      </w:pPr>
      <w:r>
        <w:rPr>
          <w:rFonts w:hint="eastAsia"/>
          <w:sz w:val="28"/>
        </w:rPr>
        <w:t>l．业务管理情况</w:t>
      </w:r>
    </w:p>
    <w:p w14:paraId="1EF0911F">
      <w:pPr>
        <w:spacing w:line="360" w:lineRule="auto"/>
        <w:ind w:firstLine="560" w:firstLineChars="200"/>
        <w:rPr>
          <w:rFonts w:hint="eastAsia"/>
          <w:sz w:val="28"/>
        </w:rPr>
      </w:pPr>
      <w:r>
        <w:rPr>
          <w:rFonts w:hint="eastAsia"/>
          <w:sz w:val="28"/>
        </w:rPr>
        <w:t>（1）项目基础资料齐备</w:t>
      </w:r>
    </w:p>
    <w:p w14:paraId="022EF782">
      <w:pPr>
        <w:spacing w:line="360" w:lineRule="auto"/>
        <w:ind w:firstLine="560" w:firstLineChars="200"/>
        <w:rPr>
          <w:rFonts w:hint="eastAsia"/>
          <w:sz w:val="28"/>
        </w:rPr>
      </w:pPr>
      <w:r>
        <w:rPr>
          <w:rFonts w:hint="eastAsia"/>
          <w:sz w:val="28"/>
        </w:rPr>
        <w:t>项目各阶段、各环节资料均保存完好，包括预算计划资料、经费分配资料、资金划拨资料等，均妥善整理归档。</w:t>
      </w:r>
    </w:p>
    <w:p w14:paraId="518C5826">
      <w:pPr>
        <w:spacing w:line="360" w:lineRule="auto"/>
        <w:ind w:firstLine="560" w:firstLineChars="200"/>
        <w:rPr>
          <w:rFonts w:hint="eastAsia"/>
          <w:sz w:val="28"/>
        </w:rPr>
      </w:pPr>
      <w:r>
        <w:rPr>
          <w:rFonts w:hint="eastAsia"/>
          <w:sz w:val="28"/>
        </w:rPr>
        <w:t>（2）项目质量控制较为严格</w:t>
      </w:r>
    </w:p>
    <w:p w14:paraId="610AA597">
      <w:pPr>
        <w:spacing w:line="360" w:lineRule="auto"/>
        <w:ind w:firstLine="560" w:firstLineChars="200"/>
        <w:rPr>
          <w:rFonts w:hint="eastAsia"/>
          <w:sz w:val="28"/>
        </w:rPr>
      </w:pPr>
      <w:r>
        <w:rPr>
          <w:rFonts w:hint="eastAsia"/>
          <w:sz w:val="28"/>
        </w:rPr>
        <w:t>项目执行部门建立了良好的工作机制和工作流程并得以有效执行，确保公开、公平、公正，经费支出即保证正常工作需要，又不造成浪费，并形成有效记录和档案，便于追溯可查。</w:t>
      </w:r>
    </w:p>
    <w:p w14:paraId="70C6CE9B">
      <w:pPr>
        <w:spacing w:line="360" w:lineRule="auto"/>
        <w:ind w:firstLine="560" w:firstLineChars="200"/>
        <w:rPr>
          <w:rFonts w:hint="eastAsia"/>
          <w:sz w:val="28"/>
        </w:rPr>
      </w:pPr>
      <w:r>
        <w:rPr>
          <w:rFonts w:hint="eastAsia"/>
          <w:sz w:val="28"/>
        </w:rPr>
        <w:t>（3）建立项目监督和考核机制</w:t>
      </w:r>
    </w:p>
    <w:p w14:paraId="40465C0E">
      <w:pPr>
        <w:spacing w:line="360" w:lineRule="auto"/>
        <w:ind w:firstLine="560" w:firstLineChars="200"/>
        <w:rPr>
          <w:sz w:val="28"/>
        </w:rPr>
      </w:pPr>
      <w:r>
        <w:rPr>
          <w:rFonts w:hint="eastAsia"/>
          <w:sz w:val="28"/>
        </w:rPr>
        <w:t>街道建立了项目监督机制和项目考核机制，用于支撑项目顺利实施。</w:t>
      </w:r>
    </w:p>
    <w:p w14:paraId="4E685CA2">
      <w:pPr>
        <w:spacing w:line="360" w:lineRule="auto"/>
        <w:ind w:firstLine="560" w:firstLineChars="200"/>
        <w:rPr>
          <w:sz w:val="28"/>
        </w:rPr>
      </w:pPr>
      <w:r>
        <w:rPr>
          <w:rFonts w:hint="eastAsia"/>
          <w:sz w:val="28"/>
        </w:rPr>
        <w:t>2．财务管理情况</w:t>
      </w:r>
    </w:p>
    <w:p w14:paraId="775E140D">
      <w:pPr>
        <w:spacing w:line="360" w:lineRule="auto"/>
        <w:ind w:firstLine="560" w:firstLineChars="200"/>
        <w:rPr>
          <w:rFonts w:hint="eastAsia"/>
          <w:sz w:val="28"/>
        </w:rPr>
      </w:pPr>
      <w:r>
        <w:rPr>
          <w:rFonts w:hint="eastAsia"/>
          <w:sz w:val="28"/>
        </w:rPr>
        <w:t>（1）项目经费</w:t>
      </w:r>
    </w:p>
    <w:p w14:paraId="67365981">
      <w:pPr>
        <w:spacing w:line="360" w:lineRule="auto"/>
        <w:ind w:firstLine="560" w:firstLineChars="200"/>
        <w:rPr>
          <w:rFonts w:hint="eastAsia"/>
          <w:sz w:val="28"/>
        </w:rPr>
      </w:pPr>
      <w:r>
        <w:rPr>
          <w:rFonts w:hint="eastAsia"/>
          <w:sz w:val="28"/>
        </w:rPr>
        <w:t>项目预算经费为125万元，其中，综合治理经费81.04万元，信访维稳经费12.56万元，安全生产、消防专项工作经费9.22万元，司法普法专项业务经费17.18万元，食品安全专项5万元。</w:t>
      </w:r>
    </w:p>
    <w:p w14:paraId="72D1515E">
      <w:pPr>
        <w:spacing w:line="360" w:lineRule="auto"/>
        <w:ind w:firstLine="560" w:firstLineChars="200"/>
        <w:rPr>
          <w:rFonts w:hint="eastAsia"/>
          <w:sz w:val="28"/>
        </w:rPr>
      </w:pPr>
      <w:r>
        <w:rPr>
          <w:rFonts w:hint="eastAsia"/>
          <w:sz w:val="28"/>
        </w:rPr>
        <w:t>截止2017年12月31日，实际发放综合治理经费81.04万元，信访稳定专项经费12.56万元，司法普法专项业务费17.18万元，食品安全经费5万元，安全生产、消防专项工作经费9.22万元，合计125万元，与预算金额一致。</w:t>
      </w:r>
    </w:p>
    <w:p w14:paraId="3F85CC5F">
      <w:pPr>
        <w:spacing w:line="360" w:lineRule="auto"/>
        <w:ind w:firstLine="560" w:firstLineChars="200"/>
        <w:rPr>
          <w:rFonts w:hint="eastAsia"/>
          <w:sz w:val="28"/>
        </w:rPr>
      </w:pPr>
      <w:r>
        <w:rPr>
          <w:rFonts w:hint="eastAsia"/>
          <w:sz w:val="28"/>
        </w:rPr>
        <w:t>（2）财务管理</w:t>
      </w:r>
    </w:p>
    <w:p w14:paraId="1E6920BE">
      <w:pPr>
        <w:spacing w:line="360" w:lineRule="auto"/>
        <w:ind w:firstLine="560" w:firstLineChars="200"/>
        <w:rPr>
          <w:rFonts w:hint="eastAsia"/>
          <w:sz w:val="28"/>
        </w:rPr>
      </w:pPr>
      <w:r>
        <w:rPr>
          <w:rFonts w:hint="eastAsia"/>
          <w:sz w:val="28"/>
        </w:rPr>
        <w:t>九峰街道办事处制订了严格的财务管理措施，对各项“安全生产及维稳经费”事项进行了严格的审核、签批流程。各项单据均有备案，从会计账簿中抽查部分重要支出事项的原始单据或记录来看，支出手续齐全，单证规范，标准相符，财务把关严格，会计核算准确、完整，未出现异常现象。</w:t>
      </w:r>
    </w:p>
    <w:p w14:paraId="7C3DB92E">
      <w:pPr>
        <w:spacing w:line="360" w:lineRule="auto"/>
        <w:ind w:firstLine="560" w:firstLineChars="200"/>
        <w:rPr>
          <w:rFonts w:hint="eastAsia"/>
          <w:sz w:val="28"/>
        </w:rPr>
      </w:pPr>
      <w:r>
        <w:rPr>
          <w:rFonts w:hint="eastAsia"/>
          <w:sz w:val="28"/>
        </w:rPr>
        <w:t>（二）项目预算绩效目标的完成情况</w:t>
      </w:r>
    </w:p>
    <w:p w14:paraId="44668A50">
      <w:pPr>
        <w:widowControl/>
        <w:ind w:firstLine="560" w:firstLineChars="200"/>
        <w:jc w:val="left"/>
        <w:rPr>
          <w:rFonts w:hint="eastAsia" w:ascii="宋体" w:hAnsi="宋体" w:cs="宋体"/>
          <w:b/>
          <w:bCs/>
          <w:color w:val="000000"/>
          <w:kern w:val="0"/>
          <w:sz w:val="22"/>
        </w:rPr>
      </w:pPr>
      <w:r>
        <w:rPr>
          <w:rFonts w:hint="eastAsia"/>
          <w:sz w:val="28"/>
        </w:rPr>
        <w:t>依据年初“九峰街道办事处安全生产及维稳经费”《项目绩效目标编制说明》，结合2017年度项目实际实施情况，对部分绩效指标做出相应的调整，以期更准确、更有效地反映本项目的绩效情况，具体情况如下表《项目预算绩效评价表》。</w:t>
      </w:r>
    </w:p>
    <w:p w14:paraId="2D092940">
      <w:pPr>
        <w:spacing w:line="360" w:lineRule="auto"/>
        <w:rPr>
          <w:rFonts w:hint="eastAsia"/>
          <w:sz w:val="28"/>
        </w:rPr>
      </w:pPr>
    </w:p>
    <w:tbl>
      <w:tblPr>
        <w:tblStyle w:val="5"/>
        <w:tblW w:w="9280" w:type="dxa"/>
        <w:jc w:val="center"/>
        <w:tblLayout w:type="fixed"/>
        <w:tblCellMar>
          <w:top w:w="0" w:type="dxa"/>
          <w:left w:w="108" w:type="dxa"/>
          <w:bottom w:w="0" w:type="dxa"/>
          <w:right w:w="108" w:type="dxa"/>
        </w:tblCellMar>
      </w:tblPr>
      <w:tblGrid>
        <w:gridCol w:w="700"/>
        <w:gridCol w:w="860"/>
        <w:gridCol w:w="1220"/>
        <w:gridCol w:w="2900"/>
        <w:gridCol w:w="2660"/>
        <w:gridCol w:w="940"/>
      </w:tblGrid>
      <w:tr w14:paraId="1F186B59">
        <w:tblPrEx>
          <w:tblCellMar>
            <w:top w:w="0" w:type="dxa"/>
            <w:left w:w="108" w:type="dxa"/>
            <w:bottom w:w="0" w:type="dxa"/>
            <w:right w:w="108" w:type="dxa"/>
          </w:tblCellMar>
        </w:tblPrEx>
        <w:trPr>
          <w:trHeight w:val="54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49A4DA85">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860" w:type="dxa"/>
            <w:tcBorders>
              <w:top w:val="single" w:color="auto" w:sz="4" w:space="0"/>
              <w:left w:val="nil"/>
              <w:bottom w:val="single" w:color="auto" w:sz="4" w:space="0"/>
              <w:right w:val="single" w:color="auto" w:sz="4" w:space="0"/>
            </w:tcBorders>
            <w:shd w:val="clear" w:color="auto" w:fill="auto"/>
            <w:vAlign w:val="center"/>
          </w:tcPr>
          <w:p w14:paraId="2EFF7626">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379BE772">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900" w:type="dxa"/>
            <w:tcBorders>
              <w:top w:val="single" w:color="auto" w:sz="4" w:space="0"/>
              <w:left w:val="nil"/>
              <w:bottom w:val="single" w:color="auto" w:sz="4" w:space="0"/>
              <w:right w:val="single" w:color="auto" w:sz="4" w:space="0"/>
            </w:tcBorders>
            <w:shd w:val="clear" w:color="auto" w:fill="auto"/>
            <w:vAlign w:val="center"/>
          </w:tcPr>
          <w:p w14:paraId="7AA258FF">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660" w:type="dxa"/>
            <w:tcBorders>
              <w:top w:val="single" w:color="auto" w:sz="4" w:space="0"/>
              <w:left w:val="nil"/>
              <w:bottom w:val="single" w:color="auto" w:sz="4" w:space="0"/>
              <w:right w:val="single" w:color="auto" w:sz="4" w:space="0"/>
            </w:tcBorders>
            <w:shd w:val="clear" w:color="auto" w:fill="auto"/>
            <w:vAlign w:val="center"/>
          </w:tcPr>
          <w:p w14:paraId="4ED11DE2">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940" w:type="dxa"/>
            <w:tcBorders>
              <w:top w:val="single" w:color="auto" w:sz="4" w:space="0"/>
              <w:left w:val="nil"/>
              <w:bottom w:val="single" w:color="auto" w:sz="4" w:space="0"/>
              <w:right w:val="single" w:color="auto" w:sz="4" w:space="0"/>
            </w:tcBorders>
            <w:shd w:val="clear" w:color="auto" w:fill="auto"/>
            <w:vAlign w:val="center"/>
          </w:tcPr>
          <w:p w14:paraId="2B05EC62">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78773022">
        <w:tblPrEx>
          <w:tblCellMar>
            <w:top w:w="0" w:type="dxa"/>
            <w:left w:w="108" w:type="dxa"/>
            <w:bottom w:w="0" w:type="dxa"/>
            <w:right w:w="108" w:type="dxa"/>
          </w:tblCellMar>
        </w:tblPrEx>
        <w:trPr>
          <w:trHeight w:val="108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1B2B534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1A31D97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1220" w:type="dxa"/>
            <w:tcBorders>
              <w:top w:val="nil"/>
              <w:left w:val="nil"/>
              <w:bottom w:val="single" w:color="auto" w:sz="4" w:space="0"/>
              <w:right w:val="single" w:color="auto" w:sz="4" w:space="0"/>
            </w:tcBorders>
            <w:shd w:val="clear" w:color="auto" w:fill="auto"/>
            <w:vAlign w:val="center"/>
          </w:tcPr>
          <w:p w14:paraId="786B010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2900" w:type="dxa"/>
            <w:tcBorders>
              <w:top w:val="nil"/>
              <w:left w:val="nil"/>
              <w:bottom w:val="single" w:color="auto" w:sz="4" w:space="0"/>
              <w:right w:val="single" w:color="auto" w:sz="4" w:space="0"/>
            </w:tcBorders>
            <w:shd w:val="clear" w:color="auto" w:fill="auto"/>
            <w:vAlign w:val="center"/>
          </w:tcPr>
          <w:p w14:paraId="7431D38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2660" w:type="dxa"/>
            <w:tcBorders>
              <w:top w:val="nil"/>
              <w:left w:val="nil"/>
              <w:bottom w:val="single" w:color="auto" w:sz="4" w:space="0"/>
              <w:right w:val="single" w:color="auto" w:sz="4" w:space="0"/>
            </w:tcBorders>
            <w:shd w:val="clear" w:color="auto" w:fill="auto"/>
            <w:vAlign w:val="center"/>
          </w:tcPr>
          <w:p w14:paraId="374FA01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本项目经费为持续性、常年性项目，项目立项规范，符合相关政策要求。</w:t>
            </w:r>
          </w:p>
        </w:tc>
        <w:tc>
          <w:tcPr>
            <w:tcW w:w="940" w:type="dxa"/>
            <w:tcBorders>
              <w:top w:val="nil"/>
              <w:left w:val="nil"/>
              <w:bottom w:val="single" w:color="auto" w:sz="4" w:space="0"/>
              <w:right w:val="single" w:color="auto" w:sz="4" w:space="0"/>
            </w:tcBorders>
            <w:shd w:val="clear" w:color="auto" w:fill="auto"/>
            <w:vAlign w:val="center"/>
          </w:tcPr>
          <w:p w14:paraId="0AC0CDF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6D51C2FF">
        <w:tblPrEx>
          <w:tblCellMar>
            <w:top w:w="0" w:type="dxa"/>
            <w:left w:w="108" w:type="dxa"/>
            <w:bottom w:w="0" w:type="dxa"/>
            <w:right w:w="108" w:type="dxa"/>
          </w:tblCellMar>
        </w:tblPrEx>
        <w:trPr>
          <w:trHeight w:val="162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30E559B9">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0BA5ECCC">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165BEB1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2900" w:type="dxa"/>
            <w:tcBorders>
              <w:top w:val="nil"/>
              <w:left w:val="nil"/>
              <w:bottom w:val="single" w:color="auto" w:sz="4" w:space="0"/>
              <w:right w:val="single" w:color="auto" w:sz="4" w:space="0"/>
            </w:tcBorders>
            <w:shd w:val="clear" w:color="auto" w:fill="auto"/>
            <w:vAlign w:val="center"/>
          </w:tcPr>
          <w:p w14:paraId="2FCB569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项目是否设定绩效目标和绩效指标，所设定的绩效目标和指标是否符合实际，用以反映和考核项目绩效目标与项目实施的相符情况。</w:t>
            </w:r>
          </w:p>
        </w:tc>
        <w:tc>
          <w:tcPr>
            <w:tcW w:w="2660" w:type="dxa"/>
            <w:tcBorders>
              <w:top w:val="nil"/>
              <w:left w:val="nil"/>
              <w:bottom w:val="single" w:color="auto" w:sz="4" w:space="0"/>
              <w:right w:val="single" w:color="auto" w:sz="4" w:space="0"/>
            </w:tcBorders>
            <w:shd w:val="clear" w:color="auto" w:fill="auto"/>
            <w:vAlign w:val="center"/>
          </w:tcPr>
          <w:p w14:paraId="3B0D2C5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项目设定了绩效目标和绩效指标，所设定的绩效目标和指标基本符合实际，但设立的指标较为粗略，部分难以有效体现项目效果。</w:t>
            </w:r>
          </w:p>
        </w:tc>
        <w:tc>
          <w:tcPr>
            <w:tcW w:w="940" w:type="dxa"/>
            <w:tcBorders>
              <w:top w:val="nil"/>
              <w:left w:val="nil"/>
              <w:bottom w:val="single" w:color="auto" w:sz="4" w:space="0"/>
              <w:right w:val="single" w:color="auto" w:sz="4" w:space="0"/>
            </w:tcBorders>
            <w:shd w:val="clear" w:color="auto" w:fill="auto"/>
            <w:vAlign w:val="center"/>
          </w:tcPr>
          <w:p w14:paraId="02E21B2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435029BA">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27628384">
            <w:pPr>
              <w:widowControl/>
              <w:jc w:val="left"/>
              <w:rPr>
                <w:rFonts w:ascii="楷体_GB2312" w:hAnsi="宋体" w:eastAsia="楷体_GB2312" w:cs="宋体"/>
                <w:color w:val="000000"/>
                <w:kern w:val="0"/>
                <w:sz w:val="22"/>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408A755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1220" w:type="dxa"/>
            <w:tcBorders>
              <w:top w:val="nil"/>
              <w:left w:val="nil"/>
              <w:bottom w:val="single" w:color="auto" w:sz="4" w:space="0"/>
              <w:right w:val="single" w:color="auto" w:sz="4" w:space="0"/>
            </w:tcBorders>
            <w:shd w:val="clear" w:color="auto" w:fill="auto"/>
            <w:vAlign w:val="center"/>
          </w:tcPr>
          <w:p w14:paraId="35CC6DB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2900" w:type="dxa"/>
            <w:tcBorders>
              <w:top w:val="nil"/>
              <w:left w:val="nil"/>
              <w:bottom w:val="single" w:color="auto" w:sz="4" w:space="0"/>
              <w:right w:val="single" w:color="auto" w:sz="4" w:space="0"/>
            </w:tcBorders>
            <w:shd w:val="clear" w:color="auto" w:fill="auto"/>
            <w:vAlign w:val="center"/>
          </w:tcPr>
          <w:p w14:paraId="163E57A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2660" w:type="dxa"/>
            <w:tcBorders>
              <w:top w:val="nil"/>
              <w:left w:val="nil"/>
              <w:bottom w:val="single" w:color="auto" w:sz="4" w:space="0"/>
              <w:right w:val="single" w:color="auto" w:sz="4" w:space="0"/>
            </w:tcBorders>
            <w:shd w:val="clear" w:color="auto" w:fill="auto"/>
            <w:vAlign w:val="center"/>
          </w:tcPr>
          <w:p w14:paraId="10852B3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预算批复金额125万元与预算申报金额一致，实际拨付125万元，资金到位率100%</w:t>
            </w:r>
          </w:p>
        </w:tc>
        <w:tc>
          <w:tcPr>
            <w:tcW w:w="940" w:type="dxa"/>
            <w:tcBorders>
              <w:top w:val="nil"/>
              <w:left w:val="nil"/>
              <w:bottom w:val="single" w:color="auto" w:sz="4" w:space="0"/>
              <w:right w:val="single" w:color="auto" w:sz="4" w:space="0"/>
            </w:tcBorders>
            <w:shd w:val="clear" w:color="auto" w:fill="auto"/>
            <w:vAlign w:val="center"/>
          </w:tcPr>
          <w:p w14:paraId="3BD576D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D97931E">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355B556C">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35BFB4D6">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48559E3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2900" w:type="dxa"/>
            <w:tcBorders>
              <w:top w:val="nil"/>
              <w:left w:val="nil"/>
              <w:bottom w:val="single" w:color="auto" w:sz="4" w:space="0"/>
              <w:right w:val="single" w:color="auto" w:sz="4" w:space="0"/>
            </w:tcBorders>
            <w:shd w:val="clear" w:color="auto" w:fill="auto"/>
            <w:vAlign w:val="center"/>
          </w:tcPr>
          <w:p w14:paraId="296D47D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2660" w:type="dxa"/>
            <w:tcBorders>
              <w:top w:val="nil"/>
              <w:left w:val="nil"/>
              <w:bottom w:val="single" w:color="auto" w:sz="4" w:space="0"/>
              <w:right w:val="single" w:color="auto" w:sz="4" w:space="0"/>
            </w:tcBorders>
            <w:shd w:val="clear" w:color="auto" w:fill="auto"/>
            <w:vAlign w:val="center"/>
          </w:tcPr>
          <w:p w14:paraId="4B364F5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及时拨付各社区项目资金，资金到位及时率100%</w:t>
            </w:r>
          </w:p>
        </w:tc>
        <w:tc>
          <w:tcPr>
            <w:tcW w:w="940" w:type="dxa"/>
            <w:tcBorders>
              <w:top w:val="nil"/>
              <w:left w:val="nil"/>
              <w:bottom w:val="single" w:color="auto" w:sz="4" w:space="0"/>
              <w:right w:val="single" w:color="auto" w:sz="4" w:space="0"/>
            </w:tcBorders>
            <w:shd w:val="clear" w:color="auto" w:fill="auto"/>
            <w:vAlign w:val="center"/>
          </w:tcPr>
          <w:p w14:paraId="56200F5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6D82283">
        <w:tblPrEx>
          <w:tblCellMar>
            <w:top w:w="0" w:type="dxa"/>
            <w:left w:w="108" w:type="dxa"/>
            <w:bottom w:w="0" w:type="dxa"/>
            <w:right w:w="108" w:type="dxa"/>
          </w:tblCellMar>
        </w:tblPrEx>
        <w:trPr>
          <w:trHeight w:val="270" w:hRule="atLeast"/>
          <w:jc w:val="center"/>
        </w:trPr>
        <w:tc>
          <w:tcPr>
            <w:tcW w:w="8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533B75">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940" w:type="dxa"/>
            <w:tcBorders>
              <w:top w:val="nil"/>
              <w:left w:val="nil"/>
              <w:bottom w:val="single" w:color="auto" w:sz="4" w:space="0"/>
              <w:right w:val="single" w:color="auto" w:sz="4" w:space="0"/>
            </w:tcBorders>
            <w:shd w:val="clear" w:color="auto" w:fill="auto"/>
            <w:vAlign w:val="center"/>
          </w:tcPr>
          <w:p w14:paraId="537F81CE">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18</w:t>
            </w:r>
          </w:p>
        </w:tc>
      </w:tr>
      <w:tr w14:paraId="7D4F3D5F">
        <w:tblPrEx>
          <w:tblCellMar>
            <w:top w:w="0" w:type="dxa"/>
            <w:left w:w="108" w:type="dxa"/>
            <w:bottom w:w="0" w:type="dxa"/>
            <w:right w:w="108" w:type="dxa"/>
          </w:tblCellMar>
        </w:tblPrEx>
        <w:trPr>
          <w:trHeight w:val="270" w:hRule="atLeast"/>
          <w:jc w:val="center"/>
        </w:trPr>
        <w:tc>
          <w:tcPr>
            <w:tcW w:w="9280" w:type="dxa"/>
            <w:gridSpan w:val="6"/>
            <w:shd w:val="clear" w:color="auto" w:fill="auto"/>
            <w:vAlign w:val="center"/>
          </w:tcPr>
          <w:p w14:paraId="29B6627B">
            <w:pPr>
              <w:widowControl/>
              <w:jc w:val="center"/>
              <w:rPr>
                <w:rFonts w:hint="eastAsia" w:ascii="宋体" w:hAnsi="宋体" w:cs="宋体"/>
                <w:b/>
                <w:bCs/>
                <w:color w:val="000000"/>
                <w:kern w:val="0"/>
                <w:sz w:val="22"/>
              </w:rPr>
            </w:pPr>
          </w:p>
          <w:p w14:paraId="162EB29A">
            <w:pPr>
              <w:widowControl/>
              <w:jc w:val="center"/>
              <w:rPr>
                <w:rFonts w:hint="eastAsia" w:ascii="宋体" w:hAnsi="宋体" w:cs="宋体"/>
                <w:b/>
                <w:bCs/>
                <w:color w:val="000000"/>
                <w:kern w:val="0"/>
                <w:sz w:val="22"/>
              </w:rPr>
            </w:pPr>
          </w:p>
          <w:p w14:paraId="5657200F">
            <w:pPr>
              <w:widowControl/>
              <w:jc w:val="center"/>
              <w:rPr>
                <w:rFonts w:hint="eastAsia" w:ascii="宋体" w:hAnsi="宋体" w:cs="宋体"/>
                <w:b/>
                <w:bCs/>
                <w:color w:val="000000"/>
                <w:kern w:val="0"/>
                <w:sz w:val="22"/>
              </w:rPr>
            </w:pPr>
          </w:p>
          <w:p w14:paraId="071340D2">
            <w:pPr>
              <w:widowControl/>
              <w:jc w:val="center"/>
              <w:rPr>
                <w:rFonts w:ascii="楷体_GB2312" w:hAnsi="宋体" w:eastAsia="楷体_GB2312" w:cs="宋体"/>
                <w:b/>
                <w:bCs/>
                <w:color w:val="000000"/>
                <w:kern w:val="0"/>
                <w:sz w:val="22"/>
              </w:rPr>
            </w:pPr>
          </w:p>
          <w:p w14:paraId="30780797">
            <w:pPr>
              <w:widowControl/>
              <w:jc w:val="center"/>
              <w:rPr>
                <w:rFonts w:ascii="楷体_GB2312" w:hAnsi="宋体" w:eastAsia="楷体_GB2312" w:cs="宋体"/>
                <w:b/>
                <w:bCs/>
                <w:color w:val="000000"/>
                <w:kern w:val="0"/>
                <w:sz w:val="22"/>
              </w:rPr>
            </w:pPr>
          </w:p>
          <w:p w14:paraId="298F384B">
            <w:pPr>
              <w:widowControl/>
              <w:jc w:val="center"/>
              <w:rPr>
                <w:rFonts w:hint="eastAsia" w:ascii="楷体_GB2312" w:hAnsi="宋体" w:eastAsia="楷体_GB2312" w:cs="宋体"/>
                <w:b/>
                <w:bCs/>
                <w:color w:val="000000"/>
                <w:kern w:val="0"/>
                <w:sz w:val="22"/>
              </w:rPr>
            </w:pPr>
          </w:p>
          <w:p w14:paraId="5C44925B">
            <w:pPr>
              <w:widowControl/>
              <w:jc w:val="center"/>
              <w:rPr>
                <w:rFonts w:ascii="楷体_GB2312" w:hAnsi="宋体" w:eastAsia="楷体_GB2312" w:cs="宋体"/>
                <w:b/>
                <w:bCs/>
                <w:color w:val="000000"/>
                <w:kern w:val="0"/>
                <w:sz w:val="22"/>
              </w:rPr>
            </w:pPr>
          </w:p>
          <w:p w14:paraId="030578A6">
            <w:pPr>
              <w:widowControl/>
              <w:jc w:val="center"/>
              <w:rPr>
                <w:rFonts w:hint="eastAsia" w:ascii="楷体_GB2312" w:hAnsi="宋体" w:eastAsia="楷体_GB2312" w:cs="宋体"/>
                <w:b/>
                <w:bCs/>
                <w:color w:val="000000"/>
                <w:kern w:val="0"/>
                <w:sz w:val="22"/>
              </w:rPr>
            </w:pPr>
          </w:p>
          <w:p w14:paraId="4B9B7BD3">
            <w:pPr>
              <w:widowControl/>
              <w:jc w:val="left"/>
              <w:rPr>
                <w:rFonts w:hint="eastAsia" w:ascii="楷体_GB2312" w:hAnsi="宋体" w:eastAsia="楷体_GB2312" w:cs="宋体"/>
                <w:b/>
                <w:bCs/>
                <w:color w:val="000000"/>
                <w:kern w:val="0"/>
                <w:sz w:val="22"/>
              </w:rPr>
            </w:pPr>
            <w:r>
              <w:rPr>
                <w:rFonts w:hint="eastAsia" w:ascii="楷体_GB2312" w:hAnsi="宋体" w:eastAsia="楷体_GB2312" w:cs="宋体"/>
                <w:b/>
                <w:bCs/>
                <w:color w:val="000000"/>
                <w:kern w:val="0"/>
                <w:sz w:val="22"/>
              </w:rPr>
              <w:t>续表：</w:t>
            </w:r>
          </w:p>
        </w:tc>
      </w:tr>
      <w:tr w14:paraId="4A05E702">
        <w:tblPrEx>
          <w:tblCellMar>
            <w:top w:w="0" w:type="dxa"/>
            <w:left w:w="108" w:type="dxa"/>
            <w:bottom w:w="0" w:type="dxa"/>
            <w:right w:w="108" w:type="dxa"/>
          </w:tblCellMar>
        </w:tblPrEx>
        <w:trPr>
          <w:trHeight w:val="54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01C2320">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860" w:type="dxa"/>
            <w:tcBorders>
              <w:top w:val="single" w:color="auto" w:sz="4" w:space="0"/>
              <w:left w:val="nil"/>
              <w:bottom w:val="single" w:color="auto" w:sz="4" w:space="0"/>
              <w:right w:val="single" w:color="auto" w:sz="4" w:space="0"/>
            </w:tcBorders>
            <w:shd w:val="clear" w:color="auto" w:fill="auto"/>
            <w:vAlign w:val="center"/>
          </w:tcPr>
          <w:p w14:paraId="451715B6">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0E991B74">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900" w:type="dxa"/>
            <w:tcBorders>
              <w:top w:val="single" w:color="auto" w:sz="4" w:space="0"/>
              <w:left w:val="nil"/>
              <w:bottom w:val="single" w:color="auto" w:sz="4" w:space="0"/>
              <w:right w:val="single" w:color="auto" w:sz="4" w:space="0"/>
            </w:tcBorders>
            <w:shd w:val="clear" w:color="auto" w:fill="auto"/>
            <w:vAlign w:val="center"/>
          </w:tcPr>
          <w:p w14:paraId="35F627A9">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660" w:type="dxa"/>
            <w:tcBorders>
              <w:top w:val="single" w:color="auto" w:sz="4" w:space="0"/>
              <w:left w:val="nil"/>
              <w:bottom w:val="single" w:color="auto" w:sz="4" w:space="0"/>
              <w:right w:val="single" w:color="auto" w:sz="4" w:space="0"/>
            </w:tcBorders>
            <w:shd w:val="clear" w:color="auto" w:fill="auto"/>
            <w:vAlign w:val="center"/>
          </w:tcPr>
          <w:p w14:paraId="3D373150">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940" w:type="dxa"/>
            <w:tcBorders>
              <w:top w:val="single" w:color="auto" w:sz="4" w:space="0"/>
              <w:left w:val="nil"/>
              <w:bottom w:val="single" w:color="auto" w:sz="4" w:space="0"/>
              <w:right w:val="single" w:color="auto" w:sz="4" w:space="0"/>
            </w:tcBorders>
            <w:shd w:val="clear" w:color="auto" w:fill="auto"/>
            <w:vAlign w:val="center"/>
          </w:tcPr>
          <w:p w14:paraId="68BC1FF3">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42CB4B04">
        <w:tblPrEx>
          <w:tblCellMar>
            <w:top w:w="0" w:type="dxa"/>
            <w:left w:w="108" w:type="dxa"/>
            <w:bottom w:w="0" w:type="dxa"/>
            <w:right w:w="108" w:type="dxa"/>
          </w:tblCellMar>
        </w:tblPrEx>
        <w:trPr>
          <w:trHeight w:val="108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4BC75DF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0B8E4A9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1220" w:type="dxa"/>
            <w:tcBorders>
              <w:top w:val="nil"/>
              <w:left w:val="nil"/>
              <w:bottom w:val="single" w:color="auto" w:sz="4" w:space="0"/>
              <w:right w:val="single" w:color="auto" w:sz="4" w:space="0"/>
            </w:tcBorders>
            <w:shd w:val="clear" w:color="auto" w:fill="auto"/>
            <w:vAlign w:val="center"/>
          </w:tcPr>
          <w:p w14:paraId="5B47222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2900" w:type="dxa"/>
            <w:tcBorders>
              <w:top w:val="nil"/>
              <w:left w:val="nil"/>
              <w:bottom w:val="single" w:color="auto" w:sz="4" w:space="0"/>
              <w:right w:val="single" w:color="auto" w:sz="4" w:space="0"/>
            </w:tcBorders>
            <w:shd w:val="clear" w:color="auto" w:fill="auto"/>
            <w:vAlign w:val="center"/>
          </w:tcPr>
          <w:p w14:paraId="2B6CFB5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14:paraId="71D969F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建立了“安全生产及维稳”专项经费工作机制，基本执行到位。</w:t>
            </w:r>
          </w:p>
        </w:tc>
        <w:tc>
          <w:tcPr>
            <w:tcW w:w="940" w:type="dxa"/>
            <w:tcBorders>
              <w:top w:val="nil"/>
              <w:left w:val="nil"/>
              <w:bottom w:val="single" w:color="auto" w:sz="4" w:space="0"/>
              <w:right w:val="single" w:color="auto" w:sz="4" w:space="0"/>
            </w:tcBorders>
            <w:shd w:val="clear" w:color="auto" w:fill="auto"/>
            <w:vAlign w:val="center"/>
          </w:tcPr>
          <w:p w14:paraId="56652F8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2C9DF2CC">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7BFD35F4">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16533781">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3139AB7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2900" w:type="dxa"/>
            <w:tcBorders>
              <w:top w:val="nil"/>
              <w:left w:val="nil"/>
              <w:bottom w:val="single" w:color="auto" w:sz="4" w:space="0"/>
              <w:right w:val="single" w:color="auto" w:sz="4" w:space="0"/>
            </w:tcBorders>
            <w:shd w:val="clear" w:color="auto" w:fill="auto"/>
            <w:vAlign w:val="center"/>
          </w:tcPr>
          <w:p w14:paraId="05CD2BE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2660" w:type="dxa"/>
            <w:vMerge w:val="continue"/>
            <w:tcBorders>
              <w:top w:val="nil"/>
              <w:left w:val="single" w:color="auto" w:sz="4" w:space="0"/>
              <w:bottom w:val="single" w:color="auto" w:sz="4" w:space="0"/>
              <w:right w:val="single" w:color="auto" w:sz="4" w:space="0"/>
            </w:tcBorders>
            <w:shd w:val="clear" w:color="auto" w:fill="auto"/>
            <w:vAlign w:val="center"/>
          </w:tcPr>
          <w:p w14:paraId="61FDE1F6">
            <w:pPr>
              <w:widowControl/>
              <w:jc w:val="left"/>
              <w:rPr>
                <w:rFonts w:ascii="楷体_GB2312" w:hAnsi="宋体" w:eastAsia="楷体_GB2312" w:cs="宋体"/>
                <w:color w:val="000000"/>
                <w:kern w:val="0"/>
                <w:sz w:val="22"/>
              </w:rPr>
            </w:pPr>
          </w:p>
        </w:tc>
        <w:tc>
          <w:tcPr>
            <w:tcW w:w="940" w:type="dxa"/>
            <w:tcBorders>
              <w:top w:val="nil"/>
              <w:left w:val="nil"/>
              <w:bottom w:val="single" w:color="auto" w:sz="4" w:space="0"/>
              <w:right w:val="single" w:color="auto" w:sz="4" w:space="0"/>
            </w:tcBorders>
            <w:shd w:val="clear" w:color="auto" w:fill="auto"/>
            <w:vAlign w:val="center"/>
          </w:tcPr>
          <w:p w14:paraId="1BF6ECF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5991F92D">
        <w:tblPrEx>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31D41189">
            <w:pPr>
              <w:widowControl/>
              <w:jc w:val="left"/>
              <w:rPr>
                <w:rFonts w:ascii="楷体_GB2312" w:hAnsi="宋体" w:eastAsia="楷体_GB2312" w:cs="宋体"/>
                <w:color w:val="000000"/>
                <w:kern w:val="0"/>
                <w:sz w:val="22"/>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395D298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1220" w:type="dxa"/>
            <w:tcBorders>
              <w:top w:val="nil"/>
              <w:left w:val="nil"/>
              <w:bottom w:val="single" w:color="auto" w:sz="4" w:space="0"/>
              <w:right w:val="single" w:color="auto" w:sz="4" w:space="0"/>
            </w:tcBorders>
            <w:shd w:val="clear" w:color="auto" w:fill="auto"/>
            <w:vAlign w:val="center"/>
          </w:tcPr>
          <w:p w14:paraId="68EBD15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2900" w:type="dxa"/>
            <w:tcBorders>
              <w:top w:val="nil"/>
              <w:left w:val="nil"/>
              <w:bottom w:val="single" w:color="auto" w:sz="4" w:space="0"/>
              <w:right w:val="single" w:color="auto" w:sz="4" w:space="0"/>
            </w:tcBorders>
            <w:shd w:val="clear" w:color="auto" w:fill="auto"/>
            <w:vAlign w:val="center"/>
          </w:tcPr>
          <w:p w14:paraId="1FF45DB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14:paraId="47DF59C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制订了严格的财务管理措施，明确了授权和审核、签批流程，每项支出均有迹可循；会计账簿中重要支出事项原始单据或记录手续齐全，单证规范，标准相符，财务把关严格，会计核算准确、完整。</w:t>
            </w:r>
          </w:p>
        </w:tc>
        <w:tc>
          <w:tcPr>
            <w:tcW w:w="940" w:type="dxa"/>
            <w:tcBorders>
              <w:top w:val="nil"/>
              <w:left w:val="nil"/>
              <w:bottom w:val="single" w:color="auto" w:sz="4" w:space="0"/>
              <w:right w:val="single" w:color="auto" w:sz="4" w:space="0"/>
            </w:tcBorders>
            <w:shd w:val="clear" w:color="auto" w:fill="auto"/>
            <w:vAlign w:val="center"/>
          </w:tcPr>
          <w:p w14:paraId="7A82252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4692BAD">
        <w:tblPrEx>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219CD389">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35390C1E">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62AC482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2900" w:type="dxa"/>
            <w:tcBorders>
              <w:top w:val="nil"/>
              <w:left w:val="nil"/>
              <w:bottom w:val="single" w:color="auto" w:sz="4" w:space="0"/>
              <w:right w:val="single" w:color="auto" w:sz="4" w:space="0"/>
            </w:tcBorders>
            <w:shd w:val="clear" w:color="auto" w:fill="auto"/>
            <w:vAlign w:val="center"/>
          </w:tcPr>
          <w:p w14:paraId="6753C05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2660" w:type="dxa"/>
            <w:vMerge w:val="continue"/>
            <w:tcBorders>
              <w:top w:val="nil"/>
              <w:left w:val="single" w:color="auto" w:sz="4" w:space="0"/>
              <w:bottom w:val="single" w:color="auto" w:sz="4" w:space="0"/>
              <w:right w:val="single" w:color="auto" w:sz="4" w:space="0"/>
            </w:tcBorders>
            <w:shd w:val="clear" w:color="auto" w:fill="auto"/>
            <w:vAlign w:val="center"/>
          </w:tcPr>
          <w:p w14:paraId="32FEB07C">
            <w:pPr>
              <w:widowControl/>
              <w:jc w:val="left"/>
              <w:rPr>
                <w:rFonts w:ascii="楷体_GB2312" w:hAnsi="宋体" w:eastAsia="楷体_GB2312" w:cs="宋体"/>
                <w:color w:val="000000"/>
                <w:kern w:val="0"/>
                <w:sz w:val="22"/>
              </w:rPr>
            </w:pPr>
          </w:p>
        </w:tc>
        <w:tc>
          <w:tcPr>
            <w:tcW w:w="940" w:type="dxa"/>
            <w:tcBorders>
              <w:top w:val="nil"/>
              <w:left w:val="nil"/>
              <w:bottom w:val="single" w:color="auto" w:sz="4" w:space="0"/>
              <w:right w:val="single" w:color="auto" w:sz="4" w:space="0"/>
            </w:tcBorders>
            <w:shd w:val="clear" w:color="auto" w:fill="auto"/>
            <w:vAlign w:val="center"/>
          </w:tcPr>
          <w:p w14:paraId="7E158AF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E1C44E8">
        <w:tblPrEx>
          <w:tblCellMar>
            <w:top w:w="0" w:type="dxa"/>
            <w:left w:w="108" w:type="dxa"/>
            <w:bottom w:w="0" w:type="dxa"/>
            <w:right w:w="108" w:type="dxa"/>
          </w:tblCellMar>
        </w:tblPrEx>
        <w:trPr>
          <w:trHeight w:val="270" w:hRule="atLeast"/>
          <w:jc w:val="center"/>
        </w:trPr>
        <w:tc>
          <w:tcPr>
            <w:tcW w:w="8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6A029A">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940" w:type="dxa"/>
            <w:tcBorders>
              <w:top w:val="nil"/>
              <w:left w:val="nil"/>
              <w:bottom w:val="single" w:color="auto" w:sz="4" w:space="0"/>
              <w:right w:val="single" w:color="auto" w:sz="4" w:space="0"/>
            </w:tcBorders>
            <w:shd w:val="clear" w:color="auto" w:fill="auto"/>
            <w:vAlign w:val="center"/>
          </w:tcPr>
          <w:p w14:paraId="7926DBCB">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16</w:t>
            </w:r>
          </w:p>
        </w:tc>
      </w:tr>
      <w:tr w14:paraId="6055E1C7">
        <w:tblPrEx>
          <w:tblCellMar>
            <w:top w:w="0" w:type="dxa"/>
            <w:left w:w="108" w:type="dxa"/>
            <w:bottom w:w="0" w:type="dxa"/>
            <w:right w:w="108" w:type="dxa"/>
          </w:tblCellMar>
        </w:tblPrEx>
        <w:trPr>
          <w:trHeight w:val="270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5C732B4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860" w:type="dxa"/>
            <w:tcBorders>
              <w:top w:val="nil"/>
              <w:left w:val="nil"/>
              <w:bottom w:val="single" w:color="auto" w:sz="4" w:space="0"/>
              <w:right w:val="single" w:color="auto" w:sz="4" w:space="0"/>
            </w:tcBorders>
            <w:shd w:val="clear" w:color="auto" w:fill="auto"/>
            <w:vAlign w:val="center"/>
          </w:tcPr>
          <w:p w14:paraId="37E2AB4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数量指标（15分）</w:t>
            </w:r>
          </w:p>
        </w:tc>
        <w:tc>
          <w:tcPr>
            <w:tcW w:w="1220" w:type="dxa"/>
            <w:tcBorders>
              <w:top w:val="nil"/>
              <w:left w:val="nil"/>
              <w:bottom w:val="single" w:color="auto" w:sz="4" w:space="0"/>
              <w:right w:val="single" w:color="auto" w:sz="4" w:space="0"/>
            </w:tcBorders>
            <w:shd w:val="clear" w:color="auto" w:fill="auto"/>
            <w:vAlign w:val="center"/>
          </w:tcPr>
          <w:p w14:paraId="4340094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安全生产及维稳（15分）</w:t>
            </w:r>
          </w:p>
        </w:tc>
        <w:tc>
          <w:tcPr>
            <w:tcW w:w="2900" w:type="dxa"/>
            <w:tcBorders>
              <w:top w:val="nil"/>
              <w:left w:val="nil"/>
              <w:bottom w:val="single" w:color="auto" w:sz="4" w:space="0"/>
              <w:right w:val="single" w:color="auto" w:sz="4" w:space="0"/>
            </w:tcBorders>
            <w:shd w:val="clear" w:color="auto" w:fill="auto"/>
            <w:vAlign w:val="center"/>
          </w:tcPr>
          <w:p w14:paraId="5308E2B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严格落实安全生产责任制，推进安全生产标准化、信息化建设；及时处理市长专线、城市留言板、阳光信访、群众来访。</w:t>
            </w:r>
          </w:p>
        </w:tc>
        <w:tc>
          <w:tcPr>
            <w:tcW w:w="2660" w:type="dxa"/>
            <w:tcBorders>
              <w:top w:val="nil"/>
              <w:left w:val="nil"/>
              <w:bottom w:val="single" w:color="auto" w:sz="4" w:space="0"/>
              <w:right w:val="single" w:color="auto" w:sz="4" w:space="0"/>
            </w:tcBorders>
            <w:shd w:val="clear" w:color="auto" w:fill="auto"/>
            <w:vAlign w:val="center"/>
          </w:tcPr>
          <w:p w14:paraId="30ECB24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加大重点项目建设工地、学校周边、居民住宅区、建材市场治安力量投入，全年实现安全生产事故零发生；共处理市长专线287件、城市留言板34件、阳光信访41件，接待群众来访28批次，办理信访积案8件，调节矛盾纠纷10起</w:t>
            </w:r>
          </w:p>
        </w:tc>
        <w:tc>
          <w:tcPr>
            <w:tcW w:w="940" w:type="dxa"/>
            <w:tcBorders>
              <w:top w:val="nil"/>
              <w:left w:val="nil"/>
              <w:bottom w:val="single" w:color="auto" w:sz="4" w:space="0"/>
              <w:right w:val="single" w:color="auto" w:sz="4" w:space="0"/>
            </w:tcBorders>
            <w:shd w:val="clear" w:color="auto" w:fill="auto"/>
            <w:vAlign w:val="center"/>
          </w:tcPr>
          <w:p w14:paraId="48CACC7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15</w:t>
            </w:r>
          </w:p>
        </w:tc>
      </w:tr>
      <w:tr w14:paraId="6444B0D1">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863B28C">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5DAA552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质量指标（10分）</w:t>
            </w:r>
          </w:p>
        </w:tc>
        <w:tc>
          <w:tcPr>
            <w:tcW w:w="1220" w:type="dxa"/>
            <w:tcBorders>
              <w:top w:val="nil"/>
              <w:left w:val="nil"/>
              <w:bottom w:val="single" w:color="auto" w:sz="4" w:space="0"/>
              <w:right w:val="single" w:color="auto" w:sz="4" w:space="0"/>
            </w:tcBorders>
            <w:shd w:val="clear" w:color="auto" w:fill="auto"/>
            <w:vAlign w:val="center"/>
          </w:tcPr>
          <w:p w14:paraId="580B897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覆盖九峰街道辖区（10分）</w:t>
            </w:r>
          </w:p>
        </w:tc>
        <w:tc>
          <w:tcPr>
            <w:tcW w:w="2900" w:type="dxa"/>
            <w:tcBorders>
              <w:top w:val="nil"/>
              <w:left w:val="nil"/>
              <w:bottom w:val="single" w:color="auto" w:sz="4" w:space="0"/>
              <w:right w:val="single" w:color="auto" w:sz="4" w:space="0"/>
            </w:tcBorders>
            <w:shd w:val="clear" w:color="auto" w:fill="auto"/>
            <w:vAlign w:val="center"/>
          </w:tcPr>
          <w:p w14:paraId="1D9755F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安全生产及维稳覆盖率90%</w:t>
            </w:r>
          </w:p>
        </w:tc>
        <w:tc>
          <w:tcPr>
            <w:tcW w:w="2660" w:type="dxa"/>
            <w:tcBorders>
              <w:top w:val="nil"/>
              <w:left w:val="nil"/>
              <w:bottom w:val="single" w:color="auto" w:sz="4" w:space="0"/>
              <w:right w:val="single" w:color="auto" w:sz="4" w:space="0"/>
            </w:tcBorders>
            <w:shd w:val="clear" w:color="auto" w:fill="auto"/>
            <w:vAlign w:val="center"/>
          </w:tcPr>
          <w:p w14:paraId="278551E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比较符合计划要求</w:t>
            </w:r>
          </w:p>
        </w:tc>
        <w:tc>
          <w:tcPr>
            <w:tcW w:w="940" w:type="dxa"/>
            <w:tcBorders>
              <w:top w:val="nil"/>
              <w:left w:val="nil"/>
              <w:bottom w:val="single" w:color="auto" w:sz="4" w:space="0"/>
              <w:right w:val="single" w:color="auto" w:sz="4" w:space="0"/>
            </w:tcBorders>
            <w:shd w:val="clear" w:color="auto" w:fill="auto"/>
            <w:vAlign w:val="center"/>
          </w:tcPr>
          <w:p w14:paraId="31E0A95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8</w:t>
            </w:r>
          </w:p>
        </w:tc>
      </w:tr>
      <w:tr w14:paraId="2B7CEAB0">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63E3DAD1">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3242F5F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（5分）</w:t>
            </w:r>
          </w:p>
        </w:tc>
        <w:tc>
          <w:tcPr>
            <w:tcW w:w="1220" w:type="dxa"/>
            <w:tcBorders>
              <w:top w:val="nil"/>
              <w:left w:val="nil"/>
              <w:bottom w:val="single" w:color="auto" w:sz="4" w:space="0"/>
              <w:right w:val="single" w:color="auto" w:sz="4" w:space="0"/>
            </w:tcBorders>
            <w:shd w:val="clear" w:color="auto" w:fill="auto"/>
            <w:vAlign w:val="center"/>
          </w:tcPr>
          <w:p w14:paraId="1BCAE4F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完成及时率（5分）</w:t>
            </w:r>
          </w:p>
        </w:tc>
        <w:tc>
          <w:tcPr>
            <w:tcW w:w="2900" w:type="dxa"/>
            <w:tcBorders>
              <w:top w:val="nil"/>
              <w:left w:val="nil"/>
              <w:bottom w:val="single" w:color="auto" w:sz="4" w:space="0"/>
              <w:right w:val="single" w:color="auto" w:sz="4" w:space="0"/>
            </w:tcBorders>
            <w:shd w:val="clear" w:color="auto" w:fill="auto"/>
            <w:vAlign w:val="center"/>
          </w:tcPr>
          <w:p w14:paraId="33F48A3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组织活动完成及时率100%</w:t>
            </w:r>
          </w:p>
        </w:tc>
        <w:tc>
          <w:tcPr>
            <w:tcW w:w="2660" w:type="dxa"/>
            <w:tcBorders>
              <w:top w:val="nil"/>
              <w:left w:val="nil"/>
              <w:bottom w:val="single" w:color="auto" w:sz="4" w:space="0"/>
              <w:right w:val="single" w:color="auto" w:sz="4" w:space="0"/>
            </w:tcBorders>
            <w:shd w:val="clear" w:color="auto" w:fill="auto"/>
            <w:vAlign w:val="center"/>
          </w:tcPr>
          <w:p w14:paraId="59CCC94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及时完成</w:t>
            </w:r>
          </w:p>
        </w:tc>
        <w:tc>
          <w:tcPr>
            <w:tcW w:w="940" w:type="dxa"/>
            <w:tcBorders>
              <w:top w:val="nil"/>
              <w:left w:val="nil"/>
              <w:bottom w:val="single" w:color="auto" w:sz="4" w:space="0"/>
              <w:right w:val="single" w:color="auto" w:sz="4" w:space="0"/>
            </w:tcBorders>
            <w:shd w:val="clear" w:color="auto" w:fill="auto"/>
            <w:vAlign w:val="center"/>
          </w:tcPr>
          <w:p w14:paraId="2815DED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317B789">
        <w:tblPrEx>
          <w:tblCellMar>
            <w:top w:w="0" w:type="dxa"/>
            <w:left w:w="108" w:type="dxa"/>
            <w:bottom w:w="0" w:type="dxa"/>
            <w:right w:w="108" w:type="dxa"/>
          </w:tblCellMar>
        </w:tblPrEx>
        <w:trPr>
          <w:trHeight w:val="270" w:hRule="atLeast"/>
          <w:jc w:val="center"/>
        </w:trPr>
        <w:tc>
          <w:tcPr>
            <w:tcW w:w="8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CAD1D7">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940" w:type="dxa"/>
            <w:tcBorders>
              <w:top w:val="nil"/>
              <w:left w:val="nil"/>
              <w:bottom w:val="single" w:color="auto" w:sz="4" w:space="0"/>
              <w:right w:val="single" w:color="auto" w:sz="4" w:space="0"/>
            </w:tcBorders>
            <w:shd w:val="clear" w:color="auto" w:fill="auto"/>
            <w:vAlign w:val="center"/>
          </w:tcPr>
          <w:p w14:paraId="08B42D0F">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28</w:t>
            </w:r>
          </w:p>
        </w:tc>
      </w:tr>
      <w:tr w14:paraId="6CDDB13C">
        <w:tblPrEx>
          <w:tblCellMar>
            <w:top w:w="0" w:type="dxa"/>
            <w:left w:w="108" w:type="dxa"/>
            <w:bottom w:w="0" w:type="dxa"/>
            <w:right w:w="108" w:type="dxa"/>
          </w:tblCellMar>
        </w:tblPrEx>
        <w:trPr>
          <w:trHeight w:val="270" w:hRule="atLeast"/>
          <w:jc w:val="center"/>
        </w:trPr>
        <w:tc>
          <w:tcPr>
            <w:tcW w:w="9280" w:type="dxa"/>
            <w:gridSpan w:val="6"/>
            <w:shd w:val="clear" w:color="auto" w:fill="auto"/>
            <w:vAlign w:val="center"/>
          </w:tcPr>
          <w:p w14:paraId="43F7DB09">
            <w:pPr>
              <w:widowControl/>
              <w:jc w:val="center"/>
              <w:rPr>
                <w:rFonts w:hint="eastAsia" w:ascii="宋体" w:hAnsi="宋体" w:cs="宋体"/>
                <w:b/>
                <w:bCs/>
                <w:color w:val="000000"/>
                <w:kern w:val="0"/>
                <w:sz w:val="22"/>
              </w:rPr>
            </w:pPr>
          </w:p>
          <w:p w14:paraId="7D1DB098">
            <w:pPr>
              <w:widowControl/>
              <w:jc w:val="center"/>
              <w:rPr>
                <w:rFonts w:hint="eastAsia" w:ascii="宋体" w:hAnsi="宋体" w:cs="宋体"/>
                <w:b/>
                <w:bCs/>
                <w:color w:val="000000"/>
                <w:kern w:val="0"/>
                <w:sz w:val="22"/>
              </w:rPr>
            </w:pPr>
          </w:p>
          <w:p w14:paraId="4B1C7703">
            <w:pPr>
              <w:widowControl/>
              <w:jc w:val="center"/>
              <w:rPr>
                <w:rFonts w:hint="eastAsia" w:ascii="宋体" w:hAnsi="宋体" w:cs="宋体"/>
                <w:b/>
                <w:bCs/>
                <w:color w:val="000000"/>
                <w:kern w:val="0"/>
                <w:sz w:val="22"/>
              </w:rPr>
            </w:pPr>
          </w:p>
          <w:p w14:paraId="6E465825">
            <w:pPr>
              <w:widowControl/>
              <w:jc w:val="center"/>
              <w:rPr>
                <w:rFonts w:hint="eastAsia" w:ascii="楷体_GB2312" w:hAnsi="宋体" w:eastAsia="楷体_GB2312" w:cs="宋体"/>
                <w:b/>
                <w:bCs/>
                <w:color w:val="000000"/>
                <w:kern w:val="0"/>
                <w:sz w:val="22"/>
              </w:rPr>
            </w:pPr>
          </w:p>
          <w:p w14:paraId="469A9671">
            <w:pPr>
              <w:widowControl/>
              <w:jc w:val="left"/>
              <w:rPr>
                <w:rFonts w:hint="eastAsia" w:ascii="楷体_GB2312" w:hAnsi="宋体" w:eastAsia="楷体_GB2312" w:cs="宋体"/>
                <w:b/>
                <w:bCs/>
                <w:color w:val="000000"/>
                <w:kern w:val="0"/>
                <w:sz w:val="22"/>
              </w:rPr>
            </w:pPr>
            <w:r>
              <w:rPr>
                <w:rFonts w:hint="eastAsia" w:ascii="楷体_GB2312" w:hAnsi="宋体" w:eastAsia="楷体_GB2312" w:cs="宋体"/>
                <w:b/>
                <w:bCs/>
                <w:color w:val="000000"/>
                <w:kern w:val="0"/>
                <w:sz w:val="22"/>
              </w:rPr>
              <w:t>续表：</w:t>
            </w:r>
          </w:p>
        </w:tc>
      </w:tr>
      <w:tr w14:paraId="3DB1A0A5">
        <w:tblPrEx>
          <w:tblCellMar>
            <w:top w:w="0" w:type="dxa"/>
            <w:left w:w="108" w:type="dxa"/>
            <w:bottom w:w="0" w:type="dxa"/>
            <w:right w:w="108" w:type="dxa"/>
          </w:tblCellMar>
        </w:tblPrEx>
        <w:trPr>
          <w:trHeight w:val="54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4E99A4BC">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860" w:type="dxa"/>
            <w:tcBorders>
              <w:top w:val="single" w:color="auto" w:sz="4" w:space="0"/>
              <w:left w:val="nil"/>
              <w:bottom w:val="single" w:color="auto" w:sz="4" w:space="0"/>
              <w:right w:val="single" w:color="auto" w:sz="4" w:space="0"/>
            </w:tcBorders>
            <w:shd w:val="clear" w:color="auto" w:fill="auto"/>
            <w:vAlign w:val="center"/>
          </w:tcPr>
          <w:p w14:paraId="6E0E7729">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73A572F6">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900" w:type="dxa"/>
            <w:tcBorders>
              <w:top w:val="single" w:color="auto" w:sz="4" w:space="0"/>
              <w:left w:val="nil"/>
              <w:bottom w:val="single" w:color="auto" w:sz="4" w:space="0"/>
              <w:right w:val="single" w:color="auto" w:sz="4" w:space="0"/>
            </w:tcBorders>
            <w:shd w:val="clear" w:color="auto" w:fill="auto"/>
            <w:vAlign w:val="center"/>
          </w:tcPr>
          <w:p w14:paraId="777DE692">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660" w:type="dxa"/>
            <w:tcBorders>
              <w:top w:val="single" w:color="auto" w:sz="4" w:space="0"/>
              <w:left w:val="nil"/>
              <w:bottom w:val="single" w:color="auto" w:sz="4" w:space="0"/>
              <w:right w:val="single" w:color="auto" w:sz="4" w:space="0"/>
            </w:tcBorders>
            <w:shd w:val="clear" w:color="auto" w:fill="auto"/>
            <w:vAlign w:val="center"/>
          </w:tcPr>
          <w:p w14:paraId="3678FFE7">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940" w:type="dxa"/>
            <w:tcBorders>
              <w:top w:val="single" w:color="auto" w:sz="4" w:space="0"/>
              <w:left w:val="nil"/>
              <w:bottom w:val="single" w:color="auto" w:sz="4" w:space="0"/>
              <w:right w:val="single" w:color="auto" w:sz="4" w:space="0"/>
            </w:tcBorders>
            <w:shd w:val="clear" w:color="auto" w:fill="auto"/>
            <w:vAlign w:val="center"/>
          </w:tcPr>
          <w:p w14:paraId="507F6A38">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4F4C02E4">
        <w:tblPrEx>
          <w:tblCellMar>
            <w:top w:w="0" w:type="dxa"/>
            <w:left w:w="108" w:type="dxa"/>
            <w:bottom w:w="0" w:type="dxa"/>
            <w:right w:w="108" w:type="dxa"/>
          </w:tblCellMar>
        </w:tblPrEx>
        <w:trPr>
          <w:trHeight w:val="108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4C38C61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860" w:type="dxa"/>
            <w:tcBorders>
              <w:top w:val="nil"/>
              <w:left w:val="nil"/>
              <w:bottom w:val="single" w:color="auto" w:sz="4" w:space="0"/>
              <w:right w:val="single" w:color="auto" w:sz="4" w:space="0"/>
            </w:tcBorders>
            <w:shd w:val="clear" w:color="auto" w:fill="auto"/>
            <w:vAlign w:val="center"/>
          </w:tcPr>
          <w:p w14:paraId="4AF7A92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 （10分）</w:t>
            </w:r>
          </w:p>
        </w:tc>
        <w:tc>
          <w:tcPr>
            <w:tcW w:w="1220" w:type="dxa"/>
            <w:tcBorders>
              <w:top w:val="nil"/>
              <w:left w:val="nil"/>
              <w:bottom w:val="single" w:color="auto" w:sz="4" w:space="0"/>
              <w:right w:val="single" w:color="auto" w:sz="4" w:space="0"/>
            </w:tcBorders>
            <w:shd w:val="clear" w:color="auto" w:fill="auto"/>
            <w:vAlign w:val="center"/>
          </w:tcPr>
          <w:p w14:paraId="6D5FE34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促进保障社会和谐、稳定发展</w:t>
            </w:r>
          </w:p>
        </w:tc>
        <w:tc>
          <w:tcPr>
            <w:tcW w:w="2900" w:type="dxa"/>
            <w:tcBorders>
              <w:top w:val="nil"/>
              <w:left w:val="nil"/>
              <w:bottom w:val="single" w:color="auto" w:sz="4" w:space="0"/>
              <w:right w:val="single" w:color="auto" w:sz="4" w:space="0"/>
            </w:tcBorders>
            <w:shd w:val="clear" w:color="auto" w:fill="auto"/>
            <w:vAlign w:val="center"/>
          </w:tcPr>
          <w:p w14:paraId="027DA06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积极处理矛盾纠纷，维护社会和谐、稳定发展</w:t>
            </w:r>
          </w:p>
        </w:tc>
        <w:tc>
          <w:tcPr>
            <w:tcW w:w="2660" w:type="dxa"/>
            <w:tcBorders>
              <w:top w:val="nil"/>
              <w:left w:val="nil"/>
              <w:bottom w:val="single" w:color="auto" w:sz="4" w:space="0"/>
              <w:right w:val="single" w:color="auto" w:sz="4" w:space="0"/>
            </w:tcBorders>
            <w:shd w:val="clear" w:color="auto" w:fill="auto"/>
            <w:vAlign w:val="center"/>
          </w:tcPr>
          <w:p w14:paraId="082E40A3">
            <w:pPr>
              <w:widowControl/>
              <w:jc w:val="left"/>
              <w:rPr>
                <w:rFonts w:ascii="楷体_GB2312" w:hAnsi="宋体" w:eastAsia="楷体_GB2312" w:cs="宋体"/>
                <w:color w:val="000000"/>
                <w:kern w:val="0"/>
                <w:sz w:val="22"/>
              </w:rPr>
            </w:pPr>
            <w:bookmarkStart w:id="6" w:name="_GoBack"/>
            <w:bookmarkEnd w:id="6"/>
            <w:r>
              <w:rPr>
                <w:rFonts w:hint="eastAsia" w:ascii="楷体_GB2312" w:hAnsi="宋体" w:eastAsia="楷体_GB2312" w:cs="宋体"/>
                <w:color w:val="000000"/>
                <w:kern w:val="0"/>
                <w:sz w:val="22"/>
                <w:lang w:eastAsia="zh-CN"/>
              </w:rPr>
              <w:t>党的十九大</w:t>
            </w:r>
            <w:r>
              <w:rPr>
                <w:rFonts w:hint="eastAsia" w:ascii="楷体_GB2312" w:hAnsi="宋体" w:eastAsia="楷体_GB2312" w:cs="宋体"/>
                <w:color w:val="000000"/>
                <w:kern w:val="0"/>
                <w:sz w:val="22"/>
              </w:rPr>
              <w:t>期间无一例进京赴省非访，确保了九峰地区的和谐稳定</w:t>
            </w:r>
          </w:p>
        </w:tc>
        <w:tc>
          <w:tcPr>
            <w:tcW w:w="940" w:type="dxa"/>
            <w:tcBorders>
              <w:top w:val="nil"/>
              <w:left w:val="nil"/>
              <w:bottom w:val="single" w:color="auto" w:sz="4" w:space="0"/>
              <w:right w:val="single" w:color="auto" w:sz="4" w:space="0"/>
            </w:tcBorders>
            <w:shd w:val="clear" w:color="auto" w:fill="auto"/>
            <w:vAlign w:val="center"/>
          </w:tcPr>
          <w:p w14:paraId="73CFFB6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w:t>
            </w:r>
          </w:p>
        </w:tc>
      </w:tr>
      <w:tr w14:paraId="6FC83F20">
        <w:tblPrEx>
          <w:tblCellMar>
            <w:top w:w="0" w:type="dxa"/>
            <w:left w:w="108" w:type="dxa"/>
            <w:bottom w:w="0" w:type="dxa"/>
            <w:right w:w="108" w:type="dxa"/>
          </w:tblCellMar>
        </w:tblPrEx>
        <w:trPr>
          <w:trHeight w:val="162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33937184">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0CC6167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环境效益指标（5分）</w:t>
            </w:r>
          </w:p>
        </w:tc>
        <w:tc>
          <w:tcPr>
            <w:tcW w:w="1220" w:type="dxa"/>
            <w:tcBorders>
              <w:top w:val="nil"/>
              <w:left w:val="nil"/>
              <w:bottom w:val="single" w:color="auto" w:sz="4" w:space="0"/>
              <w:right w:val="single" w:color="auto" w:sz="4" w:space="0"/>
            </w:tcBorders>
            <w:shd w:val="clear" w:color="auto" w:fill="auto"/>
            <w:vAlign w:val="center"/>
          </w:tcPr>
          <w:p w14:paraId="190A45E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构筑较为完善的社会治安防控体系</w:t>
            </w:r>
          </w:p>
        </w:tc>
        <w:tc>
          <w:tcPr>
            <w:tcW w:w="2900" w:type="dxa"/>
            <w:tcBorders>
              <w:top w:val="nil"/>
              <w:left w:val="nil"/>
              <w:bottom w:val="single" w:color="auto" w:sz="4" w:space="0"/>
              <w:right w:val="single" w:color="auto" w:sz="4" w:space="0"/>
            </w:tcBorders>
            <w:shd w:val="clear" w:color="auto" w:fill="auto"/>
            <w:vAlign w:val="center"/>
          </w:tcPr>
          <w:p w14:paraId="33AB8EF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积极开展普法宣传教育，构建群防群治工作体系，预防青少年犯罪，严格查禁“黄、赌、毒”等社会丑恶现象，还建社区无盗窃案发生</w:t>
            </w:r>
          </w:p>
        </w:tc>
        <w:tc>
          <w:tcPr>
            <w:tcW w:w="2660" w:type="dxa"/>
            <w:tcBorders>
              <w:top w:val="nil"/>
              <w:left w:val="nil"/>
              <w:bottom w:val="single" w:color="auto" w:sz="4" w:space="0"/>
              <w:right w:val="single" w:color="auto" w:sz="4" w:space="0"/>
            </w:tcBorders>
            <w:shd w:val="clear" w:color="auto" w:fill="auto"/>
            <w:vAlign w:val="center"/>
          </w:tcPr>
          <w:p w14:paraId="04DAB94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年以来破获各类案件146件，打掉黑恶团伙2个,有力地震慑了犯罪分子</w:t>
            </w:r>
          </w:p>
        </w:tc>
        <w:tc>
          <w:tcPr>
            <w:tcW w:w="940" w:type="dxa"/>
            <w:tcBorders>
              <w:top w:val="nil"/>
              <w:left w:val="nil"/>
              <w:bottom w:val="single" w:color="auto" w:sz="4" w:space="0"/>
              <w:right w:val="single" w:color="auto" w:sz="4" w:space="0"/>
            </w:tcBorders>
            <w:shd w:val="clear" w:color="auto" w:fill="auto"/>
            <w:vAlign w:val="center"/>
          </w:tcPr>
          <w:p w14:paraId="5596E0C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4.5</w:t>
            </w:r>
          </w:p>
        </w:tc>
      </w:tr>
      <w:tr w14:paraId="5BCBE3A6">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4D3A09D7">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665DA3D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可持续影响指标(10分)</w:t>
            </w:r>
          </w:p>
        </w:tc>
        <w:tc>
          <w:tcPr>
            <w:tcW w:w="1220" w:type="dxa"/>
            <w:tcBorders>
              <w:top w:val="nil"/>
              <w:left w:val="nil"/>
              <w:bottom w:val="single" w:color="auto" w:sz="4" w:space="0"/>
              <w:right w:val="single" w:color="auto" w:sz="4" w:space="0"/>
            </w:tcBorders>
            <w:shd w:val="clear" w:color="auto" w:fill="auto"/>
            <w:vAlign w:val="center"/>
          </w:tcPr>
          <w:p w14:paraId="2573532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确保社会稳定，建立良好的建设环境</w:t>
            </w:r>
          </w:p>
        </w:tc>
        <w:tc>
          <w:tcPr>
            <w:tcW w:w="2900" w:type="dxa"/>
            <w:tcBorders>
              <w:top w:val="nil"/>
              <w:left w:val="nil"/>
              <w:bottom w:val="single" w:color="auto" w:sz="4" w:space="0"/>
              <w:right w:val="single" w:color="auto" w:sz="4" w:space="0"/>
            </w:tcBorders>
            <w:shd w:val="clear" w:color="auto" w:fill="auto"/>
            <w:vAlign w:val="center"/>
          </w:tcPr>
          <w:p w14:paraId="2781CC2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常年、连续投入专项资金，确保项目持续发挥良好作用</w:t>
            </w:r>
          </w:p>
        </w:tc>
        <w:tc>
          <w:tcPr>
            <w:tcW w:w="2660" w:type="dxa"/>
            <w:tcBorders>
              <w:top w:val="nil"/>
              <w:left w:val="nil"/>
              <w:bottom w:val="single" w:color="auto" w:sz="4" w:space="0"/>
              <w:right w:val="single" w:color="auto" w:sz="4" w:space="0"/>
            </w:tcBorders>
            <w:shd w:val="clear" w:color="auto" w:fill="auto"/>
            <w:vAlign w:val="center"/>
          </w:tcPr>
          <w:p w14:paraId="72CF630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常年、连续投入专项资金，确保项目持续发挥良好作用。</w:t>
            </w:r>
          </w:p>
        </w:tc>
        <w:tc>
          <w:tcPr>
            <w:tcW w:w="940" w:type="dxa"/>
            <w:tcBorders>
              <w:top w:val="nil"/>
              <w:left w:val="nil"/>
              <w:bottom w:val="single" w:color="auto" w:sz="4" w:space="0"/>
              <w:right w:val="single" w:color="auto" w:sz="4" w:space="0"/>
            </w:tcBorders>
            <w:shd w:val="clear" w:color="auto" w:fill="auto"/>
            <w:vAlign w:val="center"/>
          </w:tcPr>
          <w:p w14:paraId="0CDEF05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w:t>
            </w:r>
          </w:p>
        </w:tc>
      </w:tr>
      <w:tr w14:paraId="44F32131">
        <w:tblPrEx>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7BD0156B">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735A43F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服务对象满意度指标 （5分）</w:t>
            </w:r>
          </w:p>
        </w:tc>
        <w:tc>
          <w:tcPr>
            <w:tcW w:w="1220" w:type="dxa"/>
            <w:tcBorders>
              <w:top w:val="nil"/>
              <w:left w:val="nil"/>
              <w:bottom w:val="single" w:color="auto" w:sz="4" w:space="0"/>
              <w:right w:val="single" w:color="auto" w:sz="4" w:space="0"/>
            </w:tcBorders>
            <w:shd w:val="clear" w:color="auto" w:fill="auto"/>
            <w:vAlign w:val="center"/>
          </w:tcPr>
          <w:p w14:paraId="4813B3C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社区居民满意度</w:t>
            </w:r>
          </w:p>
        </w:tc>
        <w:tc>
          <w:tcPr>
            <w:tcW w:w="2900" w:type="dxa"/>
            <w:tcBorders>
              <w:top w:val="nil"/>
              <w:left w:val="nil"/>
              <w:bottom w:val="single" w:color="auto" w:sz="4" w:space="0"/>
              <w:right w:val="single" w:color="auto" w:sz="4" w:space="0"/>
            </w:tcBorders>
            <w:shd w:val="clear" w:color="auto" w:fill="auto"/>
            <w:vAlign w:val="center"/>
          </w:tcPr>
          <w:p w14:paraId="617508F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工作及服务质量投诉率不高于5%</w:t>
            </w:r>
          </w:p>
        </w:tc>
        <w:tc>
          <w:tcPr>
            <w:tcW w:w="2660" w:type="dxa"/>
            <w:tcBorders>
              <w:top w:val="nil"/>
              <w:left w:val="nil"/>
              <w:bottom w:val="single" w:color="auto" w:sz="4" w:space="0"/>
              <w:right w:val="single" w:color="auto" w:sz="4" w:space="0"/>
            </w:tcBorders>
            <w:shd w:val="clear" w:color="auto" w:fill="auto"/>
            <w:vAlign w:val="center"/>
          </w:tcPr>
          <w:p w14:paraId="1162132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c>
          <w:tcPr>
            <w:tcW w:w="940" w:type="dxa"/>
            <w:tcBorders>
              <w:top w:val="nil"/>
              <w:left w:val="nil"/>
              <w:bottom w:val="single" w:color="auto" w:sz="4" w:space="0"/>
              <w:right w:val="single" w:color="auto" w:sz="4" w:space="0"/>
            </w:tcBorders>
            <w:shd w:val="clear" w:color="auto" w:fill="auto"/>
            <w:vAlign w:val="center"/>
          </w:tcPr>
          <w:p w14:paraId="7792CB3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64E13526">
        <w:tblPrEx>
          <w:tblCellMar>
            <w:top w:w="0" w:type="dxa"/>
            <w:left w:w="108" w:type="dxa"/>
            <w:bottom w:w="0" w:type="dxa"/>
            <w:right w:w="108" w:type="dxa"/>
          </w:tblCellMar>
        </w:tblPrEx>
        <w:trPr>
          <w:trHeight w:val="270" w:hRule="atLeast"/>
          <w:jc w:val="center"/>
        </w:trPr>
        <w:tc>
          <w:tcPr>
            <w:tcW w:w="8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40BEAB">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940" w:type="dxa"/>
            <w:tcBorders>
              <w:top w:val="nil"/>
              <w:left w:val="nil"/>
              <w:bottom w:val="single" w:color="auto" w:sz="4" w:space="0"/>
              <w:right w:val="single" w:color="auto" w:sz="4" w:space="0"/>
            </w:tcBorders>
            <w:shd w:val="clear" w:color="auto" w:fill="auto"/>
            <w:vAlign w:val="center"/>
          </w:tcPr>
          <w:p w14:paraId="6E5089E8">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29.5</w:t>
            </w:r>
          </w:p>
        </w:tc>
      </w:tr>
      <w:tr w14:paraId="57721040">
        <w:tblPrEx>
          <w:tblCellMar>
            <w:top w:w="0" w:type="dxa"/>
            <w:left w:w="108" w:type="dxa"/>
            <w:bottom w:w="0" w:type="dxa"/>
            <w:right w:w="108" w:type="dxa"/>
          </w:tblCellMar>
        </w:tblPrEx>
        <w:trPr>
          <w:trHeight w:val="270" w:hRule="atLeast"/>
          <w:jc w:val="center"/>
        </w:trPr>
        <w:tc>
          <w:tcPr>
            <w:tcW w:w="8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AA97401">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940" w:type="dxa"/>
            <w:tcBorders>
              <w:top w:val="nil"/>
              <w:left w:val="nil"/>
              <w:bottom w:val="single" w:color="auto" w:sz="4" w:space="0"/>
              <w:right w:val="single" w:color="auto" w:sz="4" w:space="0"/>
            </w:tcBorders>
            <w:shd w:val="clear" w:color="auto" w:fill="auto"/>
            <w:vAlign w:val="center"/>
          </w:tcPr>
          <w:p w14:paraId="5FB4F07C">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91.5</w:t>
            </w:r>
          </w:p>
        </w:tc>
      </w:tr>
    </w:tbl>
    <w:p w14:paraId="0A465B80">
      <w:pPr>
        <w:spacing w:line="360" w:lineRule="auto"/>
        <w:ind w:firstLine="560" w:firstLineChars="200"/>
        <w:rPr>
          <w:rFonts w:hint="eastAsia"/>
          <w:sz w:val="28"/>
        </w:rPr>
      </w:pPr>
      <w:r>
        <w:rPr>
          <w:rFonts w:hint="eastAsia"/>
          <w:sz w:val="28"/>
        </w:rPr>
        <w:t>根据上表，分析如下：</w:t>
      </w:r>
    </w:p>
    <w:p w14:paraId="20EE1898">
      <w:pPr>
        <w:spacing w:line="360" w:lineRule="auto"/>
        <w:ind w:firstLine="560" w:firstLineChars="200"/>
        <w:rPr>
          <w:sz w:val="28"/>
        </w:rPr>
      </w:pPr>
      <w:r>
        <w:rPr>
          <w:rFonts w:hint="eastAsia"/>
          <w:sz w:val="28"/>
        </w:rPr>
        <w:t>1．产出目标</w:t>
      </w:r>
    </w:p>
    <w:p w14:paraId="4D1983C9">
      <w:pPr>
        <w:spacing w:line="360" w:lineRule="auto"/>
        <w:ind w:firstLine="560" w:firstLineChars="200"/>
        <w:rPr>
          <w:rFonts w:hint="eastAsia"/>
          <w:sz w:val="28"/>
        </w:rPr>
      </w:pPr>
      <w:r>
        <w:rPr>
          <w:rFonts w:hint="eastAsia"/>
          <w:sz w:val="28"/>
        </w:rPr>
        <w:t>（1）数量指标</w:t>
      </w:r>
    </w:p>
    <w:p w14:paraId="744BB73C">
      <w:pPr>
        <w:spacing w:line="360" w:lineRule="auto"/>
        <w:ind w:firstLine="560" w:firstLineChars="200"/>
        <w:rPr>
          <w:rFonts w:hint="eastAsia"/>
          <w:sz w:val="28"/>
        </w:rPr>
      </w:pPr>
      <w:r>
        <w:rPr>
          <w:rFonts w:hint="eastAsia"/>
          <w:sz w:val="28"/>
        </w:rPr>
        <w:t>截止2017年12月31日，共处理市长专线287件、城市留言板34件、阳光信访41件，接待群众来访28批次，办理信访积案8件，调节矛盾纠纷10起，</w:t>
      </w:r>
      <w:r>
        <w:rPr>
          <w:rFonts w:hint="eastAsia"/>
          <w:sz w:val="28"/>
          <w:lang w:eastAsia="zh-CN"/>
        </w:rPr>
        <w:t>党的十九大</w:t>
      </w:r>
      <w:r>
        <w:rPr>
          <w:rFonts w:hint="eastAsia"/>
          <w:sz w:val="28"/>
        </w:rPr>
        <w:t>期间无一例进京赴省非访；破获各类案件146件，打掉黑恶团伙2个。</w:t>
      </w:r>
    </w:p>
    <w:p w14:paraId="1E394335">
      <w:pPr>
        <w:spacing w:line="360" w:lineRule="auto"/>
        <w:ind w:firstLine="560" w:firstLineChars="200"/>
        <w:rPr>
          <w:rFonts w:hint="eastAsia"/>
          <w:sz w:val="28"/>
        </w:rPr>
      </w:pPr>
      <w:r>
        <w:rPr>
          <w:rFonts w:hint="eastAsia"/>
          <w:sz w:val="28"/>
        </w:rPr>
        <w:t>（2）质量指标</w:t>
      </w:r>
    </w:p>
    <w:p w14:paraId="3F9C098F">
      <w:pPr>
        <w:spacing w:line="360" w:lineRule="auto"/>
        <w:ind w:firstLine="560" w:firstLineChars="200"/>
        <w:rPr>
          <w:rFonts w:hint="eastAsia"/>
          <w:sz w:val="28"/>
        </w:rPr>
      </w:pPr>
      <w:r>
        <w:rPr>
          <w:rFonts w:hint="eastAsia"/>
          <w:sz w:val="28"/>
        </w:rPr>
        <w:t>确保了九峰地区的和谐稳定；严格落实安全生产责任制，推进安全生产标准化、信息化建设，加大重点项目建设工地、学校周边、居民住宅区、建材市场治安力量投入，全年实现安全生产事故零发生</w:t>
      </w:r>
    </w:p>
    <w:p w14:paraId="4EBEC8BC">
      <w:pPr>
        <w:spacing w:line="360" w:lineRule="auto"/>
        <w:ind w:firstLine="560" w:firstLineChars="200"/>
        <w:rPr>
          <w:rFonts w:hint="eastAsia"/>
          <w:sz w:val="28"/>
        </w:rPr>
      </w:pPr>
      <w:r>
        <w:rPr>
          <w:rFonts w:hint="eastAsia"/>
          <w:sz w:val="28"/>
        </w:rPr>
        <w:t>（3）时效指标</w:t>
      </w:r>
    </w:p>
    <w:p w14:paraId="47A607A9">
      <w:pPr>
        <w:spacing w:line="360" w:lineRule="auto"/>
        <w:ind w:firstLine="560" w:firstLineChars="200"/>
        <w:rPr>
          <w:rFonts w:hint="eastAsia"/>
          <w:sz w:val="28"/>
        </w:rPr>
      </w:pPr>
      <w:r>
        <w:rPr>
          <w:rFonts w:hint="eastAsia"/>
          <w:sz w:val="28"/>
        </w:rPr>
        <w:t>组织活动完成及时率达到100%。</w:t>
      </w:r>
    </w:p>
    <w:p w14:paraId="5F4D3760">
      <w:pPr>
        <w:spacing w:line="360" w:lineRule="auto"/>
        <w:ind w:firstLine="560" w:firstLineChars="200"/>
        <w:rPr>
          <w:sz w:val="28"/>
        </w:rPr>
      </w:pPr>
      <w:r>
        <w:rPr>
          <w:rFonts w:hint="eastAsia"/>
          <w:sz w:val="28"/>
        </w:rPr>
        <w:t>2．效果目标</w:t>
      </w:r>
    </w:p>
    <w:p w14:paraId="109C98AB">
      <w:pPr>
        <w:spacing w:line="360" w:lineRule="auto"/>
        <w:ind w:firstLine="560" w:firstLineChars="200"/>
        <w:rPr>
          <w:rFonts w:hint="eastAsia"/>
          <w:sz w:val="28"/>
        </w:rPr>
      </w:pPr>
      <w:r>
        <w:rPr>
          <w:rFonts w:hint="eastAsia"/>
          <w:sz w:val="28"/>
        </w:rPr>
        <w:t>（1）社会效益指标</w:t>
      </w:r>
    </w:p>
    <w:p w14:paraId="1ECDB5CB">
      <w:pPr>
        <w:spacing w:line="360" w:lineRule="auto"/>
        <w:ind w:firstLine="560" w:firstLineChars="200"/>
        <w:rPr>
          <w:sz w:val="28"/>
        </w:rPr>
      </w:pPr>
      <w:r>
        <w:rPr>
          <w:rFonts w:hint="eastAsia"/>
          <w:sz w:val="28"/>
        </w:rPr>
        <w:t>积极处理矛盾纠纷，维护社会和谐、稳定发展，</w:t>
      </w:r>
      <w:r>
        <w:rPr>
          <w:rFonts w:hint="eastAsia"/>
          <w:sz w:val="28"/>
          <w:lang w:eastAsia="zh-CN"/>
        </w:rPr>
        <w:t>党的十九大</w:t>
      </w:r>
      <w:r>
        <w:rPr>
          <w:rFonts w:hint="eastAsia"/>
          <w:sz w:val="28"/>
        </w:rPr>
        <w:t>期间无一例进京赴省非访，确保了九峰地区的和谐稳定。</w:t>
      </w:r>
    </w:p>
    <w:p w14:paraId="7FAC1B19">
      <w:pPr>
        <w:spacing w:line="360" w:lineRule="auto"/>
        <w:ind w:firstLine="560" w:firstLineChars="200"/>
        <w:rPr>
          <w:rFonts w:hint="eastAsia"/>
          <w:sz w:val="28"/>
        </w:rPr>
      </w:pPr>
      <w:r>
        <w:rPr>
          <w:rFonts w:hint="eastAsia"/>
          <w:sz w:val="28"/>
        </w:rPr>
        <w:t>（2）环境效益</w:t>
      </w:r>
    </w:p>
    <w:p w14:paraId="72F3C940">
      <w:pPr>
        <w:spacing w:line="360" w:lineRule="auto"/>
        <w:ind w:firstLine="560" w:firstLineChars="200"/>
        <w:rPr>
          <w:sz w:val="28"/>
        </w:rPr>
      </w:pPr>
      <w:r>
        <w:rPr>
          <w:rFonts w:hint="eastAsia"/>
          <w:sz w:val="28"/>
        </w:rPr>
        <w:t>积极开展普法宣传教育，构建群防群治工作体系，预防青少年犯罪，严格查禁“黄、赌、毒”等社会丑恶现象，还建社区无盗窃案发生</w:t>
      </w:r>
    </w:p>
    <w:p w14:paraId="0E18694A">
      <w:pPr>
        <w:spacing w:line="360" w:lineRule="auto"/>
        <w:ind w:firstLine="560" w:firstLineChars="200"/>
        <w:rPr>
          <w:rFonts w:hint="eastAsia"/>
          <w:sz w:val="28"/>
        </w:rPr>
      </w:pPr>
      <w:r>
        <w:rPr>
          <w:rFonts w:hint="eastAsia"/>
          <w:sz w:val="28"/>
        </w:rPr>
        <w:t>（3）可持续影响指标</w:t>
      </w:r>
    </w:p>
    <w:p w14:paraId="0E0D070B">
      <w:pPr>
        <w:spacing w:line="360" w:lineRule="auto"/>
        <w:ind w:firstLine="560" w:firstLineChars="200"/>
        <w:rPr>
          <w:sz w:val="28"/>
        </w:rPr>
      </w:pPr>
      <w:r>
        <w:rPr>
          <w:rFonts w:hint="eastAsia"/>
          <w:sz w:val="28"/>
        </w:rPr>
        <w:t>项目经费的发放能保障安全生产及维稳事务持续运转，保障政府职能的持续运行。</w:t>
      </w:r>
    </w:p>
    <w:p w14:paraId="04C41374">
      <w:pPr>
        <w:spacing w:line="360" w:lineRule="auto"/>
        <w:ind w:firstLine="560" w:firstLineChars="200"/>
        <w:rPr>
          <w:sz w:val="28"/>
        </w:rPr>
      </w:pPr>
      <w:r>
        <w:rPr>
          <w:rFonts w:hint="eastAsia"/>
          <w:sz w:val="28"/>
        </w:rPr>
        <w:t>（4）社会公众或服务对象满意度指标</w:t>
      </w:r>
    </w:p>
    <w:p w14:paraId="4684B787">
      <w:pPr>
        <w:spacing w:line="360" w:lineRule="auto"/>
        <w:ind w:firstLine="560" w:firstLineChars="200"/>
        <w:rPr>
          <w:rFonts w:hint="eastAsia"/>
          <w:sz w:val="28"/>
        </w:rPr>
      </w:pPr>
      <w:r>
        <w:rPr>
          <w:rFonts w:hint="eastAsia"/>
          <w:sz w:val="28"/>
        </w:rPr>
        <w:t>安全生产及维稳项目对群众的生活安全、工作安全提供了保障，对九峰地区的和谐稳定提供了保障，群众投诉率为3%，较好地实现了项目预期。</w:t>
      </w:r>
    </w:p>
    <w:p w14:paraId="49178106">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2949325D">
      <w:pPr>
        <w:spacing w:line="360" w:lineRule="auto"/>
        <w:ind w:firstLine="560" w:firstLineChars="200"/>
        <w:rPr>
          <w:sz w:val="28"/>
        </w:rPr>
      </w:pPr>
      <w:r>
        <w:rPr>
          <w:rFonts w:hint="eastAsia"/>
          <w:sz w:val="28"/>
        </w:rPr>
        <w:t>（一）自评结论</w:t>
      </w:r>
    </w:p>
    <w:p w14:paraId="5DA55358">
      <w:pPr>
        <w:spacing w:line="360" w:lineRule="auto"/>
        <w:ind w:firstLine="560" w:firstLineChars="200"/>
        <w:rPr>
          <w:rFonts w:hint="eastAsia"/>
          <w:sz w:val="28"/>
        </w:rPr>
      </w:pPr>
      <w:r>
        <w:rPr>
          <w:rFonts w:hint="eastAsia"/>
          <w:sz w:val="28"/>
        </w:rPr>
        <w:t>经上述分析评价，我们认为：</w:t>
      </w:r>
    </w:p>
    <w:p w14:paraId="586D66D7">
      <w:pPr>
        <w:spacing w:line="360" w:lineRule="auto"/>
        <w:ind w:firstLine="560" w:firstLineChars="200"/>
        <w:rPr>
          <w:rFonts w:hint="eastAsia"/>
          <w:sz w:val="28"/>
        </w:rPr>
      </w:pPr>
      <w:r>
        <w:rPr>
          <w:rFonts w:hint="eastAsia"/>
          <w:sz w:val="28"/>
        </w:rPr>
        <w:t>2017年度“九峰街道办事处安全生产及维稳经费”项目积极响应国家政策，立项依据较为充分，可行性研究到位，必要性突出，决策规范、高效。</w:t>
      </w:r>
    </w:p>
    <w:p w14:paraId="0C218610">
      <w:pPr>
        <w:spacing w:line="360" w:lineRule="auto"/>
        <w:ind w:firstLine="560" w:firstLineChars="200"/>
        <w:rPr>
          <w:rFonts w:hint="eastAsia"/>
          <w:sz w:val="28"/>
        </w:rPr>
      </w:pPr>
      <w:r>
        <w:rPr>
          <w:rFonts w:hint="eastAsia"/>
          <w:sz w:val="28"/>
        </w:rPr>
        <w:t>严格执行建设项目管理流程，规范实施，并通过检查监督进一步确保落实，形成了良好的管理、执行氛围。</w:t>
      </w:r>
    </w:p>
    <w:p w14:paraId="1F647A39">
      <w:pPr>
        <w:spacing w:line="360" w:lineRule="auto"/>
        <w:ind w:firstLine="560" w:firstLineChars="200"/>
        <w:rPr>
          <w:rFonts w:hint="eastAsia"/>
          <w:sz w:val="28"/>
        </w:rPr>
      </w:pPr>
      <w:r>
        <w:rPr>
          <w:rFonts w:hint="eastAsia"/>
          <w:sz w:val="28"/>
        </w:rPr>
        <w:t>从产出和效果上来看，较好的完成了年初制订的各项项目工作内容，实现了预期效果，取得了很高的用户满意度。</w:t>
      </w:r>
    </w:p>
    <w:p w14:paraId="1A839853">
      <w:pPr>
        <w:spacing w:line="360" w:lineRule="auto"/>
        <w:ind w:firstLine="560" w:firstLineChars="200"/>
        <w:rPr>
          <w:rFonts w:hint="eastAsia"/>
          <w:sz w:val="28"/>
        </w:rPr>
      </w:pPr>
      <w:r>
        <w:rPr>
          <w:rFonts w:hint="eastAsia"/>
          <w:sz w:val="28"/>
        </w:rPr>
        <w:t>综上，绩效评价综合得分为91.5分，评价结果为优。</w:t>
      </w:r>
    </w:p>
    <w:p w14:paraId="5AEA3877">
      <w:pPr>
        <w:spacing w:line="360" w:lineRule="auto"/>
        <w:ind w:firstLine="560" w:firstLineChars="200"/>
        <w:rPr>
          <w:sz w:val="28"/>
        </w:rPr>
      </w:pPr>
      <w:r>
        <w:rPr>
          <w:rFonts w:hint="eastAsia"/>
          <w:sz w:val="28"/>
        </w:rPr>
        <w:t>（二）主要经验，存在的问题和改进措施</w:t>
      </w:r>
    </w:p>
    <w:p w14:paraId="006BAF40">
      <w:pPr>
        <w:spacing w:line="360" w:lineRule="auto"/>
        <w:ind w:firstLine="560" w:firstLineChars="200"/>
        <w:rPr>
          <w:rFonts w:hint="eastAsia"/>
          <w:sz w:val="28"/>
        </w:rPr>
      </w:pPr>
      <w:r>
        <w:rPr>
          <w:rFonts w:hint="eastAsia"/>
          <w:sz w:val="28"/>
        </w:rPr>
        <w:t>1、主要经验</w:t>
      </w:r>
    </w:p>
    <w:p w14:paraId="3BCE3720">
      <w:pPr>
        <w:spacing w:line="360" w:lineRule="auto"/>
        <w:ind w:firstLine="560" w:firstLineChars="200"/>
        <w:rPr>
          <w:rFonts w:hint="eastAsia"/>
          <w:sz w:val="28"/>
        </w:rPr>
      </w:pPr>
      <w:r>
        <w:rPr>
          <w:rFonts w:hint="eastAsia"/>
          <w:sz w:val="28"/>
        </w:rPr>
        <w:t>（1）紧紧抓住社区管理、动迁安置、城建市容、历史遗留问题等信访热点难点问题，全面加强民情联系，通过领导接访、信访积案化解、领导包案和矛盾纠纷排查等有效措施，形成科学有效的利益协调机制、诉求表达机制和矛盾调处机制，保证信访局面稳定可控。</w:t>
      </w:r>
    </w:p>
    <w:p w14:paraId="169A8B91">
      <w:pPr>
        <w:spacing w:line="360" w:lineRule="auto"/>
        <w:ind w:firstLine="560" w:firstLineChars="200"/>
        <w:rPr>
          <w:rFonts w:hint="eastAsia"/>
          <w:sz w:val="28"/>
        </w:rPr>
      </w:pPr>
      <w:r>
        <w:rPr>
          <w:rFonts w:hint="eastAsia"/>
          <w:sz w:val="28"/>
        </w:rPr>
        <w:t>（2）坚持“安全第一，预防为主”的方针，抓好安全生产日常监管工作；认真落实食品安全和病媒防治工作；保障了各项重点工程施工有序进行，实现安全生产零事故</w:t>
      </w:r>
    </w:p>
    <w:p w14:paraId="1847FA12">
      <w:pPr>
        <w:spacing w:line="360" w:lineRule="auto"/>
        <w:ind w:firstLine="560" w:firstLineChars="200"/>
        <w:rPr>
          <w:rFonts w:hint="eastAsia"/>
          <w:sz w:val="28"/>
        </w:rPr>
      </w:pPr>
      <w:r>
        <w:rPr>
          <w:rFonts w:hint="eastAsia"/>
          <w:sz w:val="28"/>
        </w:rPr>
        <w:t>2、存在问题</w:t>
      </w:r>
    </w:p>
    <w:p w14:paraId="798203AF">
      <w:pPr>
        <w:spacing w:line="360" w:lineRule="auto"/>
        <w:ind w:firstLine="560" w:firstLineChars="200"/>
        <w:rPr>
          <w:rFonts w:hint="eastAsia"/>
          <w:sz w:val="28"/>
        </w:rPr>
      </w:pPr>
      <w:r>
        <w:rPr>
          <w:rFonts w:hint="eastAsia"/>
          <w:sz w:val="28"/>
        </w:rPr>
        <w:t>中心城建设深入展开后大量外来人员涌入，安全生产、综治维稳等社会治理压力巨大。</w:t>
      </w:r>
    </w:p>
    <w:p w14:paraId="4150FFAD">
      <w:pPr>
        <w:spacing w:line="360" w:lineRule="auto"/>
        <w:ind w:firstLine="560" w:firstLineChars="200"/>
        <w:rPr>
          <w:rFonts w:hint="eastAsia"/>
          <w:sz w:val="28"/>
        </w:rPr>
      </w:pPr>
      <w:r>
        <w:rPr>
          <w:rFonts w:hint="eastAsia"/>
          <w:sz w:val="28"/>
        </w:rPr>
        <w:t>3、改性措施</w:t>
      </w:r>
    </w:p>
    <w:p w14:paraId="4AF77D07">
      <w:pPr>
        <w:spacing w:line="360" w:lineRule="auto"/>
        <w:ind w:firstLine="560" w:firstLineChars="200"/>
        <w:rPr>
          <w:rFonts w:hint="eastAsia"/>
          <w:sz w:val="28"/>
        </w:rPr>
      </w:pPr>
      <w:r>
        <w:rPr>
          <w:rFonts w:hint="eastAsia"/>
          <w:sz w:val="28"/>
        </w:rPr>
        <w:t>（1）充分运用法治思维和法治方式开展各项工作，发挥街道法律工作站作用，进一步加强信访积案包案化解和重点人员稳控，做好征地拆迁、还建安置、城市管理、物业服务等社会矛盾纠纷排查化解工作，着力解决群众信访疑难积案，确保不发生赴省进京越级上访及群体性事件。</w:t>
      </w:r>
    </w:p>
    <w:p w14:paraId="76E365AC">
      <w:pPr>
        <w:spacing w:line="360" w:lineRule="auto"/>
        <w:ind w:firstLine="560" w:firstLineChars="200"/>
        <w:rPr>
          <w:rFonts w:hint="eastAsia"/>
          <w:sz w:val="28"/>
        </w:rPr>
      </w:pPr>
      <w:r>
        <w:rPr>
          <w:rFonts w:hint="eastAsia"/>
          <w:sz w:val="28"/>
        </w:rPr>
        <w:t>（2）严格落实安全生产责任，加强各方联动，形成齐抓共管局面；完善安全生产应急管理体系，深入排查消防、建筑工地、社区基础设施、易燃易爆场所等各类安全隐患，确保不发生重大安全生产事故。</w:t>
      </w:r>
    </w:p>
    <w:p w14:paraId="0B638A57">
      <w:pPr>
        <w:spacing w:line="360" w:lineRule="auto"/>
        <w:ind w:firstLine="560" w:firstLineChars="200"/>
        <w:rPr>
          <w:rFonts w:hint="eastAsia"/>
          <w:sz w:val="28"/>
        </w:rPr>
      </w:pPr>
      <w:r>
        <w:rPr>
          <w:rFonts w:hint="eastAsia"/>
          <w:sz w:val="28"/>
        </w:rPr>
        <w:t>（3）以服务重点项目建设、维护社会和谐稳定为目的，严厉打击各类违法犯罪，加强治安突出问题、重点区域整治和重点群体的教育管理，广泛动员群众参与群防群治，积极创建无“黄、赌、毒、盗、抢”社区，全力保障人民生命财产安全和各项重点工程项目顺利推进。</w:t>
      </w:r>
    </w:p>
    <w:p w14:paraId="62318D3B">
      <w:pPr>
        <w:pStyle w:val="9"/>
        <w:widowControl w:val="0"/>
        <w:numPr>
          <w:ilvl w:val="0"/>
          <w:numId w:val="0"/>
        </w:numPr>
        <w:tabs>
          <w:tab w:val="left" w:pos="993"/>
          <w:tab w:val="left" w:pos="1418"/>
        </w:tabs>
        <w:spacing w:line="600" w:lineRule="exact"/>
        <w:jc w:val="left"/>
        <w:rPr>
          <w:rFonts w:hint="eastAsia"/>
          <w:sz w:val="28"/>
        </w:rPr>
      </w:pPr>
    </w:p>
    <w:p w14:paraId="3264DE30">
      <w:pPr>
        <w:pStyle w:val="9"/>
        <w:widowControl w:val="0"/>
        <w:numPr>
          <w:ilvl w:val="0"/>
          <w:numId w:val="0"/>
        </w:numPr>
        <w:tabs>
          <w:tab w:val="left" w:pos="993"/>
          <w:tab w:val="left" w:pos="1418"/>
        </w:tabs>
        <w:spacing w:line="600" w:lineRule="exact"/>
        <w:jc w:val="left"/>
        <w:rPr>
          <w:rFonts w:hint="eastAsia"/>
          <w:sz w:val="28"/>
        </w:rPr>
      </w:pPr>
    </w:p>
    <w:p w14:paraId="41AAF5AD">
      <w:pPr>
        <w:pStyle w:val="9"/>
        <w:widowControl w:val="0"/>
        <w:numPr>
          <w:ilvl w:val="0"/>
          <w:numId w:val="0"/>
        </w:numPr>
        <w:tabs>
          <w:tab w:val="left" w:pos="993"/>
          <w:tab w:val="left" w:pos="1418"/>
        </w:tabs>
        <w:spacing w:line="600" w:lineRule="exact"/>
        <w:jc w:val="left"/>
        <w:rPr>
          <w:rFonts w:hint="eastAsia"/>
          <w:sz w:val="28"/>
        </w:rPr>
      </w:pPr>
    </w:p>
    <w:p w14:paraId="58692E19">
      <w:pPr>
        <w:pStyle w:val="9"/>
        <w:widowControl w:val="0"/>
        <w:numPr>
          <w:ilvl w:val="0"/>
          <w:numId w:val="0"/>
        </w:numPr>
        <w:tabs>
          <w:tab w:val="left" w:pos="993"/>
          <w:tab w:val="left" w:pos="1418"/>
        </w:tabs>
        <w:spacing w:line="600" w:lineRule="exact"/>
        <w:jc w:val="left"/>
        <w:rPr>
          <w:rFonts w:hint="eastAsia"/>
          <w:sz w:val="28"/>
        </w:rPr>
      </w:pPr>
    </w:p>
    <w:p w14:paraId="2D31ED23">
      <w:pPr>
        <w:pStyle w:val="9"/>
        <w:widowControl w:val="0"/>
        <w:numPr>
          <w:ilvl w:val="0"/>
          <w:numId w:val="0"/>
        </w:numPr>
        <w:tabs>
          <w:tab w:val="left" w:pos="993"/>
          <w:tab w:val="left" w:pos="1418"/>
        </w:tabs>
        <w:spacing w:line="600" w:lineRule="exact"/>
        <w:jc w:val="left"/>
        <w:rPr>
          <w:rFonts w:hint="eastAsia"/>
          <w:sz w:val="28"/>
        </w:rPr>
      </w:pPr>
    </w:p>
    <w:p w14:paraId="6C451A3E">
      <w:pPr>
        <w:pStyle w:val="9"/>
        <w:widowControl w:val="0"/>
        <w:numPr>
          <w:ilvl w:val="0"/>
          <w:numId w:val="0"/>
        </w:numPr>
        <w:tabs>
          <w:tab w:val="left" w:pos="993"/>
          <w:tab w:val="left" w:pos="1418"/>
        </w:tabs>
        <w:spacing w:line="600" w:lineRule="exact"/>
        <w:jc w:val="left"/>
        <w:rPr>
          <w:rFonts w:hint="eastAsia"/>
          <w:sz w:val="28"/>
        </w:rPr>
      </w:pPr>
    </w:p>
    <w:p w14:paraId="10E3BC5E">
      <w:pPr>
        <w:pStyle w:val="9"/>
        <w:widowControl w:val="0"/>
        <w:numPr>
          <w:ilvl w:val="0"/>
          <w:numId w:val="0"/>
        </w:numPr>
        <w:tabs>
          <w:tab w:val="left" w:pos="993"/>
          <w:tab w:val="left" w:pos="1418"/>
        </w:tabs>
        <w:spacing w:line="600" w:lineRule="exact"/>
        <w:jc w:val="left"/>
        <w:rPr>
          <w:rFonts w:hint="eastAsia"/>
          <w:sz w:val="28"/>
        </w:rPr>
      </w:pPr>
    </w:p>
    <w:p w14:paraId="56FB7EC2">
      <w:pPr>
        <w:pStyle w:val="9"/>
        <w:widowControl w:val="0"/>
        <w:numPr>
          <w:ilvl w:val="0"/>
          <w:numId w:val="0"/>
        </w:numPr>
        <w:tabs>
          <w:tab w:val="left" w:pos="993"/>
          <w:tab w:val="left" w:pos="1418"/>
        </w:tabs>
        <w:spacing w:line="600" w:lineRule="exact"/>
        <w:jc w:val="left"/>
        <w:rPr>
          <w:rFonts w:hint="eastAsia"/>
          <w:sz w:val="28"/>
        </w:rPr>
      </w:pPr>
    </w:p>
    <w:p w14:paraId="1CA61120">
      <w:pPr>
        <w:pStyle w:val="9"/>
        <w:widowControl w:val="0"/>
        <w:numPr>
          <w:ilvl w:val="0"/>
          <w:numId w:val="0"/>
        </w:numPr>
        <w:tabs>
          <w:tab w:val="left" w:pos="993"/>
          <w:tab w:val="left" w:pos="1418"/>
        </w:tabs>
        <w:spacing w:line="600" w:lineRule="exact"/>
        <w:jc w:val="left"/>
        <w:rPr>
          <w:rFonts w:hint="eastAsia"/>
          <w:sz w:val="28"/>
        </w:rPr>
      </w:pPr>
    </w:p>
    <w:p w14:paraId="66482C67">
      <w:pPr>
        <w:pStyle w:val="9"/>
        <w:widowControl w:val="0"/>
        <w:numPr>
          <w:ilvl w:val="0"/>
          <w:numId w:val="0"/>
        </w:numPr>
        <w:tabs>
          <w:tab w:val="left" w:pos="993"/>
          <w:tab w:val="left" w:pos="1418"/>
        </w:tabs>
        <w:spacing w:line="600" w:lineRule="exact"/>
        <w:jc w:val="left"/>
        <w:rPr>
          <w:rFonts w:hint="eastAsia"/>
          <w:sz w:val="28"/>
        </w:rPr>
      </w:pPr>
    </w:p>
    <w:p w14:paraId="252BB734">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37EA7862">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734AF6AF">
      <w:pPr>
        <w:rPr>
          <w:rFonts w:hint="eastAsia"/>
          <w:sz w:val="32"/>
          <w:szCs w:val="32"/>
        </w:rPr>
      </w:pPr>
    </w:p>
    <w:p w14:paraId="3C23F3A8">
      <w:pPr>
        <w:rPr>
          <w:rFonts w:hint="eastAsia"/>
          <w:sz w:val="32"/>
          <w:szCs w:val="32"/>
        </w:rPr>
      </w:pPr>
    </w:p>
    <w:p w14:paraId="1AF289C7">
      <w:pPr>
        <w:rPr>
          <w:rFonts w:hint="eastAsia"/>
          <w:sz w:val="32"/>
          <w:szCs w:val="32"/>
        </w:rPr>
      </w:pPr>
    </w:p>
    <w:p w14:paraId="01B4083B">
      <w:pPr>
        <w:rPr>
          <w:rFonts w:hint="eastAsia"/>
          <w:sz w:val="32"/>
          <w:szCs w:val="32"/>
        </w:rPr>
      </w:pPr>
    </w:p>
    <w:p w14:paraId="3DFBFDE8">
      <w:pPr>
        <w:rPr>
          <w:sz w:val="32"/>
          <w:szCs w:val="32"/>
        </w:rPr>
      </w:pPr>
    </w:p>
    <w:p w14:paraId="3AB85DAE">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民兵训练及征兵经费                </w:t>
      </w:r>
    </w:p>
    <w:p w14:paraId="0618B37A">
      <w:pPr>
        <w:ind w:left="420" w:leftChars="200"/>
        <w:rPr>
          <w:rFonts w:hint="eastAsia"/>
          <w:sz w:val="32"/>
          <w:szCs w:val="32"/>
          <w:u w:val="single"/>
        </w:rPr>
      </w:pPr>
      <w:r>
        <w:rPr>
          <w:rFonts w:hint="eastAsia"/>
          <w:sz w:val="32"/>
          <w:szCs w:val="32"/>
        </w:rPr>
        <w:t>项目单位：</w:t>
      </w:r>
      <w:r>
        <w:rPr>
          <w:rFonts w:hint="eastAsia"/>
          <w:sz w:val="32"/>
          <w:szCs w:val="32"/>
          <w:u w:val="single"/>
        </w:rPr>
        <w:t>武汉东湖新技术开发区九峰街道办事处</w:t>
      </w:r>
    </w:p>
    <w:p w14:paraId="1465CF19">
      <w:pPr>
        <w:ind w:left="420" w:leftChars="200"/>
        <w:rPr>
          <w:sz w:val="32"/>
          <w:szCs w:val="32"/>
        </w:rPr>
      </w:pPr>
      <w:r>
        <w:rPr>
          <w:rFonts w:hint="eastAsia"/>
          <w:sz w:val="32"/>
          <w:szCs w:val="32"/>
        </w:rPr>
        <w:t>主管部门：</w:t>
      </w:r>
      <w:r>
        <w:rPr>
          <w:rFonts w:hint="eastAsia"/>
          <w:sz w:val="32"/>
          <w:szCs w:val="32"/>
          <w:u w:val="single"/>
        </w:rPr>
        <w:t xml:space="preserve">              （盖章）            </w:t>
      </w:r>
    </w:p>
    <w:p w14:paraId="3E92EE5C">
      <w:pPr>
        <w:ind w:left="420" w:leftChars="200"/>
        <w:rPr>
          <w:rFonts w:hint="eastAsia"/>
          <w:sz w:val="32"/>
          <w:szCs w:val="32"/>
        </w:rPr>
      </w:pPr>
      <w:r>
        <w:rPr>
          <w:rFonts w:hint="eastAsia"/>
          <w:sz w:val="32"/>
          <w:szCs w:val="32"/>
        </w:rPr>
        <w:t>区财政局主管业务科室；</w:t>
      </w:r>
      <w:r>
        <w:rPr>
          <w:rFonts w:hint="eastAsia"/>
          <w:sz w:val="32"/>
          <w:szCs w:val="32"/>
          <w:u w:val="single"/>
        </w:rPr>
        <w:t xml:space="preserve">       （盖章）       </w:t>
      </w:r>
    </w:p>
    <w:p w14:paraId="5B2C9331">
      <w:pPr>
        <w:rPr>
          <w:sz w:val="32"/>
          <w:szCs w:val="32"/>
        </w:rPr>
      </w:pPr>
    </w:p>
    <w:p w14:paraId="377CF223">
      <w:pPr>
        <w:rPr>
          <w:rFonts w:hint="eastAsia"/>
          <w:sz w:val="32"/>
          <w:szCs w:val="32"/>
        </w:rPr>
      </w:pPr>
    </w:p>
    <w:p w14:paraId="6A954515">
      <w:pPr>
        <w:rPr>
          <w:rFonts w:hint="eastAsia"/>
          <w:sz w:val="32"/>
          <w:szCs w:val="32"/>
        </w:rPr>
      </w:pPr>
    </w:p>
    <w:p w14:paraId="7F6E8FF1">
      <w:pPr>
        <w:rPr>
          <w:rFonts w:hint="eastAsia"/>
          <w:sz w:val="32"/>
          <w:szCs w:val="32"/>
        </w:rPr>
      </w:pPr>
    </w:p>
    <w:p w14:paraId="5681A8FA">
      <w:pPr>
        <w:rPr>
          <w:sz w:val="32"/>
          <w:szCs w:val="32"/>
        </w:rPr>
      </w:pPr>
    </w:p>
    <w:p w14:paraId="530435B8">
      <w:pPr>
        <w:rPr>
          <w:rFonts w:hint="eastAsia"/>
          <w:sz w:val="32"/>
          <w:szCs w:val="32"/>
        </w:rPr>
      </w:pPr>
    </w:p>
    <w:p w14:paraId="189CC397">
      <w:pPr>
        <w:jc w:val="center"/>
        <w:rPr>
          <w:sz w:val="32"/>
          <w:szCs w:val="32"/>
        </w:rPr>
      </w:pPr>
      <w:r>
        <w:rPr>
          <w:rFonts w:hint="eastAsia"/>
          <w:sz w:val="32"/>
          <w:szCs w:val="32"/>
        </w:rPr>
        <w:t>二零一八年五月</w:t>
      </w:r>
    </w:p>
    <w:p w14:paraId="597D9C32">
      <w:pPr>
        <w:spacing w:line="360" w:lineRule="auto"/>
        <w:ind w:firstLine="640" w:firstLineChars="200"/>
        <w:rPr>
          <w:rFonts w:hint="eastAsia" w:ascii="黑体" w:hAnsi="黑体" w:eastAsia="黑体"/>
          <w:b/>
          <w:sz w:val="30"/>
          <w:szCs w:val="30"/>
        </w:rPr>
      </w:pPr>
      <w:r>
        <w:rPr>
          <w:sz w:val="32"/>
          <w:szCs w:val="32"/>
        </w:rPr>
        <w:br w:type="page"/>
      </w:r>
      <w:r>
        <w:rPr>
          <w:rFonts w:hint="eastAsia" w:ascii="黑体" w:hAnsi="黑体" w:eastAsia="黑体"/>
          <w:b/>
          <w:sz w:val="30"/>
          <w:szCs w:val="30"/>
        </w:rPr>
        <w:t>一、项目基本情况</w:t>
      </w:r>
    </w:p>
    <w:p w14:paraId="4A110285">
      <w:pPr>
        <w:spacing w:line="360" w:lineRule="auto"/>
        <w:ind w:firstLine="560" w:firstLineChars="200"/>
        <w:rPr>
          <w:sz w:val="28"/>
        </w:rPr>
      </w:pPr>
      <w:r>
        <w:rPr>
          <w:rFonts w:hint="eastAsia"/>
          <w:sz w:val="28"/>
        </w:rPr>
        <w:t>（一）项目概况</w:t>
      </w:r>
    </w:p>
    <w:p w14:paraId="22F7871D">
      <w:pPr>
        <w:spacing w:line="360" w:lineRule="auto"/>
        <w:ind w:firstLine="560" w:firstLineChars="200"/>
        <w:rPr>
          <w:rFonts w:hint="eastAsia"/>
          <w:sz w:val="28"/>
        </w:rPr>
      </w:pPr>
      <w:r>
        <w:rPr>
          <w:rFonts w:hint="eastAsia"/>
          <w:sz w:val="28"/>
        </w:rPr>
        <w:t>九峰街道办事处民兵训练及征兵费用由武汉东湖新技术开发区九峰街道办事处设立，项目意在认真贯彻上级指示精神，以提高兵员质量为核心，加强组织领导，狠抓落实，确保圆满完成征兵工作任务。</w:t>
      </w:r>
    </w:p>
    <w:p w14:paraId="3656B3C2">
      <w:pPr>
        <w:spacing w:line="360" w:lineRule="auto"/>
        <w:ind w:firstLine="560" w:firstLineChars="200"/>
        <w:rPr>
          <w:rFonts w:hint="eastAsia"/>
          <w:sz w:val="28"/>
        </w:rPr>
      </w:pPr>
      <w:r>
        <w:rPr>
          <w:rFonts w:hint="eastAsia"/>
          <w:sz w:val="28"/>
        </w:rPr>
        <w:t>项目经费预算8万元，其中：用于征兵4万元（体检2万元；宣传、政审、交通、家访、协调2万元）；用于民兵训练4万元。</w:t>
      </w:r>
    </w:p>
    <w:p w14:paraId="5707F260">
      <w:pPr>
        <w:spacing w:line="360" w:lineRule="auto"/>
        <w:ind w:firstLine="560" w:firstLineChars="200"/>
        <w:rPr>
          <w:rFonts w:hint="eastAsia"/>
          <w:sz w:val="28"/>
        </w:rPr>
      </w:pPr>
      <w:r>
        <w:rPr>
          <w:rFonts w:hint="eastAsia"/>
          <w:sz w:val="28"/>
        </w:rPr>
        <w:t>截止2017年12月31日，经费实际支出</w:t>
      </w:r>
      <w:r>
        <w:rPr>
          <w:sz w:val="28"/>
        </w:rPr>
        <w:t>5</w:t>
      </w:r>
      <w:r>
        <w:rPr>
          <w:rFonts w:hint="eastAsia"/>
          <w:sz w:val="28"/>
        </w:rPr>
        <w:t>.</w:t>
      </w:r>
      <w:r>
        <w:rPr>
          <w:sz w:val="28"/>
        </w:rPr>
        <w:t>23</w:t>
      </w:r>
      <w:r>
        <w:rPr>
          <w:rFonts w:hint="eastAsia"/>
          <w:sz w:val="28"/>
        </w:rPr>
        <w:t>万</w:t>
      </w:r>
      <w:r>
        <w:rPr>
          <w:sz w:val="28"/>
        </w:rPr>
        <w:t>元</w:t>
      </w:r>
      <w:r>
        <w:rPr>
          <w:rFonts w:hint="eastAsia"/>
          <w:sz w:val="28"/>
        </w:rPr>
        <w:t>。</w:t>
      </w:r>
      <w:r>
        <w:rPr>
          <w:sz w:val="28"/>
        </w:rPr>
        <w:t>其中</w:t>
      </w:r>
      <w:r>
        <w:rPr>
          <w:rFonts w:hint="eastAsia"/>
          <w:sz w:val="28"/>
        </w:rPr>
        <w:t>，兵役征集专项经费3.</w:t>
      </w:r>
      <w:r>
        <w:rPr>
          <w:sz w:val="28"/>
        </w:rPr>
        <w:t>23</w:t>
      </w:r>
      <w:r>
        <w:rPr>
          <w:rFonts w:hint="eastAsia"/>
          <w:sz w:val="28"/>
        </w:rPr>
        <w:t>万</w:t>
      </w:r>
      <w:r>
        <w:rPr>
          <w:sz w:val="28"/>
        </w:rPr>
        <w:t>元</w:t>
      </w:r>
      <w:r>
        <w:rPr>
          <w:rFonts w:hint="eastAsia"/>
          <w:sz w:val="28"/>
        </w:rPr>
        <w:t>，民兵训练专项经费2万元。</w:t>
      </w:r>
    </w:p>
    <w:p w14:paraId="2D5BCB09">
      <w:pPr>
        <w:spacing w:line="360" w:lineRule="auto"/>
        <w:ind w:firstLine="560" w:firstLineChars="200"/>
        <w:rPr>
          <w:rFonts w:hint="eastAsia"/>
          <w:sz w:val="28"/>
        </w:rPr>
      </w:pPr>
      <w:r>
        <w:rPr>
          <w:rFonts w:hint="eastAsia"/>
          <w:sz w:val="28"/>
        </w:rPr>
        <w:t>（二）项目预算绩效目标</w:t>
      </w:r>
    </w:p>
    <w:p w14:paraId="57B82EA9">
      <w:pPr>
        <w:spacing w:line="360" w:lineRule="auto"/>
        <w:ind w:firstLine="560" w:firstLineChars="200"/>
        <w:rPr>
          <w:sz w:val="28"/>
        </w:rPr>
      </w:pPr>
      <w:r>
        <w:rPr>
          <w:sz w:val="28"/>
        </w:rPr>
        <w:t>1</w:t>
      </w:r>
      <w:r>
        <w:rPr>
          <w:rFonts w:hint="eastAsia"/>
          <w:sz w:val="28"/>
        </w:rPr>
        <w:t>．产出目标</w:t>
      </w:r>
    </w:p>
    <w:p w14:paraId="2CF3DA16">
      <w:pPr>
        <w:widowControl/>
        <w:spacing w:line="600" w:lineRule="exact"/>
        <w:ind w:firstLine="560" w:firstLineChars="200"/>
        <w:jc w:val="left"/>
        <w:rPr>
          <w:rFonts w:hint="eastAsia"/>
          <w:sz w:val="28"/>
        </w:rPr>
      </w:pPr>
      <w:r>
        <w:rPr>
          <w:rFonts w:hint="eastAsia"/>
          <w:sz w:val="28"/>
        </w:rPr>
        <w:t>产出目标包括数量指标、质量指标、时效指标和成本指标。</w:t>
      </w:r>
    </w:p>
    <w:p w14:paraId="645E6BAD">
      <w:pPr>
        <w:widowControl/>
        <w:spacing w:line="600" w:lineRule="exact"/>
        <w:ind w:firstLine="560" w:firstLineChars="200"/>
        <w:jc w:val="left"/>
        <w:rPr>
          <w:sz w:val="28"/>
        </w:rPr>
      </w:pPr>
      <w:r>
        <w:rPr>
          <w:rFonts w:hint="eastAsia"/>
          <w:sz w:val="28"/>
        </w:rPr>
        <w:t>（1）数量指标</w:t>
      </w:r>
    </w:p>
    <w:p w14:paraId="07F867F8">
      <w:pPr>
        <w:widowControl/>
        <w:spacing w:line="600" w:lineRule="exact"/>
        <w:ind w:firstLine="560" w:firstLineChars="200"/>
        <w:jc w:val="left"/>
        <w:rPr>
          <w:sz w:val="28"/>
        </w:rPr>
      </w:pPr>
      <w:r>
        <w:rPr>
          <w:rFonts w:hint="eastAsia"/>
          <w:sz w:val="28"/>
        </w:rPr>
        <w:t>指标内容：街道办2017年征兵宣传及民兵训练次数，指标值：2次。</w:t>
      </w:r>
    </w:p>
    <w:p w14:paraId="275D6ED4">
      <w:pPr>
        <w:widowControl/>
        <w:spacing w:line="600" w:lineRule="exact"/>
        <w:ind w:firstLine="560" w:firstLineChars="200"/>
        <w:jc w:val="left"/>
        <w:rPr>
          <w:sz w:val="28"/>
        </w:rPr>
      </w:pPr>
      <w:r>
        <w:rPr>
          <w:rFonts w:hint="eastAsia"/>
          <w:sz w:val="28"/>
        </w:rPr>
        <w:t>（2）质量指标：</w:t>
      </w:r>
    </w:p>
    <w:p w14:paraId="3C290727">
      <w:pPr>
        <w:widowControl/>
        <w:spacing w:line="600" w:lineRule="exact"/>
        <w:ind w:firstLine="560" w:firstLineChars="200"/>
        <w:jc w:val="left"/>
        <w:rPr>
          <w:sz w:val="28"/>
        </w:rPr>
      </w:pPr>
      <w:r>
        <w:rPr>
          <w:rFonts w:hint="eastAsia"/>
          <w:sz w:val="28"/>
        </w:rPr>
        <w:t>指标内容：兵役登记率，指标值：100%。</w:t>
      </w:r>
    </w:p>
    <w:p w14:paraId="5FAED937">
      <w:pPr>
        <w:widowControl/>
        <w:spacing w:line="600" w:lineRule="exact"/>
        <w:ind w:firstLine="560" w:firstLineChars="200"/>
        <w:jc w:val="left"/>
        <w:rPr>
          <w:sz w:val="28"/>
        </w:rPr>
      </w:pPr>
      <w:r>
        <w:rPr>
          <w:rFonts w:hint="eastAsia"/>
          <w:sz w:val="28"/>
        </w:rPr>
        <w:t>（3）时效指标</w:t>
      </w:r>
    </w:p>
    <w:p w14:paraId="4FE5B5F1">
      <w:pPr>
        <w:widowControl/>
        <w:spacing w:line="600" w:lineRule="exact"/>
        <w:ind w:firstLine="560" w:firstLineChars="200"/>
        <w:jc w:val="left"/>
        <w:rPr>
          <w:sz w:val="28"/>
        </w:rPr>
      </w:pPr>
      <w:r>
        <w:rPr>
          <w:rFonts w:hint="eastAsia"/>
          <w:sz w:val="28"/>
        </w:rPr>
        <w:t>指标内容：完成及时率，指标值：100%，按组织活动完成及时率100%进行考核。</w:t>
      </w:r>
    </w:p>
    <w:p w14:paraId="1007B145">
      <w:pPr>
        <w:widowControl/>
        <w:spacing w:line="600" w:lineRule="exact"/>
        <w:ind w:firstLine="560" w:firstLineChars="200"/>
        <w:jc w:val="left"/>
        <w:rPr>
          <w:sz w:val="28"/>
        </w:rPr>
      </w:pPr>
      <w:r>
        <w:rPr>
          <w:rFonts w:hint="eastAsia"/>
          <w:sz w:val="28"/>
        </w:rPr>
        <w:t>（4）成本指标：8万元。</w:t>
      </w:r>
    </w:p>
    <w:p w14:paraId="64262A49">
      <w:pPr>
        <w:spacing w:line="360" w:lineRule="auto"/>
        <w:ind w:firstLine="560" w:firstLineChars="200"/>
        <w:rPr>
          <w:rFonts w:hint="eastAsia"/>
          <w:sz w:val="28"/>
        </w:rPr>
      </w:pPr>
      <w:r>
        <w:rPr>
          <w:rFonts w:hint="eastAsia"/>
          <w:sz w:val="28"/>
        </w:rPr>
        <w:t>2．效果目标</w:t>
      </w:r>
    </w:p>
    <w:p w14:paraId="733E8B5E">
      <w:pPr>
        <w:spacing w:line="360" w:lineRule="auto"/>
        <w:ind w:firstLine="560" w:firstLineChars="200"/>
        <w:rPr>
          <w:rFonts w:hint="eastAsia"/>
          <w:sz w:val="28"/>
        </w:rPr>
      </w:pPr>
      <w:r>
        <w:rPr>
          <w:rFonts w:hint="eastAsia"/>
          <w:sz w:val="28"/>
        </w:rPr>
        <w:t>（1）经济资产指标：不适用；</w:t>
      </w:r>
    </w:p>
    <w:p w14:paraId="69696000">
      <w:pPr>
        <w:spacing w:line="360" w:lineRule="auto"/>
        <w:ind w:firstLine="560" w:firstLineChars="200"/>
        <w:rPr>
          <w:rFonts w:hint="eastAsia"/>
          <w:sz w:val="28"/>
        </w:rPr>
      </w:pPr>
      <w:r>
        <w:rPr>
          <w:rFonts w:hint="eastAsia"/>
          <w:sz w:val="28"/>
        </w:rPr>
        <w:t>（2）社会效益指标：增强居民群众的国防意识，激发适龄青年报名参军、献身国防的自觉性和积极性；</w:t>
      </w:r>
    </w:p>
    <w:p w14:paraId="6A5B57CC">
      <w:pPr>
        <w:spacing w:line="360" w:lineRule="auto"/>
        <w:ind w:firstLine="560" w:firstLineChars="200"/>
        <w:rPr>
          <w:rFonts w:hint="eastAsia"/>
          <w:sz w:val="28"/>
        </w:rPr>
      </w:pPr>
      <w:r>
        <w:rPr>
          <w:rFonts w:hint="eastAsia"/>
          <w:sz w:val="28"/>
        </w:rPr>
        <w:t>（3）环境效益指标：建立完善的征兵宣传责任机制；</w:t>
      </w:r>
    </w:p>
    <w:p w14:paraId="13872737">
      <w:pPr>
        <w:spacing w:line="360" w:lineRule="auto"/>
        <w:ind w:firstLine="560" w:firstLineChars="200"/>
        <w:rPr>
          <w:rFonts w:hint="eastAsia"/>
          <w:sz w:val="28"/>
        </w:rPr>
      </w:pPr>
      <w:r>
        <w:rPr>
          <w:rFonts w:hint="eastAsia"/>
          <w:sz w:val="28"/>
        </w:rPr>
        <w:t>（4）可持续影响指标：营造良好的“当兵光荣”氛围，确保征兵工作可持续性进行；</w:t>
      </w:r>
    </w:p>
    <w:p w14:paraId="1852AC09">
      <w:pPr>
        <w:spacing w:line="360" w:lineRule="auto"/>
        <w:ind w:firstLine="560" w:firstLineChars="200"/>
        <w:rPr>
          <w:rFonts w:hint="eastAsia"/>
          <w:sz w:val="28"/>
        </w:rPr>
      </w:pPr>
      <w:r>
        <w:rPr>
          <w:rFonts w:hint="eastAsia"/>
          <w:sz w:val="28"/>
        </w:rPr>
        <w:t>（5）社会公众或服务对象满意度指标：工作及服务质量投诉率不高于5%。</w:t>
      </w:r>
    </w:p>
    <w:p w14:paraId="362D83A9">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二、项目绩效分析</w:t>
      </w:r>
    </w:p>
    <w:p w14:paraId="5929EA75">
      <w:pPr>
        <w:spacing w:line="360" w:lineRule="auto"/>
        <w:ind w:firstLine="560" w:firstLineChars="200"/>
        <w:rPr>
          <w:rFonts w:hint="eastAsia"/>
          <w:sz w:val="28"/>
        </w:rPr>
      </w:pPr>
      <w:r>
        <w:rPr>
          <w:rFonts w:hint="eastAsia"/>
          <w:sz w:val="28"/>
        </w:rPr>
        <w:t>（一）项目管理情况</w:t>
      </w:r>
    </w:p>
    <w:p w14:paraId="2789226E">
      <w:pPr>
        <w:spacing w:line="360" w:lineRule="auto"/>
        <w:ind w:firstLine="560" w:firstLineChars="200"/>
        <w:rPr>
          <w:rFonts w:hint="eastAsia"/>
          <w:sz w:val="28"/>
        </w:rPr>
      </w:pPr>
      <w:r>
        <w:rPr>
          <w:rFonts w:hint="eastAsia"/>
          <w:sz w:val="28"/>
        </w:rPr>
        <w:t>l．业务管理情况</w:t>
      </w:r>
    </w:p>
    <w:p w14:paraId="6EB68338">
      <w:pPr>
        <w:spacing w:line="360" w:lineRule="auto"/>
        <w:ind w:firstLine="560" w:firstLineChars="200"/>
        <w:rPr>
          <w:rFonts w:hint="eastAsia"/>
          <w:sz w:val="28"/>
        </w:rPr>
      </w:pPr>
      <w:r>
        <w:rPr>
          <w:rFonts w:hint="eastAsia"/>
          <w:sz w:val="28"/>
        </w:rPr>
        <w:t>（1）项目基础资料齐备</w:t>
      </w:r>
    </w:p>
    <w:p w14:paraId="6FD5C4BB">
      <w:pPr>
        <w:spacing w:line="360" w:lineRule="auto"/>
        <w:ind w:firstLine="560" w:firstLineChars="200"/>
        <w:rPr>
          <w:rFonts w:hint="eastAsia"/>
          <w:sz w:val="28"/>
        </w:rPr>
      </w:pPr>
      <w:r>
        <w:rPr>
          <w:rFonts w:hint="eastAsia"/>
          <w:sz w:val="28"/>
        </w:rPr>
        <w:t>项目各阶段、各环节资料均保存完好，包括预算计划资料、经费分配资料、资金划拨资料等，均妥善整理归档。</w:t>
      </w:r>
    </w:p>
    <w:p w14:paraId="2581BF9F">
      <w:pPr>
        <w:spacing w:line="360" w:lineRule="auto"/>
        <w:ind w:firstLine="560" w:firstLineChars="200"/>
        <w:rPr>
          <w:rFonts w:hint="eastAsia"/>
          <w:sz w:val="28"/>
        </w:rPr>
      </w:pPr>
      <w:r>
        <w:rPr>
          <w:rFonts w:hint="eastAsia"/>
          <w:sz w:val="28"/>
        </w:rPr>
        <w:t>（2）项目质量控制较为严格</w:t>
      </w:r>
    </w:p>
    <w:p w14:paraId="066A6C3B">
      <w:pPr>
        <w:spacing w:line="360" w:lineRule="auto"/>
        <w:ind w:firstLine="560" w:firstLineChars="200"/>
        <w:rPr>
          <w:rFonts w:hint="eastAsia"/>
          <w:sz w:val="28"/>
        </w:rPr>
      </w:pPr>
      <w:r>
        <w:rPr>
          <w:rFonts w:hint="eastAsia"/>
          <w:sz w:val="28"/>
        </w:rPr>
        <w:t>项目执行部门建立了良好的工作机制和工作流程并得以有效执行，确保公开、公平、公正，经费支出即保证正常工作需要，又不造成浪费，并形成有效记录和档案，便于追溯可查。</w:t>
      </w:r>
    </w:p>
    <w:p w14:paraId="69B9D413">
      <w:pPr>
        <w:spacing w:line="360" w:lineRule="auto"/>
        <w:ind w:firstLine="560" w:firstLineChars="200"/>
        <w:rPr>
          <w:rFonts w:hint="eastAsia"/>
          <w:sz w:val="28"/>
        </w:rPr>
      </w:pPr>
      <w:r>
        <w:rPr>
          <w:rFonts w:hint="eastAsia"/>
          <w:sz w:val="28"/>
        </w:rPr>
        <w:t>（3）建立项目监督和考核机制</w:t>
      </w:r>
    </w:p>
    <w:p w14:paraId="510BBB78">
      <w:pPr>
        <w:spacing w:line="360" w:lineRule="auto"/>
        <w:ind w:firstLine="560" w:firstLineChars="200"/>
        <w:rPr>
          <w:sz w:val="28"/>
        </w:rPr>
      </w:pPr>
      <w:r>
        <w:rPr>
          <w:rFonts w:hint="eastAsia"/>
          <w:sz w:val="28"/>
        </w:rPr>
        <w:t>街道建立了项目监督机制和项目考核机制，用于支撑项目顺利实施。</w:t>
      </w:r>
    </w:p>
    <w:p w14:paraId="6A1FCCF4">
      <w:pPr>
        <w:spacing w:line="360" w:lineRule="auto"/>
        <w:ind w:firstLine="560" w:firstLineChars="200"/>
        <w:rPr>
          <w:sz w:val="28"/>
        </w:rPr>
      </w:pPr>
      <w:r>
        <w:rPr>
          <w:rFonts w:hint="eastAsia"/>
          <w:sz w:val="28"/>
        </w:rPr>
        <w:t>2．财务管理情况</w:t>
      </w:r>
    </w:p>
    <w:p w14:paraId="6B9A75C7">
      <w:pPr>
        <w:spacing w:line="360" w:lineRule="auto"/>
        <w:ind w:firstLine="560" w:firstLineChars="200"/>
        <w:rPr>
          <w:rFonts w:hint="eastAsia"/>
          <w:sz w:val="28"/>
        </w:rPr>
      </w:pPr>
      <w:r>
        <w:rPr>
          <w:rFonts w:hint="eastAsia"/>
          <w:sz w:val="28"/>
        </w:rPr>
        <w:t>（1）项目经费</w:t>
      </w:r>
    </w:p>
    <w:p w14:paraId="79DF1540">
      <w:pPr>
        <w:spacing w:line="360" w:lineRule="auto"/>
        <w:ind w:firstLine="560" w:firstLineChars="200"/>
        <w:rPr>
          <w:rFonts w:hint="eastAsia"/>
          <w:sz w:val="28"/>
        </w:rPr>
      </w:pPr>
      <w:r>
        <w:rPr>
          <w:rFonts w:hint="eastAsia"/>
          <w:sz w:val="28"/>
        </w:rPr>
        <w:t>项目经费预算8万元，其中：用于征兵4万元（体检2万元；宣传、政审、交通、家访、协调2万元）；用于民兵训练4万元。</w:t>
      </w:r>
    </w:p>
    <w:p w14:paraId="27D0F9E5">
      <w:pPr>
        <w:spacing w:line="360" w:lineRule="auto"/>
        <w:ind w:firstLine="560" w:firstLineChars="200"/>
        <w:rPr>
          <w:rFonts w:hint="eastAsia"/>
          <w:sz w:val="28"/>
        </w:rPr>
      </w:pPr>
      <w:r>
        <w:rPr>
          <w:rFonts w:hint="eastAsia"/>
          <w:sz w:val="28"/>
        </w:rPr>
        <w:t>截止2017年12月31日，经费实际支出</w:t>
      </w:r>
      <w:r>
        <w:rPr>
          <w:sz w:val="28"/>
        </w:rPr>
        <w:t>5</w:t>
      </w:r>
      <w:r>
        <w:rPr>
          <w:rFonts w:hint="eastAsia"/>
          <w:sz w:val="28"/>
        </w:rPr>
        <w:t>.</w:t>
      </w:r>
      <w:r>
        <w:rPr>
          <w:sz w:val="28"/>
        </w:rPr>
        <w:t>23</w:t>
      </w:r>
      <w:r>
        <w:rPr>
          <w:rFonts w:hint="eastAsia"/>
          <w:sz w:val="28"/>
        </w:rPr>
        <w:t>万</w:t>
      </w:r>
      <w:r>
        <w:rPr>
          <w:sz w:val="28"/>
        </w:rPr>
        <w:t>元</w:t>
      </w:r>
      <w:r>
        <w:rPr>
          <w:rFonts w:hint="eastAsia"/>
          <w:sz w:val="28"/>
        </w:rPr>
        <w:t>。</w:t>
      </w:r>
      <w:r>
        <w:rPr>
          <w:sz w:val="28"/>
        </w:rPr>
        <w:t>其中</w:t>
      </w:r>
      <w:r>
        <w:rPr>
          <w:rFonts w:hint="eastAsia"/>
          <w:sz w:val="28"/>
        </w:rPr>
        <w:t>，兵役征集专项经费3.</w:t>
      </w:r>
      <w:r>
        <w:rPr>
          <w:sz w:val="28"/>
        </w:rPr>
        <w:t>23</w:t>
      </w:r>
      <w:r>
        <w:rPr>
          <w:rFonts w:hint="eastAsia"/>
          <w:sz w:val="28"/>
        </w:rPr>
        <w:t>万</w:t>
      </w:r>
      <w:r>
        <w:rPr>
          <w:sz w:val="28"/>
        </w:rPr>
        <w:t>元</w:t>
      </w:r>
      <w:r>
        <w:rPr>
          <w:rFonts w:hint="eastAsia"/>
          <w:sz w:val="28"/>
        </w:rPr>
        <w:t>，民兵训练专项经费2万元。</w:t>
      </w:r>
    </w:p>
    <w:p w14:paraId="694E7915">
      <w:pPr>
        <w:spacing w:line="360" w:lineRule="auto"/>
        <w:ind w:firstLine="560" w:firstLineChars="200"/>
        <w:rPr>
          <w:rFonts w:hint="eastAsia"/>
          <w:sz w:val="28"/>
        </w:rPr>
      </w:pPr>
      <w:r>
        <w:rPr>
          <w:rFonts w:hint="eastAsia"/>
          <w:sz w:val="28"/>
        </w:rPr>
        <w:t>（2）财务管理</w:t>
      </w:r>
    </w:p>
    <w:p w14:paraId="76547256">
      <w:pPr>
        <w:spacing w:line="360" w:lineRule="auto"/>
        <w:ind w:firstLine="560" w:firstLineChars="200"/>
        <w:rPr>
          <w:rFonts w:hint="eastAsia"/>
          <w:sz w:val="28"/>
        </w:rPr>
      </w:pPr>
      <w:r>
        <w:rPr>
          <w:rFonts w:hint="eastAsia"/>
          <w:sz w:val="28"/>
        </w:rPr>
        <w:t>九峰街道办事处制订了严格的财务管理措施，对各项“民兵训练及征兵经费”事项进行了严格的审核、签批流程。各项单据均有备案，从会计账簿中抽查部分重要支出事项的原始单据或记录来看，支出手续齐全，单证规范，标准相符，财务把关严格，会计核算准确、完整，未出现异常现象。</w:t>
      </w:r>
    </w:p>
    <w:p w14:paraId="5056BC89">
      <w:pPr>
        <w:spacing w:line="360" w:lineRule="auto"/>
        <w:ind w:firstLine="560" w:firstLineChars="200"/>
        <w:rPr>
          <w:rFonts w:hint="eastAsia"/>
          <w:sz w:val="28"/>
        </w:rPr>
      </w:pPr>
      <w:r>
        <w:rPr>
          <w:rFonts w:hint="eastAsia"/>
          <w:sz w:val="28"/>
        </w:rPr>
        <w:t>（二）项目预算绩效目标的完成情况</w:t>
      </w:r>
    </w:p>
    <w:p w14:paraId="13412CA0">
      <w:pPr>
        <w:spacing w:line="360" w:lineRule="auto"/>
        <w:ind w:firstLine="560" w:firstLineChars="200"/>
        <w:rPr>
          <w:rFonts w:hint="eastAsia"/>
          <w:sz w:val="28"/>
        </w:rPr>
      </w:pPr>
      <w:r>
        <w:rPr>
          <w:rFonts w:hint="eastAsia"/>
          <w:sz w:val="28"/>
        </w:rPr>
        <w:t>依据年初“九峰街道办事处民兵及征兵经费”《项目绩效目标编制说明》，结合2017年度项目实际实施情况，对部分绩效指标做出相应的调整，以期更准确、更有效地反映本项目的绩效情况，具体情况如下表《项目预算绩效评价表》。</w:t>
      </w:r>
    </w:p>
    <w:p w14:paraId="6894BD72">
      <w:pPr>
        <w:spacing w:line="360" w:lineRule="auto"/>
        <w:ind w:firstLine="560" w:firstLineChars="200"/>
        <w:rPr>
          <w:rFonts w:hint="eastAsia"/>
          <w:sz w:val="28"/>
        </w:rPr>
      </w:pPr>
    </w:p>
    <w:p w14:paraId="79C98AE2">
      <w:pPr>
        <w:spacing w:line="360" w:lineRule="auto"/>
        <w:ind w:firstLine="560" w:firstLineChars="200"/>
        <w:rPr>
          <w:rFonts w:hint="eastAsia"/>
          <w:sz w:val="28"/>
        </w:rPr>
      </w:pPr>
    </w:p>
    <w:p w14:paraId="17E68DED">
      <w:pPr>
        <w:spacing w:line="360" w:lineRule="auto"/>
        <w:ind w:firstLine="560" w:firstLineChars="200"/>
        <w:rPr>
          <w:rFonts w:hint="eastAsia"/>
          <w:sz w:val="28"/>
        </w:rPr>
      </w:pPr>
    </w:p>
    <w:p w14:paraId="47020255">
      <w:pPr>
        <w:spacing w:line="360" w:lineRule="auto"/>
        <w:ind w:firstLine="560" w:firstLineChars="200"/>
        <w:rPr>
          <w:rFonts w:hint="eastAsia"/>
          <w:sz w:val="28"/>
        </w:rPr>
      </w:pPr>
    </w:p>
    <w:p w14:paraId="20B18768">
      <w:pPr>
        <w:spacing w:line="360" w:lineRule="auto"/>
        <w:ind w:firstLine="560" w:firstLineChars="200"/>
        <w:rPr>
          <w:rFonts w:hint="eastAsia"/>
          <w:sz w:val="28"/>
        </w:rPr>
      </w:pPr>
    </w:p>
    <w:p w14:paraId="7766F714">
      <w:pPr>
        <w:spacing w:line="360" w:lineRule="auto"/>
        <w:ind w:firstLine="560" w:firstLineChars="200"/>
        <w:rPr>
          <w:rFonts w:hint="eastAsia"/>
          <w:sz w:val="28"/>
        </w:rPr>
      </w:pPr>
    </w:p>
    <w:tbl>
      <w:tblPr>
        <w:tblStyle w:val="5"/>
        <w:tblW w:w="8380" w:type="dxa"/>
        <w:tblInd w:w="94" w:type="dxa"/>
        <w:tblLayout w:type="fixed"/>
        <w:tblCellMar>
          <w:top w:w="0" w:type="dxa"/>
          <w:left w:w="108" w:type="dxa"/>
          <w:bottom w:w="0" w:type="dxa"/>
          <w:right w:w="108" w:type="dxa"/>
        </w:tblCellMar>
      </w:tblPr>
      <w:tblGrid>
        <w:gridCol w:w="700"/>
        <w:gridCol w:w="860"/>
        <w:gridCol w:w="1006"/>
        <w:gridCol w:w="2434"/>
        <w:gridCol w:w="2660"/>
        <w:gridCol w:w="720"/>
      </w:tblGrid>
      <w:tr w14:paraId="5579C9CA">
        <w:tblPrEx>
          <w:tblCellMar>
            <w:top w:w="0" w:type="dxa"/>
            <w:left w:w="108" w:type="dxa"/>
            <w:bottom w:w="0" w:type="dxa"/>
            <w:right w:w="108" w:type="dxa"/>
          </w:tblCellMar>
        </w:tblPrEx>
        <w:trPr>
          <w:trHeight w:val="5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DCE7537">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860" w:type="dxa"/>
            <w:tcBorders>
              <w:top w:val="single" w:color="auto" w:sz="4" w:space="0"/>
              <w:left w:val="nil"/>
              <w:bottom w:val="single" w:color="auto" w:sz="4" w:space="0"/>
              <w:right w:val="single" w:color="auto" w:sz="4" w:space="0"/>
            </w:tcBorders>
            <w:shd w:val="clear" w:color="auto" w:fill="auto"/>
            <w:vAlign w:val="center"/>
          </w:tcPr>
          <w:p w14:paraId="2C50EE1E">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006" w:type="dxa"/>
            <w:tcBorders>
              <w:top w:val="single" w:color="auto" w:sz="4" w:space="0"/>
              <w:left w:val="nil"/>
              <w:bottom w:val="single" w:color="auto" w:sz="4" w:space="0"/>
              <w:right w:val="single" w:color="auto" w:sz="4" w:space="0"/>
            </w:tcBorders>
            <w:shd w:val="clear" w:color="auto" w:fill="auto"/>
            <w:vAlign w:val="center"/>
          </w:tcPr>
          <w:p w14:paraId="38B2A517">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434" w:type="dxa"/>
            <w:tcBorders>
              <w:top w:val="single" w:color="auto" w:sz="4" w:space="0"/>
              <w:left w:val="nil"/>
              <w:bottom w:val="single" w:color="auto" w:sz="4" w:space="0"/>
              <w:right w:val="single" w:color="auto" w:sz="4" w:space="0"/>
            </w:tcBorders>
            <w:shd w:val="clear" w:color="auto" w:fill="auto"/>
            <w:vAlign w:val="center"/>
          </w:tcPr>
          <w:p w14:paraId="288295DD">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660" w:type="dxa"/>
            <w:tcBorders>
              <w:top w:val="single" w:color="auto" w:sz="4" w:space="0"/>
              <w:left w:val="nil"/>
              <w:bottom w:val="single" w:color="auto" w:sz="4" w:space="0"/>
              <w:right w:val="single" w:color="auto" w:sz="4" w:space="0"/>
            </w:tcBorders>
            <w:shd w:val="clear" w:color="auto" w:fill="auto"/>
            <w:vAlign w:val="center"/>
          </w:tcPr>
          <w:p w14:paraId="0B189C28">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20" w:type="dxa"/>
            <w:tcBorders>
              <w:top w:val="single" w:color="auto" w:sz="4" w:space="0"/>
              <w:left w:val="nil"/>
              <w:bottom w:val="single" w:color="auto" w:sz="4" w:space="0"/>
              <w:right w:val="single" w:color="auto" w:sz="4" w:space="0"/>
            </w:tcBorders>
            <w:shd w:val="clear" w:color="auto" w:fill="auto"/>
            <w:vAlign w:val="center"/>
          </w:tcPr>
          <w:p w14:paraId="634A5724">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3A92C024">
        <w:tblPrEx>
          <w:tblCellMar>
            <w:top w:w="0" w:type="dxa"/>
            <w:left w:w="108" w:type="dxa"/>
            <w:bottom w:w="0" w:type="dxa"/>
            <w:right w:w="108" w:type="dxa"/>
          </w:tblCellMar>
        </w:tblPrEx>
        <w:trPr>
          <w:trHeight w:val="108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63452BE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1F72D1D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1006" w:type="dxa"/>
            <w:tcBorders>
              <w:top w:val="nil"/>
              <w:left w:val="nil"/>
              <w:bottom w:val="single" w:color="auto" w:sz="4" w:space="0"/>
              <w:right w:val="single" w:color="auto" w:sz="4" w:space="0"/>
            </w:tcBorders>
            <w:shd w:val="clear" w:color="auto" w:fill="auto"/>
            <w:vAlign w:val="center"/>
          </w:tcPr>
          <w:p w14:paraId="50B9FDE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2434" w:type="dxa"/>
            <w:tcBorders>
              <w:top w:val="nil"/>
              <w:left w:val="nil"/>
              <w:bottom w:val="single" w:color="auto" w:sz="4" w:space="0"/>
              <w:right w:val="single" w:color="auto" w:sz="4" w:space="0"/>
            </w:tcBorders>
            <w:shd w:val="clear" w:color="auto" w:fill="auto"/>
            <w:vAlign w:val="center"/>
          </w:tcPr>
          <w:p w14:paraId="59E395B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2660" w:type="dxa"/>
            <w:tcBorders>
              <w:top w:val="nil"/>
              <w:left w:val="nil"/>
              <w:bottom w:val="single" w:color="auto" w:sz="4" w:space="0"/>
              <w:right w:val="single" w:color="auto" w:sz="4" w:space="0"/>
            </w:tcBorders>
            <w:shd w:val="clear" w:color="auto" w:fill="auto"/>
            <w:vAlign w:val="center"/>
          </w:tcPr>
          <w:p w14:paraId="7AA3527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本项目经费为持续性、常年性项目，项目立项规范，符合相关政策要求。</w:t>
            </w:r>
          </w:p>
        </w:tc>
        <w:tc>
          <w:tcPr>
            <w:tcW w:w="720" w:type="dxa"/>
            <w:tcBorders>
              <w:top w:val="nil"/>
              <w:left w:val="nil"/>
              <w:bottom w:val="single" w:color="auto" w:sz="4" w:space="0"/>
              <w:right w:val="single" w:color="auto" w:sz="4" w:space="0"/>
            </w:tcBorders>
            <w:shd w:val="clear" w:color="auto" w:fill="auto"/>
            <w:vAlign w:val="center"/>
          </w:tcPr>
          <w:p w14:paraId="4DAA33D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11AA057">
        <w:tblPrEx>
          <w:tblCellMar>
            <w:top w:w="0" w:type="dxa"/>
            <w:left w:w="108" w:type="dxa"/>
            <w:bottom w:w="0" w:type="dxa"/>
            <w:right w:w="108" w:type="dxa"/>
          </w:tblCellMar>
        </w:tblPrEx>
        <w:trPr>
          <w:trHeight w:val="1765"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FF50280">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34A9F0F4">
            <w:pPr>
              <w:widowControl/>
              <w:jc w:val="left"/>
              <w:rPr>
                <w:rFonts w:ascii="楷体_GB2312" w:hAnsi="宋体" w:eastAsia="楷体_GB2312" w:cs="宋体"/>
                <w:color w:val="000000"/>
                <w:kern w:val="0"/>
                <w:sz w:val="22"/>
              </w:rPr>
            </w:pPr>
          </w:p>
        </w:tc>
        <w:tc>
          <w:tcPr>
            <w:tcW w:w="1006" w:type="dxa"/>
            <w:tcBorders>
              <w:top w:val="nil"/>
              <w:left w:val="nil"/>
              <w:bottom w:val="single" w:color="auto" w:sz="4" w:space="0"/>
              <w:right w:val="single" w:color="auto" w:sz="4" w:space="0"/>
            </w:tcBorders>
            <w:shd w:val="clear" w:color="auto" w:fill="auto"/>
            <w:vAlign w:val="center"/>
          </w:tcPr>
          <w:p w14:paraId="4F8D484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2434" w:type="dxa"/>
            <w:tcBorders>
              <w:top w:val="nil"/>
              <w:left w:val="nil"/>
              <w:bottom w:val="single" w:color="auto" w:sz="4" w:space="0"/>
              <w:right w:val="single" w:color="auto" w:sz="4" w:space="0"/>
            </w:tcBorders>
            <w:shd w:val="clear" w:color="auto" w:fill="auto"/>
            <w:vAlign w:val="center"/>
          </w:tcPr>
          <w:p w14:paraId="7212751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项目是否设定绩效目标和绩效指标，所设定的绩效目标和指标是否符合实际，用以反映和考核项目绩效目标与项目实施的相符情况。</w:t>
            </w:r>
          </w:p>
        </w:tc>
        <w:tc>
          <w:tcPr>
            <w:tcW w:w="2660" w:type="dxa"/>
            <w:tcBorders>
              <w:top w:val="nil"/>
              <w:left w:val="nil"/>
              <w:bottom w:val="single" w:color="auto" w:sz="4" w:space="0"/>
              <w:right w:val="single" w:color="auto" w:sz="4" w:space="0"/>
            </w:tcBorders>
            <w:shd w:val="clear" w:color="auto" w:fill="auto"/>
            <w:vAlign w:val="center"/>
          </w:tcPr>
          <w:p w14:paraId="4C274AB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项目设定了绩效目标和绩效指标，所设定的绩效目标和指标基本符合实际，但设立的指标较为粗略，部分难以有效体现项目效果。</w:t>
            </w:r>
          </w:p>
        </w:tc>
        <w:tc>
          <w:tcPr>
            <w:tcW w:w="720" w:type="dxa"/>
            <w:tcBorders>
              <w:top w:val="nil"/>
              <w:left w:val="nil"/>
              <w:bottom w:val="single" w:color="auto" w:sz="4" w:space="0"/>
              <w:right w:val="single" w:color="auto" w:sz="4" w:space="0"/>
            </w:tcBorders>
            <w:shd w:val="clear" w:color="auto" w:fill="auto"/>
            <w:vAlign w:val="center"/>
          </w:tcPr>
          <w:p w14:paraId="78C0354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350C6D00">
        <w:tblPrEx>
          <w:tblCellMar>
            <w:top w:w="0" w:type="dxa"/>
            <w:left w:w="108" w:type="dxa"/>
            <w:bottom w:w="0" w:type="dxa"/>
            <w:right w:w="108" w:type="dxa"/>
          </w:tblCellMar>
        </w:tblPrEx>
        <w:trPr>
          <w:trHeight w:val="1080"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67A64E8A">
            <w:pPr>
              <w:widowControl/>
              <w:jc w:val="left"/>
              <w:rPr>
                <w:rFonts w:ascii="楷体_GB2312" w:hAnsi="宋体" w:eastAsia="楷体_GB2312" w:cs="宋体"/>
                <w:color w:val="000000"/>
                <w:kern w:val="0"/>
                <w:sz w:val="22"/>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2CC3772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1006" w:type="dxa"/>
            <w:tcBorders>
              <w:top w:val="nil"/>
              <w:left w:val="nil"/>
              <w:bottom w:val="single" w:color="auto" w:sz="4" w:space="0"/>
              <w:right w:val="single" w:color="auto" w:sz="4" w:space="0"/>
            </w:tcBorders>
            <w:shd w:val="clear" w:color="auto" w:fill="auto"/>
            <w:vAlign w:val="center"/>
          </w:tcPr>
          <w:p w14:paraId="05DC431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2434" w:type="dxa"/>
            <w:tcBorders>
              <w:top w:val="nil"/>
              <w:left w:val="nil"/>
              <w:bottom w:val="single" w:color="auto" w:sz="4" w:space="0"/>
              <w:right w:val="single" w:color="auto" w:sz="4" w:space="0"/>
            </w:tcBorders>
            <w:shd w:val="clear" w:color="auto" w:fill="auto"/>
            <w:vAlign w:val="center"/>
          </w:tcPr>
          <w:p w14:paraId="0CA514E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2660" w:type="dxa"/>
            <w:tcBorders>
              <w:top w:val="nil"/>
              <w:left w:val="nil"/>
              <w:bottom w:val="single" w:color="auto" w:sz="4" w:space="0"/>
              <w:right w:val="single" w:color="auto" w:sz="4" w:space="0"/>
            </w:tcBorders>
            <w:shd w:val="clear" w:color="auto" w:fill="auto"/>
            <w:vAlign w:val="center"/>
          </w:tcPr>
          <w:p w14:paraId="2C6E276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实际拨付5.23万元，资金到位率65.42%</w:t>
            </w:r>
          </w:p>
        </w:tc>
        <w:tc>
          <w:tcPr>
            <w:tcW w:w="720" w:type="dxa"/>
            <w:tcBorders>
              <w:top w:val="nil"/>
              <w:left w:val="nil"/>
              <w:bottom w:val="single" w:color="auto" w:sz="4" w:space="0"/>
              <w:right w:val="single" w:color="auto" w:sz="4" w:space="0"/>
            </w:tcBorders>
            <w:shd w:val="clear" w:color="auto" w:fill="auto"/>
            <w:vAlign w:val="center"/>
          </w:tcPr>
          <w:p w14:paraId="4028934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5BCB374C">
        <w:tblPrEx>
          <w:tblCellMar>
            <w:top w:w="0" w:type="dxa"/>
            <w:left w:w="108" w:type="dxa"/>
            <w:bottom w:w="0" w:type="dxa"/>
            <w:right w:w="108" w:type="dxa"/>
          </w:tblCellMar>
        </w:tblPrEx>
        <w:trPr>
          <w:trHeight w:val="1080"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0D721449">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7098C3C6">
            <w:pPr>
              <w:widowControl/>
              <w:jc w:val="left"/>
              <w:rPr>
                <w:rFonts w:ascii="楷体_GB2312" w:hAnsi="宋体" w:eastAsia="楷体_GB2312" w:cs="宋体"/>
                <w:color w:val="000000"/>
                <w:kern w:val="0"/>
                <w:sz w:val="22"/>
              </w:rPr>
            </w:pPr>
          </w:p>
        </w:tc>
        <w:tc>
          <w:tcPr>
            <w:tcW w:w="1006" w:type="dxa"/>
            <w:tcBorders>
              <w:top w:val="nil"/>
              <w:left w:val="nil"/>
              <w:bottom w:val="single" w:color="auto" w:sz="4" w:space="0"/>
              <w:right w:val="single" w:color="auto" w:sz="4" w:space="0"/>
            </w:tcBorders>
            <w:shd w:val="clear" w:color="auto" w:fill="auto"/>
            <w:vAlign w:val="center"/>
          </w:tcPr>
          <w:p w14:paraId="30967F1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2434" w:type="dxa"/>
            <w:tcBorders>
              <w:top w:val="nil"/>
              <w:left w:val="nil"/>
              <w:bottom w:val="single" w:color="auto" w:sz="4" w:space="0"/>
              <w:right w:val="single" w:color="auto" w:sz="4" w:space="0"/>
            </w:tcBorders>
            <w:shd w:val="clear" w:color="auto" w:fill="auto"/>
            <w:vAlign w:val="center"/>
          </w:tcPr>
          <w:p w14:paraId="03FEC2B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2660" w:type="dxa"/>
            <w:tcBorders>
              <w:top w:val="nil"/>
              <w:left w:val="nil"/>
              <w:bottom w:val="single" w:color="auto" w:sz="4" w:space="0"/>
              <w:right w:val="single" w:color="auto" w:sz="4" w:space="0"/>
            </w:tcBorders>
            <w:shd w:val="clear" w:color="auto" w:fill="auto"/>
            <w:vAlign w:val="center"/>
          </w:tcPr>
          <w:p w14:paraId="0F7E8A0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及时拨付各社区项目资金，资金到位及时率100%</w:t>
            </w:r>
          </w:p>
        </w:tc>
        <w:tc>
          <w:tcPr>
            <w:tcW w:w="720" w:type="dxa"/>
            <w:tcBorders>
              <w:top w:val="nil"/>
              <w:left w:val="nil"/>
              <w:bottom w:val="single" w:color="auto" w:sz="4" w:space="0"/>
              <w:right w:val="single" w:color="auto" w:sz="4" w:space="0"/>
            </w:tcBorders>
            <w:shd w:val="clear" w:color="auto" w:fill="auto"/>
            <w:vAlign w:val="center"/>
          </w:tcPr>
          <w:p w14:paraId="3EA4F2E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20CEED4">
        <w:tblPrEx>
          <w:tblCellMar>
            <w:top w:w="0" w:type="dxa"/>
            <w:left w:w="108" w:type="dxa"/>
            <w:bottom w:w="0" w:type="dxa"/>
            <w:right w:w="108" w:type="dxa"/>
          </w:tblCellMar>
        </w:tblPrEx>
        <w:trPr>
          <w:trHeight w:val="270" w:hRule="atLeast"/>
        </w:trPr>
        <w:tc>
          <w:tcPr>
            <w:tcW w:w="76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794519">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20" w:type="dxa"/>
            <w:tcBorders>
              <w:top w:val="nil"/>
              <w:left w:val="nil"/>
              <w:bottom w:val="single" w:color="auto" w:sz="4" w:space="0"/>
              <w:right w:val="single" w:color="auto" w:sz="4" w:space="0"/>
            </w:tcBorders>
            <w:shd w:val="clear" w:color="auto" w:fill="auto"/>
            <w:vAlign w:val="center"/>
          </w:tcPr>
          <w:p w14:paraId="5E2434B1">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16</w:t>
            </w:r>
          </w:p>
        </w:tc>
      </w:tr>
      <w:tr w14:paraId="1C1CB214">
        <w:tblPrEx>
          <w:tblCellMar>
            <w:top w:w="0" w:type="dxa"/>
            <w:left w:w="108" w:type="dxa"/>
            <w:bottom w:w="0" w:type="dxa"/>
            <w:right w:w="108" w:type="dxa"/>
          </w:tblCellMar>
        </w:tblPrEx>
        <w:trPr>
          <w:trHeight w:val="108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3781405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5DDB18D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1006" w:type="dxa"/>
            <w:tcBorders>
              <w:top w:val="nil"/>
              <w:left w:val="nil"/>
              <w:bottom w:val="single" w:color="auto" w:sz="4" w:space="0"/>
              <w:right w:val="single" w:color="auto" w:sz="4" w:space="0"/>
            </w:tcBorders>
            <w:shd w:val="clear" w:color="auto" w:fill="auto"/>
            <w:vAlign w:val="center"/>
          </w:tcPr>
          <w:p w14:paraId="3BB18C7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2434" w:type="dxa"/>
            <w:tcBorders>
              <w:top w:val="nil"/>
              <w:left w:val="nil"/>
              <w:bottom w:val="single" w:color="auto" w:sz="4" w:space="0"/>
              <w:right w:val="single" w:color="auto" w:sz="4" w:space="0"/>
            </w:tcBorders>
            <w:shd w:val="clear" w:color="auto" w:fill="auto"/>
            <w:vAlign w:val="center"/>
          </w:tcPr>
          <w:p w14:paraId="741EAB0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14:paraId="3E8D374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建立了“民兵训练及征兵”专项经费工作机制，基本执行到位。</w:t>
            </w:r>
          </w:p>
        </w:tc>
        <w:tc>
          <w:tcPr>
            <w:tcW w:w="720" w:type="dxa"/>
            <w:tcBorders>
              <w:top w:val="nil"/>
              <w:left w:val="nil"/>
              <w:bottom w:val="single" w:color="auto" w:sz="4" w:space="0"/>
              <w:right w:val="single" w:color="auto" w:sz="4" w:space="0"/>
            </w:tcBorders>
            <w:shd w:val="clear" w:color="auto" w:fill="auto"/>
            <w:vAlign w:val="center"/>
          </w:tcPr>
          <w:p w14:paraId="0CF5037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17BC8546">
        <w:tblPrEx>
          <w:tblCellMar>
            <w:top w:w="0" w:type="dxa"/>
            <w:left w:w="108" w:type="dxa"/>
            <w:bottom w:w="0" w:type="dxa"/>
            <w:right w:w="108" w:type="dxa"/>
          </w:tblCellMar>
        </w:tblPrEx>
        <w:trPr>
          <w:trHeight w:val="1452"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6AC6CF52">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171BC3C8">
            <w:pPr>
              <w:widowControl/>
              <w:jc w:val="left"/>
              <w:rPr>
                <w:rFonts w:ascii="楷体_GB2312" w:hAnsi="宋体" w:eastAsia="楷体_GB2312" w:cs="宋体"/>
                <w:color w:val="000000"/>
                <w:kern w:val="0"/>
                <w:sz w:val="22"/>
              </w:rPr>
            </w:pPr>
          </w:p>
        </w:tc>
        <w:tc>
          <w:tcPr>
            <w:tcW w:w="1006" w:type="dxa"/>
            <w:tcBorders>
              <w:top w:val="nil"/>
              <w:left w:val="nil"/>
              <w:bottom w:val="single" w:color="auto" w:sz="4" w:space="0"/>
              <w:right w:val="single" w:color="auto" w:sz="4" w:space="0"/>
            </w:tcBorders>
            <w:shd w:val="clear" w:color="auto" w:fill="auto"/>
            <w:vAlign w:val="center"/>
          </w:tcPr>
          <w:p w14:paraId="4556ABD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2434" w:type="dxa"/>
            <w:tcBorders>
              <w:top w:val="nil"/>
              <w:left w:val="nil"/>
              <w:bottom w:val="single" w:color="auto" w:sz="4" w:space="0"/>
              <w:right w:val="single" w:color="auto" w:sz="4" w:space="0"/>
            </w:tcBorders>
            <w:shd w:val="clear" w:color="auto" w:fill="auto"/>
            <w:vAlign w:val="center"/>
          </w:tcPr>
          <w:p w14:paraId="149A560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2660" w:type="dxa"/>
            <w:vMerge w:val="continue"/>
            <w:tcBorders>
              <w:top w:val="nil"/>
              <w:left w:val="single" w:color="auto" w:sz="4" w:space="0"/>
              <w:bottom w:val="single" w:color="auto" w:sz="4" w:space="0"/>
              <w:right w:val="single" w:color="auto" w:sz="4" w:space="0"/>
            </w:tcBorders>
            <w:shd w:val="clear" w:color="auto" w:fill="auto"/>
            <w:vAlign w:val="center"/>
          </w:tcPr>
          <w:p w14:paraId="412CB59B">
            <w:pPr>
              <w:widowControl/>
              <w:jc w:val="left"/>
              <w:rPr>
                <w:rFonts w:ascii="楷体_GB2312" w:hAnsi="宋体" w:eastAsia="楷体_GB2312" w:cs="宋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14:paraId="6773DC0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A1D36F1">
        <w:tblPrEx>
          <w:tblCellMar>
            <w:top w:w="0" w:type="dxa"/>
            <w:left w:w="108" w:type="dxa"/>
            <w:bottom w:w="0" w:type="dxa"/>
            <w:right w:w="108" w:type="dxa"/>
          </w:tblCellMar>
        </w:tblPrEx>
        <w:trPr>
          <w:trHeight w:val="1350"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404A3F10">
            <w:pPr>
              <w:widowControl/>
              <w:jc w:val="left"/>
              <w:rPr>
                <w:rFonts w:ascii="楷体_GB2312" w:hAnsi="宋体" w:eastAsia="楷体_GB2312" w:cs="宋体"/>
                <w:color w:val="000000"/>
                <w:kern w:val="0"/>
                <w:sz w:val="22"/>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012FC4A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1006" w:type="dxa"/>
            <w:tcBorders>
              <w:top w:val="nil"/>
              <w:left w:val="nil"/>
              <w:bottom w:val="single" w:color="auto" w:sz="4" w:space="0"/>
              <w:right w:val="single" w:color="auto" w:sz="4" w:space="0"/>
            </w:tcBorders>
            <w:shd w:val="clear" w:color="auto" w:fill="auto"/>
            <w:vAlign w:val="center"/>
          </w:tcPr>
          <w:p w14:paraId="54F1743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2434" w:type="dxa"/>
            <w:tcBorders>
              <w:top w:val="nil"/>
              <w:left w:val="nil"/>
              <w:bottom w:val="single" w:color="auto" w:sz="4" w:space="0"/>
              <w:right w:val="single" w:color="auto" w:sz="4" w:space="0"/>
            </w:tcBorders>
            <w:shd w:val="clear" w:color="auto" w:fill="auto"/>
            <w:vAlign w:val="center"/>
          </w:tcPr>
          <w:p w14:paraId="66C4726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14:paraId="1DC1358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制订了严格的财务管理措施，明确了授权和审核、签批流程，每项支出均有迹可循；会计账簿中重要支出事项原始单据或记录手续齐全，单证规范，标准相符，财务把关严格，会计核算准确、完整。</w:t>
            </w:r>
          </w:p>
        </w:tc>
        <w:tc>
          <w:tcPr>
            <w:tcW w:w="720" w:type="dxa"/>
            <w:tcBorders>
              <w:top w:val="nil"/>
              <w:left w:val="nil"/>
              <w:bottom w:val="single" w:color="auto" w:sz="4" w:space="0"/>
              <w:right w:val="single" w:color="auto" w:sz="4" w:space="0"/>
            </w:tcBorders>
            <w:shd w:val="clear" w:color="auto" w:fill="auto"/>
            <w:vAlign w:val="center"/>
          </w:tcPr>
          <w:p w14:paraId="56699CB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FC09139">
        <w:tblPrEx>
          <w:tblCellMar>
            <w:top w:w="0" w:type="dxa"/>
            <w:left w:w="108" w:type="dxa"/>
            <w:bottom w:w="0" w:type="dxa"/>
            <w:right w:w="108" w:type="dxa"/>
          </w:tblCellMar>
        </w:tblPrEx>
        <w:trPr>
          <w:trHeight w:val="1662"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2B8FACF7">
            <w:pPr>
              <w:widowControl/>
              <w:jc w:val="left"/>
              <w:rPr>
                <w:rFonts w:ascii="楷体_GB2312" w:hAnsi="宋体" w:eastAsia="楷体_GB2312" w:cs="宋体"/>
                <w:color w:val="000000"/>
                <w:kern w:val="0"/>
                <w:sz w:val="22"/>
              </w:rPr>
            </w:pPr>
          </w:p>
        </w:tc>
        <w:tc>
          <w:tcPr>
            <w:tcW w:w="860" w:type="dxa"/>
            <w:vMerge w:val="continue"/>
            <w:tcBorders>
              <w:top w:val="nil"/>
              <w:left w:val="single" w:color="auto" w:sz="4" w:space="0"/>
              <w:bottom w:val="single" w:color="auto" w:sz="4" w:space="0"/>
              <w:right w:val="single" w:color="auto" w:sz="4" w:space="0"/>
            </w:tcBorders>
            <w:shd w:val="clear" w:color="auto" w:fill="auto"/>
            <w:vAlign w:val="center"/>
          </w:tcPr>
          <w:p w14:paraId="5122957F">
            <w:pPr>
              <w:widowControl/>
              <w:jc w:val="left"/>
              <w:rPr>
                <w:rFonts w:ascii="楷体_GB2312" w:hAnsi="宋体" w:eastAsia="楷体_GB2312" w:cs="宋体"/>
                <w:color w:val="000000"/>
                <w:kern w:val="0"/>
                <w:sz w:val="22"/>
              </w:rPr>
            </w:pPr>
          </w:p>
        </w:tc>
        <w:tc>
          <w:tcPr>
            <w:tcW w:w="1006" w:type="dxa"/>
            <w:tcBorders>
              <w:top w:val="nil"/>
              <w:left w:val="nil"/>
              <w:bottom w:val="single" w:color="auto" w:sz="4" w:space="0"/>
              <w:right w:val="single" w:color="auto" w:sz="4" w:space="0"/>
            </w:tcBorders>
            <w:shd w:val="clear" w:color="auto" w:fill="auto"/>
            <w:vAlign w:val="center"/>
          </w:tcPr>
          <w:p w14:paraId="5C213AD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2434" w:type="dxa"/>
            <w:tcBorders>
              <w:top w:val="nil"/>
              <w:left w:val="nil"/>
              <w:bottom w:val="single" w:color="auto" w:sz="4" w:space="0"/>
              <w:right w:val="single" w:color="auto" w:sz="4" w:space="0"/>
            </w:tcBorders>
            <w:shd w:val="clear" w:color="auto" w:fill="auto"/>
            <w:vAlign w:val="center"/>
          </w:tcPr>
          <w:p w14:paraId="7F0A333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2660" w:type="dxa"/>
            <w:vMerge w:val="continue"/>
            <w:tcBorders>
              <w:top w:val="nil"/>
              <w:left w:val="single" w:color="auto" w:sz="4" w:space="0"/>
              <w:bottom w:val="single" w:color="auto" w:sz="4" w:space="0"/>
              <w:right w:val="single" w:color="auto" w:sz="4" w:space="0"/>
            </w:tcBorders>
            <w:shd w:val="clear" w:color="auto" w:fill="auto"/>
            <w:vAlign w:val="center"/>
          </w:tcPr>
          <w:p w14:paraId="5EEFF6C3">
            <w:pPr>
              <w:widowControl/>
              <w:jc w:val="left"/>
              <w:rPr>
                <w:rFonts w:ascii="楷体_GB2312" w:hAnsi="宋体" w:eastAsia="楷体_GB2312" w:cs="宋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14:paraId="35FDE39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7CD025C0">
        <w:tblPrEx>
          <w:tblCellMar>
            <w:top w:w="0" w:type="dxa"/>
            <w:left w:w="108" w:type="dxa"/>
            <w:bottom w:w="0" w:type="dxa"/>
            <w:right w:w="108" w:type="dxa"/>
          </w:tblCellMar>
        </w:tblPrEx>
        <w:trPr>
          <w:trHeight w:val="270" w:hRule="atLeast"/>
        </w:trPr>
        <w:tc>
          <w:tcPr>
            <w:tcW w:w="76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AA84B7">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20" w:type="dxa"/>
            <w:tcBorders>
              <w:top w:val="nil"/>
              <w:left w:val="nil"/>
              <w:bottom w:val="single" w:color="auto" w:sz="4" w:space="0"/>
              <w:right w:val="single" w:color="auto" w:sz="4" w:space="0"/>
            </w:tcBorders>
            <w:shd w:val="clear" w:color="auto" w:fill="auto"/>
            <w:vAlign w:val="center"/>
          </w:tcPr>
          <w:p w14:paraId="57A330CB">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16</w:t>
            </w:r>
          </w:p>
        </w:tc>
      </w:tr>
      <w:tr w14:paraId="7D6490C8">
        <w:tblPrEx>
          <w:tblCellMar>
            <w:top w:w="0" w:type="dxa"/>
            <w:left w:w="108" w:type="dxa"/>
            <w:bottom w:w="0" w:type="dxa"/>
            <w:right w:w="108" w:type="dxa"/>
          </w:tblCellMar>
        </w:tblPrEx>
        <w:trPr>
          <w:trHeight w:val="665" w:hRule="atLeast"/>
        </w:trPr>
        <w:tc>
          <w:tcPr>
            <w:tcW w:w="8380" w:type="dxa"/>
            <w:gridSpan w:val="6"/>
            <w:tcBorders>
              <w:top w:val="single" w:color="auto" w:sz="4" w:space="0"/>
            </w:tcBorders>
            <w:shd w:val="clear" w:color="auto" w:fill="auto"/>
            <w:vAlign w:val="center"/>
          </w:tcPr>
          <w:p w14:paraId="686C4668">
            <w:pPr>
              <w:widowControl/>
              <w:jc w:val="center"/>
              <w:rPr>
                <w:rFonts w:hint="eastAsia" w:ascii="宋体" w:hAnsi="宋体" w:cs="宋体"/>
                <w:b/>
                <w:bCs/>
                <w:color w:val="000000"/>
                <w:kern w:val="0"/>
                <w:sz w:val="22"/>
              </w:rPr>
            </w:pPr>
          </w:p>
          <w:p w14:paraId="0C4BB3E5">
            <w:pPr>
              <w:widowControl/>
              <w:jc w:val="center"/>
              <w:rPr>
                <w:rFonts w:hint="eastAsia" w:ascii="楷体_GB2312" w:hAnsi="宋体" w:eastAsia="楷体_GB2312" w:cs="宋体"/>
                <w:b/>
                <w:bCs/>
                <w:color w:val="000000"/>
                <w:kern w:val="0"/>
                <w:sz w:val="22"/>
              </w:rPr>
            </w:pPr>
          </w:p>
        </w:tc>
      </w:tr>
      <w:tr w14:paraId="60A383BB">
        <w:tblPrEx>
          <w:tblCellMar>
            <w:top w:w="0" w:type="dxa"/>
            <w:left w:w="108" w:type="dxa"/>
            <w:bottom w:w="0" w:type="dxa"/>
            <w:right w:w="108" w:type="dxa"/>
          </w:tblCellMar>
        </w:tblPrEx>
        <w:trPr>
          <w:trHeight w:val="298" w:hRule="atLeast"/>
        </w:trPr>
        <w:tc>
          <w:tcPr>
            <w:tcW w:w="8380" w:type="dxa"/>
            <w:gridSpan w:val="6"/>
            <w:tcBorders>
              <w:bottom w:val="single" w:color="auto" w:sz="4" w:space="0"/>
            </w:tcBorders>
            <w:shd w:val="clear" w:color="auto" w:fill="auto"/>
            <w:vAlign w:val="center"/>
          </w:tcPr>
          <w:p w14:paraId="4E42FCBB">
            <w:pPr>
              <w:widowControl/>
              <w:jc w:val="left"/>
              <w:rPr>
                <w:rFonts w:hint="eastAsia" w:ascii="楷体_GB2312" w:hAnsi="宋体" w:eastAsia="楷体_GB2312" w:cs="宋体"/>
                <w:b/>
                <w:bCs/>
                <w:color w:val="000000"/>
                <w:kern w:val="0"/>
                <w:sz w:val="22"/>
              </w:rPr>
            </w:pPr>
            <w:r>
              <w:rPr>
                <w:rFonts w:hint="eastAsia" w:ascii="宋体" w:hAnsi="宋体" w:cs="宋体"/>
                <w:b/>
                <w:bCs/>
                <w:color w:val="000000"/>
                <w:kern w:val="0"/>
                <w:sz w:val="22"/>
              </w:rPr>
              <w:t>续表：</w:t>
            </w:r>
          </w:p>
        </w:tc>
      </w:tr>
      <w:tr w14:paraId="372708FB">
        <w:tblPrEx>
          <w:tblCellMar>
            <w:top w:w="0" w:type="dxa"/>
            <w:left w:w="108" w:type="dxa"/>
            <w:bottom w:w="0" w:type="dxa"/>
            <w:right w:w="108" w:type="dxa"/>
          </w:tblCellMar>
        </w:tblPrEx>
        <w:trPr>
          <w:trHeight w:val="5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AC586D1">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860" w:type="dxa"/>
            <w:tcBorders>
              <w:top w:val="single" w:color="auto" w:sz="4" w:space="0"/>
              <w:left w:val="nil"/>
              <w:bottom w:val="single" w:color="auto" w:sz="4" w:space="0"/>
              <w:right w:val="single" w:color="auto" w:sz="4" w:space="0"/>
            </w:tcBorders>
            <w:shd w:val="clear" w:color="auto" w:fill="auto"/>
            <w:vAlign w:val="center"/>
          </w:tcPr>
          <w:p w14:paraId="708752D0">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006" w:type="dxa"/>
            <w:tcBorders>
              <w:top w:val="single" w:color="auto" w:sz="4" w:space="0"/>
              <w:left w:val="nil"/>
              <w:bottom w:val="single" w:color="auto" w:sz="4" w:space="0"/>
              <w:right w:val="single" w:color="auto" w:sz="4" w:space="0"/>
            </w:tcBorders>
            <w:shd w:val="clear" w:color="auto" w:fill="auto"/>
            <w:vAlign w:val="center"/>
          </w:tcPr>
          <w:p w14:paraId="28D3B641">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434" w:type="dxa"/>
            <w:tcBorders>
              <w:top w:val="single" w:color="auto" w:sz="4" w:space="0"/>
              <w:left w:val="nil"/>
              <w:bottom w:val="single" w:color="auto" w:sz="4" w:space="0"/>
              <w:right w:val="single" w:color="auto" w:sz="4" w:space="0"/>
            </w:tcBorders>
            <w:shd w:val="clear" w:color="auto" w:fill="auto"/>
            <w:vAlign w:val="center"/>
          </w:tcPr>
          <w:p w14:paraId="5215CE7B">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660" w:type="dxa"/>
            <w:tcBorders>
              <w:top w:val="single" w:color="auto" w:sz="4" w:space="0"/>
              <w:left w:val="nil"/>
              <w:bottom w:val="single" w:color="auto" w:sz="4" w:space="0"/>
              <w:right w:val="single" w:color="auto" w:sz="4" w:space="0"/>
            </w:tcBorders>
            <w:shd w:val="clear" w:color="auto" w:fill="auto"/>
            <w:vAlign w:val="center"/>
          </w:tcPr>
          <w:p w14:paraId="20E96EC8">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20" w:type="dxa"/>
            <w:tcBorders>
              <w:top w:val="single" w:color="auto" w:sz="4" w:space="0"/>
              <w:left w:val="nil"/>
              <w:bottom w:val="single" w:color="auto" w:sz="4" w:space="0"/>
              <w:right w:val="single" w:color="auto" w:sz="4" w:space="0"/>
            </w:tcBorders>
            <w:shd w:val="clear" w:color="auto" w:fill="auto"/>
            <w:vAlign w:val="center"/>
          </w:tcPr>
          <w:p w14:paraId="0891C4BE">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51D0B7E7">
        <w:tblPrEx>
          <w:tblCellMar>
            <w:top w:w="0" w:type="dxa"/>
            <w:left w:w="108" w:type="dxa"/>
            <w:bottom w:w="0" w:type="dxa"/>
            <w:right w:w="108" w:type="dxa"/>
          </w:tblCellMar>
        </w:tblPrEx>
        <w:trPr>
          <w:trHeight w:val="81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482EB1D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860" w:type="dxa"/>
            <w:tcBorders>
              <w:top w:val="nil"/>
              <w:left w:val="nil"/>
              <w:bottom w:val="single" w:color="auto" w:sz="4" w:space="0"/>
              <w:right w:val="single" w:color="auto" w:sz="4" w:space="0"/>
            </w:tcBorders>
            <w:shd w:val="clear" w:color="auto" w:fill="auto"/>
            <w:vAlign w:val="center"/>
          </w:tcPr>
          <w:p w14:paraId="7D0F052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数量指标（15分）</w:t>
            </w:r>
          </w:p>
        </w:tc>
        <w:tc>
          <w:tcPr>
            <w:tcW w:w="1006" w:type="dxa"/>
            <w:tcBorders>
              <w:top w:val="nil"/>
              <w:left w:val="nil"/>
              <w:bottom w:val="single" w:color="auto" w:sz="4" w:space="0"/>
              <w:right w:val="single" w:color="auto" w:sz="4" w:space="0"/>
            </w:tcBorders>
            <w:shd w:val="clear" w:color="auto" w:fill="auto"/>
            <w:vAlign w:val="center"/>
          </w:tcPr>
          <w:p w14:paraId="3C67F7C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征兵及民兵训练（15分）</w:t>
            </w:r>
          </w:p>
        </w:tc>
        <w:tc>
          <w:tcPr>
            <w:tcW w:w="2434" w:type="dxa"/>
            <w:tcBorders>
              <w:top w:val="nil"/>
              <w:left w:val="nil"/>
              <w:bottom w:val="single" w:color="auto" w:sz="4" w:space="0"/>
              <w:right w:val="single" w:color="auto" w:sz="4" w:space="0"/>
            </w:tcBorders>
            <w:shd w:val="clear" w:color="auto" w:fill="auto"/>
            <w:vAlign w:val="center"/>
          </w:tcPr>
          <w:p w14:paraId="6F1AAB4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征兵宣传及民兵训练次数达到2次</w:t>
            </w:r>
          </w:p>
        </w:tc>
        <w:tc>
          <w:tcPr>
            <w:tcW w:w="2660" w:type="dxa"/>
            <w:tcBorders>
              <w:top w:val="nil"/>
              <w:left w:val="nil"/>
              <w:bottom w:val="single" w:color="auto" w:sz="4" w:space="0"/>
              <w:right w:val="single" w:color="auto" w:sz="4" w:space="0"/>
            </w:tcBorders>
            <w:shd w:val="clear" w:color="auto" w:fill="auto"/>
            <w:vAlign w:val="center"/>
          </w:tcPr>
          <w:p w14:paraId="26FE120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街道办2017年征兵宣传1次；组织民兵训练1次</w:t>
            </w:r>
          </w:p>
        </w:tc>
        <w:tc>
          <w:tcPr>
            <w:tcW w:w="720" w:type="dxa"/>
            <w:tcBorders>
              <w:top w:val="nil"/>
              <w:left w:val="nil"/>
              <w:bottom w:val="single" w:color="auto" w:sz="4" w:space="0"/>
              <w:right w:val="single" w:color="auto" w:sz="4" w:space="0"/>
            </w:tcBorders>
            <w:shd w:val="clear" w:color="auto" w:fill="auto"/>
            <w:vAlign w:val="center"/>
          </w:tcPr>
          <w:p w14:paraId="0DB9A5C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15</w:t>
            </w:r>
          </w:p>
        </w:tc>
      </w:tr>
      <w:tr w14:paraId="7F3901CA">
        <w:tblPrEx>
          <w:tblCellMar>
            <w:top w:w="0" w:type="dxa"/>
            <w:left w:w="108" w:type="dxa"/>
            <w:bottom w:w="0" w:type="dxa"/>
            <w:right w:w="108" w:type="dxa"/>
          </w:tblCellMar>
        </w:tblPrEx>
        <w:trPr>
          <w:trHeight w:val="810"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27DC461B">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054E8C1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质量指标（10分）</w:t>
            </w:r>
          </w:p>
        </w:tc>
        <w:tc>
          <w:tcPr>
            <w:tcW w:w="1006" w:type="dxa"/>
            <w:tcBorders>
              <w:top w:val="nil"/>
              <w:left w:val="nil"/>
              <w:bottom w:val="single" w:color="auto" w:sz="4" w:space="0"/>
              <w:right w:val="single" w:color="auto" w:sz="4" w:space="0"/>
            </w:tcBorders>
            <w:shd w:val="clear" w:color="auto" w:fill="auto"/>
            <w:vAlign w:val="center"/>
          </w:tcPr>
          <w:p w14:paraId="2664A7B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兵役登记率（10分）</w:t>
            </w:r>
          </w:p>
        </w:tc>
        <w:tc>
          <w:tcPr>
            <w:tcW w:w="2434" w:type="dxa"/>
            <w:tcBorders>
              <w:top w:val="nil"/>
              <w:left w:val="nil"/>
              <w:bottom w:val="single" w:color="auto" w:sz="4" w:space="0"/>
              <w:right w:val="single" w:color="auto" w:sz="4" w:space="0"/>
            </w:tcBorders>
            <w:shd w:val="clear" w:color="auto" w:fill="auto"/>
            <w:vAlign w:val="center"/>
          </w:tcPr>
          <w:p w14:paraId="40AE27C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兵役登记率达到100%</w:t>
            </w:r>
          </w:p>
        </w:tc>
        <w:tc>
          <w:tcPr>
            <w:tcW w:w="2660" w:type="dxa"/>
            <w:tcBorders>
              <w:top w:val="nil"/>
              <w:left w:val="nil"/>
              <w:bottom w:val="single" w:color="auto" w:sz="4" w:space="0"/>
              <w:right w:val="single" w:color="auto" w:sz="4" w:space="0"/>
            </w:tcBorders>
            <w:shd w:val="clear" w:color="auto" w:fill="auto"/>
            <w:vAlign w:val="center"/>
          </w:tcPr>
          <w:p w14:paraId="041E56F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20" w:type="dxa"/>
            <w:tcBorders>
              <w:top w:val="nil"/>
              <w:left w:val="nil"/>
              <w:bottom w:val="single" w:color="auto" w:sz="4" w:space="0"/>
              <w:right w:val="single" w:color="auto" w:sz="4" w:space="0"/>
            </w:tcBorders>
            <w:shd w:val="clear" w:color="auto" w:fill="auto"/>
            <w:vAlign w:val="center"/>
          </w:tcPr>
          <w:p w14:paraId="4DE3393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w:t>
            </w:r>
          </w:p>
        </w:tc>
      </w:tr>
      <w:tr w14:paraId="430BD6CE">
        <w:tblPrEx>
          <w:tblCellMar>
            <w:top w:w="0" w:type="dxa"/>
            <w:left w:w="108" w:type="dxa"/>
            <w:bottom w:w="0" w:type="dxa"/>
            <w:right w:w="108" w:type="dxa"/>
          </w:tblCellMar>
        </w:tblPrEx>
        <w:trPr>
          <w:trHeight w:val="1080"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634ABDD6">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64717EC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（5分）</w:t>
            </w:r>
          </w:p>
        </w:tc>
        <w:tc>
          <w:tcPr>
            <w:tcW w:w="1006" w:type="dxa"/>
            <w:tcBorders>
              <w:top w:val="nil"/>
              <w:left w:val="nil"/>
              <w:bottom w:val="single" w:color="auto" w:sz="4" w:space="0"/>
              <w:right w:val="single" w:color="auto" w:sz="4" w:space="0"/>
            </w:tcBorders>
            <w:shd w:val="clear" w:color="auto" w:fill="auto"/>
            <w:vAlign w:val="center"/>
          </w:tcPr>
          <w:p w14:paraId="09D37CE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完成及时率（5分）</w:t>
            </w:r>
          </w:p>
        </w:tc>
        <w:tc>
          <w:tcPr>
            <w:tcW w:w="2434" w:type="dxa"/>
            <w:tcBorders>
              <w:top w:val="nil"/>
              <w:left w:val="nil"/>
              <w:bottom w:val="single" w:color="auto" w:sz="4" w:space="0"/>
              <w:right w:val="single" w:color="auto" w:sz="4" w:space="0"/>
            </w:tcBorders>
            <w:shd w:val="clear" w:color="auto" w:fill="auto"/>
            <w:vAlign w:val="center"/>
          </w:tcPr>
          <w:p w14:paraId="0896FD0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组织活动完成及时率100%</w:t>
            </w:r>
          </w:p>
        </w:tc>
        <w:tc>
          <w:tcPr>
            <w:tcW w:w="2660" w:type="dxa"/>
            <w:tcBorders>
              <w:top w:val="nil"/>
              <w:left w:val="nil"/>
              <w:bottom w:val="single" w:color="auto" w:sz="4" w:space="0"/>
              <w:right w:val="single" w:color="auto" w:sz="4" w:space="0"/>
            </w:tcBorders>
            <w:shd w:val="clear" w:color="auto" w:fill="auto"/>
            <w:vAlign w:val="center"/>
          </w:tcPr>
          <w:p w14:paraId="39AF634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及时完成</w:t>
            </w:r>
          </w:p>
        </w:tc>
        <w:tc>
          <w:tcPr>
            <w:tcW w:w="720" w:type="dxa"/>
            <w:tcBorders>
              <w:top w:val="nil"/>
              <w:left w:val="nil"/>
              <w:bottom w:val="single" w:color="auto" w:sz="4" w:space="0"/>
              <w:right w:val="single" w:color="auto" w:sz="4" w:space="0"/>
            </w:tcBorders>
            <w:shd w:val="clear" w:color="auto" w:fill="auto"/>
            <w:vAlign w:val="center"/>
          </w:tcPr>
          <w:p w14:paraId="58DFC42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DC90695">
        <w:tblPrEx>
          <w:tblCellMar>
            <w:top w:w="0" w:type="dxa"/>
            <w:left w:w="108" w:type="dxa"/>
            <w:bottom w:w="0" w:type="dxa"/>
            <w:right w:w="108" w:type="dxa"/>
          </w:tblCellMar>
        </w:tblPrEx>
        <w:trPr>
          <w:trHeight w:val="270" w:hRule="atLeast"/>
        </w:trPr>
        <w:tc>
          <w:tcPr>
            <w:tcW w:w="76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630692">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20" w:type="dxa"/>
            <w:tcBorders>
              <w:top w:val="nil"/>
              <w:left w:val="nil"/>
              <w:bottom w:val="single" w:color="auto" w:sz="4" w:space="0"/>
              <w:right w:val="single" w:color="auto" w:sz="4" w:space="0"/>
            </w:tcBorders>
            <w:shd w:val="clear" w:color="auto" w:fill="auto"/>
            <w:vAlign w:val="center"/>
          </w:tcPr>
          <w:p w14:paraId="2F508B86">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30</w:t>
            </w:r>
          </w:p>
        </w:tc>
      </w:tr>
      <w:tr w14:paraId="2593DCE3">
        <w:tblPrEx>
          <w:tblCellMar>
            <w:top w:w="0" w:type="dxa"/>
            <w:left w:w="108" w:type="dxa"/>
            <w:bottom w:w="0" w:type="dxa"/>
            <w:right w:w="108" w:type="dxa"/>
          </w:tblCellMar>
        </w:tblPrEx>
        <w:trPr>
          <w:trHeight w:val="270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12D08EC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860" w:type="dxa"/>
            <w:tcBorders>
              <w:top w:val="nil"/>
              <w:left w:val="nil"/>
              <w:bottom w:val="single" w:color="auto" w:sz="4" w:space="0"/>
              <w:right w:val="single" w:color="auto" w:sz="4" w:space="0"/>
            </w:tcBorders>
            <w:shd w:val="clear" w:color="auto" w:fill="auto"/>
            <w:vAlign w:val="center"/>
          </w:tcPr>
          <w:p w14:paraId="2BAD09B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 （10分）</w:t>
            </w:r>
          </w:p>
        </w:tc>
        <w:tc>
          <w:tcPr>
            <w:tcW w:w="1006" w:type="dxa"/>
            <w:tcBorders>
              <w:top w:val="nil"/>
              <w:left w:val="nil"/>
              <w:bottom w:val="single" w:color="auto" w:sz="4" w:space="0"/>
              <w:right w:val="single" w:color="auto" w:sz="4" w:space="0"/>
            </w:tcBorders>
            <w:shd w:val="clear" w:color="auto" w:fill="auto"/>
            <w:vAlign w:val="center"/>
          </w:tcPr>
          <w:p w14:paraId="4E98B85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增强居民群众的国防意识</w:t>
            </w:r>
          </w:p>
        </w:tc>
        <w:tc>
          <w:tcPr>
            <w:tcW w:w="2434" w:type="dxa"/>
            <w:tcBorders>
              <w:top w:val="nil"/>
              <w:left w:val="nil"/>
              <w:bottom w:val="single" w:color="auto" w:sz="4" w:space="0"/>
              <w:right w:val="single" w:color="auto" w:sz="4" w:space="0"/>
            </w:tcBorders>
            <w:shd w:val="clear" w:color="auto" w:fill="auto"/>
            <w:vAlign w:val="center"/>
          </w:tcPr>
          <w:p w14:paraId="45CFEFE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增强居民群众的国防意识，激发适龄青年报名参军、献身国防的自觉性和积极性。</w:t>
            </w:r>
          </w:p>
        </w:tc>
        <w:tc>
          <w:tcPr>
            <w:tcW w:w="2660" w:type="dxa"/>
            <w:tcBorders>
              <w:top w:val="nil"/>
              <w:left w:val="nil"/>
              <w:bottom w:val="single" w:color="auto" w:sz="4" w:space="0"/>
              <w:right w:val="single" w:color="auto" w:sz="4" w:space="0"/>
            </w:tcBorders>
            <w:shd w:val="clear" w:color="auto" w:fill="auto"/>
            <w:vAlign w:val="center"/>
          </w:tcPr>
          <w:p w14:paraId="5ECCDFD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按照市征兵办下发的宣传教育计划，利用街道广播，村主要地段张贴标语，悬挂横幅等形式，广泛深入地宣传兵役法和法规，并在报名期间到户登记做好发动宣传工作，营造了关心和支持征兵工作的良好社会氛围。</w:t>
            </w:r>
          </w:p>
        </w:tc>
        <w:tc>
          <w:tcPr>
            <w:tcW w:w="720" w:type="dxa"/>
            <w:tcBorders>
              <w:top w:val="nil"/>
              <w:left w:val="nil"/>
              <w:bottom w:val="single" w:color="auto" w:sz="4" w:space="0"/>
              <w:right w:val="single" w:color="auto" w:sz="4" w:space="0"/>
            </w:tcBorders>
            <w:shd w:val="clear" w:color="auto" w:fill="auto"/>
            <w:vAlign w:val="center"/>
          </w:tcPr>
          <w:p w14:paraId="660E450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w:t>
            </w:r>
          </w:p>
        </w:tc>
      </w:tr>
      <w:tr w14:paraId="24C24283">
        <w:tblPrEx>
          <w:tblCellMar>
            <w:top w:w="0" w:type="dxa"/>
            <w:left w:w="108" w:type="dxa"/>
            <w:bottom w:w="0" w:type="dxa"/>
            <w:right w:w="108" w:type="dxa"/>
          </w:tblCellMar>
        </w:tblPrEx>
        <w:trPr>
          <w:trHeight w:val="2160"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0624642A">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6BFAC20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环境效益指标（10分）</w:t>
            </w:r>
          </w:p>
        </w:tc>
        <w:tc>
          <w:tcPr>
            <w:tcW w:w="1006" w:type="dxa"/>
            <w:tcBorders>
              <w:top w:val="nil"/>
              <w:left w:val="nil"/>
              <w:bottom w:val="single" w:color="auto" w:sz="4" w:space="0"/>
              <w:right w:val="single" w:color="auto" w:sz="4" w:space="0"/>
            </w:tcBorders>
            <w:shd w:val="clear" w:color="auto" w:fill="auto"/>
            <w:vAlign w:val="center"/>
          </w:tcPr>
          <w:p w14:paraId="6EB9753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建立完善的征兵宣传责任机制</w:t>
            </w:r>
          </w:p>
        </w:tc>
        <w:tc>
          <w:tcPr>
            <w:tcW w:w="2434" w:type="dxa"/>
            <w:tcBorders>
              <w:top w:val="nil"/>
              <w:left w:val="nil"/>
              <w:bottom w:val="single" w:color="auto" w:sz="4" w:space="0"/>
              <w:right w:val="single" w:color="auto" w:sz="4" w:space="0"/>
            </w:tcBorders>
            <w:shd w:val="clear" w:color="auto" w:fill="auto"/>
            <w:vAlign w:val="center"/>
          </w:tcPr>
          <w:p w14:paraId="5D36191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建立健全征兵宣传组织领导；抓好征兵宣传队伍建设；完善征兵宣传机制。</w:t>
            </w:r>
          </w:p>
        </w:tc>
        <w:tc>
          <w:tcPr>
            <w:tcW w:w="2660" w:type="dxa"/>
            <w:tcBorders>
              <w:top w:val="nil"/>
              <w:left w:val="nil"/>
              <w:bottom w:val="single" w:color="auto" w:sz="4" w:space="0"/>
              <w:right w:val="single" w:color="auto" w:sz="4" w:space="0"/>
            </w:tcBorders>
            <w:shd w:val="clear" w:color="auto" w:fill="auto"/>
            <w:vAlign w:val="center"/>
          </w:tcPr>
          <w:p w14:paraId="13C4CFB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街道高度重视征兵宣传工作,认真部署,周密计划,做到有领导负责、有工作分工、有经费保障；成立了征兵宣传领导小组,采取多种方式,配合做好征兵宣传教育工作。</w:t>
            </w:r>
          </w:p>
        </w:tc>
        <w:tc>
          <w:tcPr>
            <w:tcW w:w="720" w:type="dxa"/>
            <w:tcBorders>
              <w:top w:val="nil"/>
              <w:left w:val="nil"/>
              <w:bottom w:val="single" w:color="auto" w:sz="4" w:space="0"/>
              <w:right w:val="single" w:color="auto" w:sz="4" w:space="0"/>
            </w:tcBorders>
            <w:shd w:val="clear" w:color="auto" w:fill="auto"/>
            <w:vAlign w:val="center"/>
          </w:tcPr>
          <w:p w14:paraId="03EE5B3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8</w:t>
            </w:r>
          </w:p>
        </w:tc>
      </w:tr>
      <w:tr w14:paraId="66F4A235">
        <w:tblPrEx>
          <w:tblCellMar>
            <w:top w:w="0" w:type="dxa"/>
            <w:left w:w="108" w:type="dxa"/>
            <w:bottom w:w="0" w:type="dxa"/>
            <w:right w:w="108" w:type="dxa"/>
          </w:tblCellMar>
        </w:tblPrEx>
        <w:trPr>
          <w:trHeight w:val="1620" w:hRule="atLeast"/>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658B8D8B">
            <w:pPr>
              <w:widowControl/>
              <w:jc w:val="left"/>
              <w:rPr>
                <w:rFonts w:ascii="楷体_GB2312" w:hAnsi="宋体" w:eastAsia="楷体_GB2312" w:cs="宋体"/>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14:paraId="28765B9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可持续影响指标(10分)</w:t>
            </w:r>
          </w:p>
        </w:tc>
        <w:tc>
          <w:tcPr>
            <w:tcW w:w="1006" w:type="dxa"/>
            <w:tcBorders>
              <w:top w:val="nil"/>
              <w:left w:val="nil"/>
              <w:bottom w:val="single" w:color="auto" w:sz="4" w:space="0"/>
              <w:right w:val="single" w:color="auto" w:sz="4" w:space="0"/>
            </w:tcBorders>
            <w:shd w:val="clear" w:color="auto" w:fill="auto"/>
            <w:vAlign w:val="center"/>
          </w:tcPr>
          <w:p w14:paraId="3B98C6D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确保征兵工作可持续性进行</w:t>
            </w:r>
          </w:p>
        </w:tc>
        <w:tc>
          <w:tcPr>
            <w:tcW w:w="2434" w:type="dxa"/>
            <w:tcBorders>
              <w:top w:val="nil"/>
              <w:left w:val="nil"/>
              <w:bottom w:val="single" w:color="auto" w:sz="4" w:space="0"/>
              <w:right w:val="single" w:color="auto" w:sz="4" w:space="0"/>
            </w:tcBorders>
            <w:shd w:val="clear" w:color="auto" w:fill="auto"/>
            <w:vAlign w:val="center"/>
          </w:tcPr>
          <w:p w14:paraId="6116812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营造良好的“当兵光荣”氛围，确保征兵工作可持续性进行</w:t>
            </w:r>
          </w:p>
        </w:tc>
        <w:tc>
          <w:tcPr>
            <w:tcW w:w="2660" w:type="dxa"/>
            <w:tcBorders>
              <w:top w:val="nil"/>
              <w:left w:val="nil"/>
              <w:bottom w:val="single" w:color="auto" w:sz="4" w:space="0"/>
              <w:right w:val="single" w:color="auto" w:sz="4" w:space="0"/>
            </w:tcBorders>
            <w:shd w:val="clear" w:color="auto" w:fill="auto"/>
            <w:vAlign w:val="center"/>
          </w:tcPr>
          <w:p w14:paraId="461D073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街道把搞好征兵宣传教育，作为增强全民国防观念，提高兵员质量的基础性工作来抓，营造了关心和支持征兵工作的良好社会氛围。</w:t>
            </w:r>
          </w:p>
        </w:tc>
        <w:tc>
          <w:tcPr>
            <w:tcW w:w="720" w:type="dxa"/>
            <w:tcBorders>
              <w:top w:val="nil"/>
              <w:left w:val="nil"/>
              <w:bottom w:val="single" w:color="auto" w:sz="4" w:space="0"/>
              <w:right w:val="single" w:color="auto" w:sz="4" w:space="0"/>
            </w:tcBorders>
            <w:shd w:val="clear" w:color="auto" w:fill="auto"/>
            <w:vAlign w:val="center"/>
          </w:tcPr>
          <w:p w14:paraId="3F675DF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8</w:t>
            </w:r>
          </w:p>
        </w:tc>
      </w:tr>
      <w:tr w14:paraId="6597C0C8">
        <w:tblPrEx>
          <w:tblCellMar>
            <w:top w:w="0" w:type="dxa"/>
            <w:left w:w="108" w:type="dxa"/>
            <w:bottom w:w="0" w:type="dxa"/>
            <w:right w:w="108" w:type="dxa"/>
          </w:tblCellMar>
        </w:tblPrEx>
        <w:trPr>
          <w:trHeight w:val="270" w:hRule="atLeast"/>
        </w:trPr>
        <w:tc>
          <w:tcPr>
            <w:tcW w:w="76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7160CA">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20" w:type="dxa"/>
            <w:tcBorders>
              <w:top w:val="nil"/>
              <w:left w:val="nil"/>
              <w:bottom w:val="single" w:color="auto" w:sz="4" w:space="0"/>
              <w:right w:val="single" w:color="auto" w:sz="4" w:space="0"/>
            </w:tcBorders>
            <w:shd w:val="clear" w:color="auto" w:fill="auto"/>
            <w:vAlign w:val="center"/>
          </w:tcPr>
          <w:p w14:paraId="0C6FA33D">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26</w:t>
            </w:r>
          </w:p>
        </w:tc>
      </w:tr>
      <w:tr w14:paraId="4CD0DCC7">
        <w:tblPrEx>
          <w:tblCellMar>
            <w:top w:w="0" w:type="dxa"/>
            <w:left w:w="108" w:type="dxa"/>
            <w:bottom w:w="0" w:type="dxa"/>
            <w:right w:w="108" w:type="dxa"/>
          </w:tblCellMar>
        </w:tblPrEx>
        <w:trPr>
          <w:trHeight w:val="270" w:hRule="atLeast"/>
        </w:trPr>
        <w:tc>
          <w:tcPr>
            <w:tcW w:w="76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67E940">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20" w:type="dxa"/>
            <w:tcBorders>
              <w:top w:val="nil"/>
              <w:left w:val="nil"/>
              <w:bottom w:val="single" w:color="auto" w:sz="4" w:space="0"/>
              <w:right w:val="single" w:color="auto" w:sz="4" w:space="0"/>
            </w:tcBorders>
            <w:shd w:val="clear" w:color="auto" w:fill="auto"/>
            <w:vAlign w:val="center"/>
          </w:tcPr>
          <w:p w14:paraId="5A1BF4A9">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88</w:t>
            </w:r>
          </w:p>
        </w:tc>
      </w:tr>
    </w:tbl>
    <w:p w14:paraId="4DEB5A17">
      <w:pPr>
        <w:spacing w:line="360" w:lineRule="auto"/>
        <w:ind w:firstLine="560" w:firstLineChars="200"/>
        <w:rPr>
          <w:rFonts w:hint="eastAsia"/>
          <w:sz w:val="28"/>
        </w:rPr>
      </w:pPr>
    </w:p>
    <w:p w14:paraId="27D66284">
      <w:pPr>
        <w:spacing w:line="360" w:lineRule="auto"/>
        <w:ind w:firstLine="560" w:firstLineChars="200"/>
        <w:rPr>
          <w:rFonts w:hint="eastAsia"/>
          <w:sz w:val="28"/>
        </w:rPr>
      </w:pPr>
    </w:p>
    <w:p w14:paraId="0394FFB5">
      <w:pPr>
        <w:spacing w:line="360" w:lineRule="auto"/>
        <w:ind w:firstLine="560" w:firstLineChars="200"/>
        <w:rPr>
          <w:rFonts w:hint="eastAsia"/>
          <w:sz w:val="28"/>
        </w:rPr>
      </w:pPr>
      <w:r>
        <w:rPr>
          <w:rFonts w:hint="eastAsia"/>
          <w:sz w:val="28"/>
        </w:rPr>
        <w:t>根据上表，分析如下：</w:t>
      </w:r>
    </w:p>
    <w:p w14:paraId="5DBF9B9C">
      <w:pPr>
        <w:spacing w:line="360" w:lineRule="auto"/>
        <w:ind w:firstLine="560" w:firstLineChars="200"/>
        <w:rPr>
          <w:sz w:val="28"/>
        </w:rPr>
      </w:pPr>
      <w:r>
        <w:rPr>
          <w:rFonts w:hint="eastAsia"/>
          <w:sz w:val="28"/>
        </w:rPr>
        <w:t>1．产出目标</w:t>
      </w:r>
    </w:p>
    <w:p w14:paraId="181BDB21">
      <w:pPr>
        <w:spacing w:line="360" w:lineRule="auto"/>
        <w:ind w:firstLine="560" w:firstLineChars="200"/>
        <w:rPr>
          <w:rFonts w:hint="eastAsia"/>
          <w:sz w:val="28"/>
        </w:rPr>
      </w:pPr>
      <w:r>
        <w:rPr>
          <w:rFonts w:hint="eastAsia"/>
          <w:sz w:val="28"/>
        </w:rPr>
        <w:t>（1）数量指标</w:t>
      </w:r>
    </w:p>
    <w:p w14:paraId="5E05396D">
      <w:pPr>
        <w:spacing w:line="360" w:lineRule="auto"/>
        <w:ind w:firstLine="560" w:firstLineChars="200"/>
        <w:rPr>
          <w:rFonts w:hint="eastAsia"/>
          <w:sz w:val="28"/>
        </w:rPr>
      </w:pPr>
      <w:r>
        <w:rPr>
          <w:rFonts w:hint="eastAsia"/>
          <w:sz w:val="28"/>
        </w:rPr>
        <w:t>街道办2017年组织了征兵宣传1次，组织民兵训练1次。</w:t>
      </w:r>
    </w:p>
    <w:p w14:paraId="3136A396">
      <w:pPr>
        <w:spacing w:line="360" w:lineRule="auto"/>
        <w:ind w:firstLine="560" w:firstLineChars="200"/>
        <w:rPr>
          <w:rFonts w:hint="eastAsia"/>
          <w:sz w:val="28"/>
        </w:rPr>
      </w:pPr>
      <w:r>
        <w:rPr>
          <w:rFonts w:hint="eastAsia"/>
          <w:sz w:val="28"/>
        </w:rPr>
        <w:t>（2）质量指标</w:t>
      </w:r>
    </w:p>
    <w:p w14:paraId="4235EBFD">
      <w:pPr>
        <w:spacing w:line="360" w:lineRule="auto"/>
        <w:ind w:firstLine="560" w:firstLineChars="200"/>
        <w:rPr>
          <w:rFonts w:hint="eastAsia"/>
          <w:sz w:val="28"/>
        </w:rPr>
      </w:pPr>
      <w:r>
        <w:rPr>
          <w:rFonts w:hint="eastAsia"/>
          <w:sz w:val="28"/>
        </w:rPr>
        <w:t>街道办2017年兵役登记率达到100%</w:t>
      </w:r>
    </w:p>
    <w:p w14:paraId="0EEBE9BF">
      <w:pPr>
        <w:spacing w:line="360" w:lineRule="auto"/>
        <w:ind w:firstLine="560" w:firstLineChars="200"/>
        <w:rPr>
          <w:rFonts w:hint="eastAsia"/>
          <w:sz w:val="28"/>
        </w:rPr>
      </w:pPr>
      <w:r>
        <w:rPr>
          <w:rFonts w:hint="eastAsia"/>
          <w:sz w:val="28"/>
        </w:rPr>
        <w:t>（3）时效指标</w:t>
      </w:r>
    </w:p>
    <w:p w14:paraId="4BFFCC2E">
      <w:pPr>
        <w:spacing w:line="360" w:lineRule="auto"/>
        <w:ind w:firstLine="560" w:firstLineChars="200"/>
        <w:rPr>
          <w:rFonts w:hint="eastAsia"/>
          <w:sz w:val="28"/>
        </w:rPr>
      </w:pPr>
      <w:r>
        <w:rPr>
          <w:rFonts w:hint="eastAsia"/>
          <w:sz w:val="28"/>
        </w:rPr>
        <w:t>街道办2017年组织活动完成及时率达到100%。</w:t>
      </w:r>
    </w:p>
    <w:p w14:paraId="7A983304">
      <w:pPr>
        <w:spacing w:line="360" w:lineRule="auto"/>
        <w:ind w:firstLine="560" w:firstLineChars="200"/>
        <w:rPr>
          <w:sz w:val="28"/>
        </w:rPr>
      </w:pPr>
      <w:r>
        <w:rPr>
          <w:rFonts w:hint="eastAsia"/>
          <w:sz w:val="28"/>
        </w:rPr>
        <w:t>2．效果目标</w:t>
      </w:r>
    </w:p>
    <w:p w14:paraId="782A2122">
      <w:pPr>
        <w:spacing w:line="360" w:lineRule="auto"/>
        <w:ind w:firstLine="560" w:firstLineChars="200"/>
        <w:rPr>
          <w:rFonts w:hint="eastAsia"/>
          <w:sz w:val="28"/>
        </w:rPr>
      </w:pPr>
      <w:r>
        <w:rPr>
          <w:rFonts w:hint="eastAsia"/>
          <w:sz w:val="28"/>
        </w:rPr>
        <w:t>（1）社会效益指标</w:t>
      </w:r>
    </w:p>
    <w:p w14:paraId="44C9CFA0">
      <w:pPr>
        <w:spacing w:line="360" w:lineRule="auto"/>
        <w:ind w:firstLine="560" w:firstLineChars="200"/>
        <w:rPr>
          <w:rFonts w:hint="eastAsia"/>
          <w:sz w:val="28"/>
        </w:rPr>
      </w:pPr>
      <w:r>
        <w:rPr>
          <w:rFonts w:hint="eastAsia"/>
          <w:sz w:val="28"/>
        </w:rPr>
        <w:t>街道办按照市征兵办下发的宣传教育计划，利用街道广播，村主要地段张贴标语，悬挂横幅等形式，广泛深入地宣传兵役法和法规，并在报名期间到户登记做好发动宣传工作，营造了关心和支持征兵工作的良好社会氛围。</w:t>
      </w:r>
    </w:p>
    <w:p w14:paraId="145710B2">
      <w:pPr>
        <w:spacing w:line="360" w:lineRule="auto"/>
        <w:ind w:firstLine="560" w:firstLineChars="200"/>
        <w:rPr>
          <w:rFonts w:hint="eastAsia"/>
          <w:sz w:val="28"/>
        </w:rPr>
      </w:pPr>
      <w:r>
        <w:rPr>
          <w:rFonts w:hint="eastAsia"/>
          <w:sz w:val="28"/>
        </w:rPr>
        <w:t>（2）环境效益</w:t>
      </w:r>
    </w:p>
    <w:p w14:paraId="42A4322E">
      <w:pPr>
        <w:spacing w:line="360" w:lineRule="auto"/>
        <w:ind w:firstLine="560" w:firstLineChars="200"/>
        <w:rPr>
          <w:rFonts w:hint="eastAsia"/>
          <w:sz w:val="28"/>
        </w:rPr>
      </w:pPr>
      <w:r>
        <w:rPr>
          <w:rFonts w:hint="eastAsia"/>
          <w:sz w:val="28"/>
        </w:rPr>
        <w:t>街道高度重视征兵宣传工作,认真部署,周密计划,做到有领导负责、有工作分工、有经费保障；成立了征兵宣传领导小组,采取多种方式,配合做好征兵宣传教育工作。</w:t>
      </w:r>
    </w:p>
    <w:p w14:paraId="50FE5B7A">
      <w:pPr>
        <w:spacing w:line="360" w:lineRule="auto"/>
        <w:ind w:firstLine="560" w:firstLineChars="200"/>
        <w:rPr>
          <w:rFonts w:hint="eastAsia"/>
          <w:sz w:val="28"/>
        </w:rPr>
      </w:pPr>
      <w:r>
        <w:rPr>
          <w:rFonts w:hint="eastAsia"/>
          <w:sz w:val="28"/>
        </w:rPr>
        <w:t>（3）可持续影响指标</w:t>
      </w:r>
    </w:p>
    <w:p w14:paraId="11050681">
      <w:pPr>
        <w:spacing w:line="360" w:lineRule="auto"/>
        <w:ind w:firstLine="560" w:firstLineChars="200"/>
        <w:rPr>
          <w:rFonts w:hint="eastAsia"/>
          <w:sz w:val="28"/>
        </w:rPr>
      </w:pPr>
      <w:r>
        <w:rPr>
          <w:rFonts w:hint="eastAsia"/>
          <w:sz w:val="28"/>
        </w:rPr>
        <w:t>街道把搞好征兵宣传教育，作为增强全民国防观念，提高兵员质量的基础性工作来抓，营造了关心和支持征兵工作的良好社会氛围。</w:t>
      </w:r>
    </w:p>
    <w:p w14:paraId="0698A054">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4820A33D">
      <w:pPr>
        <w:spacing w:line="360" w:lineRule="auto"/>
        <w:ind w:firstLine="560" w:firstLineChars="200"/>
        <w:rPr>
          <w:sz w:val="28"/>
        </w:rPr>
      </w:pPr>
      <w:r>
        <w:rPr>
          <w:rFonts w:hint="eastAsia"/>
          <w:sz w:val="28"/>
        </w:rPr>
        <w:t>（一）自评结论</w:t>
      </w:r>
    </w:p>
    <w:p w14:paraId="5EB53A2D">
      <w:pPr>
        <w:spacing w:line="360" w:lineRule="auto"/>
        <w:ind w:firstLine="560" w:firstLineChars="200"/>
        <w:rPr>
          <w:rFonts w:hint="eastAsia"/>
          <w:sz w:val="28"/>
        </w:rPr>
      </w:pPr>
      <w:r>
        <w:rPr>
          <w:rFonts w:hint="eastAsia"/>
          <w:sz w:val="28"/>
        </w:rPr>
        <w:t>经上述分析评价，我们认为：</w:t>
      </w:r>
    </w:p>
    <w:p w14:paraId="0D8E71CA">
      <w:pPr>
        <w:spacing w:line="360" w:lineRule="auto"/>
        <w:ind w:firstLine="560" w:firstLineChars="200"/>
        <w:rPr>
          <w:rFonts w:hint="eastAsia"/>
          <w:sz w:val="28"/>
        </w:rPr>
      </w:pPr>
      <w:r>
        <w:rPr>
          <w:rFonts w:hint="eastAsia"/>
          <w:sz w:val="28"/>
        </w:rPr>
        <w:t>2017年度“九峰街道办事处民兵训练及征兵经费”项目积极响应国家政策，立项依据较为充分，可行性研究到位，必要性突出，决策规范、高效。</w:t>
      </w:r>
    </w:p>
    <w:p w14:paraId="27936648">
      <w:pPr>
        <w:spacing w:line="360" w:lineRule="auto"/>
        <w:ind w:firstLine="560" w:firstLineChars="200"/>
        <w:rPr>
          <w:rFonts w:hint="eastAsia"/>
          <w:sz w:val="28"/>
        </w:rPr>
      </w:pPr>
      <w:r>
        <w:rPr>
          <w:rFonts w:hint="eastAsia"/>
          <w:sz w:val="28"/>
        </w:rPr>
        <w:t>严格执行建设项目管理流程，规范实施，并通过检查监督进一步确保落实，形成了良好的管理、执行氛围。</w:t>
      </w:r>
    </w:p>
    <w:p w14:paraId="2DFE6014">
      <w:pPr>
        <w:spacing w:line="360" w:lineRule="auto"/>
        <w:ind w:firstLine="560" w:firstLineChars="200"/>
        <w:rPr>
          <w:rFonts w:hint="eastAsia"/>
          <w:sz w:val="28"/>
        </w:rPr>
      </w:pPr>
      <w:r>
        <w:rPr>
          <w:rFonts w:hint="eastAsia"/>
          <w:sz w:val="28"/>
        </w:rPr>
        <w:t>从产出和效果上来看，基本完成了年初制订的各项项目工作内容，资金到位率与预算差别较大。</w:t>
      </w:r>
    </w:p>
    <w:p w14:paraId="4633F01D">
      <w:pPr>
        <w:spacing w:line="360" w:lineRule="auto"/>
        <w:ind w:firstLine="560" w:firstLineChars="200"/>
        <w:rPr>
          <w:rFonts w:hint="eastAsia"/>
          <w:sz w:val="28"/>
        </w:rPr>
      </w:pPr>
      <w:r>
        <w:rPr>
          <w:rFonts w:hint="eastAsia"/>
          <w:sz w:val="28"/>
        </w:rPr>
        <w:t>综上，绩效评价综合得分为88分，评价结果为良。</w:t>
      </w:r>
    </w:p>
    <w:p w14:paraId="5AF2BFDF">
      <w:pPr>
        <w:spacing w:line="360" w:lineRule="auto"/>
        <w:ind w:firstLine="560" w:firstLineChars="200"/>
        <w:rPr>
          <w:sz w:val="28"/>
        </w:rPr>
      </w:pPr>
      <w:r>
        <w:rPr>
          <w:rFonts w:hint="eastAsia"/>
          <w:sz w:val="28"/>
        </w:rPr>
        <w:t>（二）主要经验，存在的问题和改进措施</w:t>
      </w:r>
    </w:p>
    <w:p w14:paraId="12326982">
      <w:pPr>
        <w:spacing w:line="360" w:lineRule="auto"/>
        <w:ind w:firstLine="560" w:firstLineChars="200"/>
        <w:rPr>
          <w:rFonts w:hint="eastAsia"/>
          <w:sz w:val="28"/>
        </w:rPr>
      </w:pPr>
      <w:r>
        <w:rPr>
          <w:rFonts w:hint="eastAsia"/>
          <w:sz w:val="28"/>
        </w:rPr>
        <w:t>1、主要经验</w:t>
      </w:r>
    </w:p>
    <w:p w14:paraId="5CE4140B">
      <w:pPr>
        <w:spacing w:line="360" w:lineRule="auto"/>
        <w:ind w:firstLine="560" w:firstLineChars="200"/>
        <w:rPr>
          <w:rFonts w:hint="eastAsia"/>
          <w:sz w:val="28"/>
        </w:rPr>
      </w:pPr>
      <w:r>
        <w:rPr>
          <w:rFonts w:hint="eastAsia"/>
          <w:sz w:val="28"/>
        </w:rPr>
        <w:t>在高新区相关部门的指导下，全面开展运用大数据工作，全面完成民兵组织整顿，提升基层民兵队伍建设水平，做好夏秋季征兵登记工作。</w:t>
      </w:r>
    </w:p>
    <w:p w14:paraId="7AFE0AFC">
      <w:pPr>
        <w:spacing w:line="360" w:lineRule="auto"/>
        <w:ind w:firstLine="560" w:firstLineChars="200"/>
        <w:rPr>
          <w:rFonts w:hint="eastAsia"/>
          <w:sz w:val="28"/>
        </w:rPr>
      </w:pPr>
      <w:r>
        <w:rPr>
          <w:rFonts w:hint="eastAsia"/>
          <w:sz w:val="28"/>
        </w:rPr>
        <w:t>2、存在问题</w:t>
      </w:r>
    </w:p>
    <w:p w14:paraId="75D06F4E">
      <w:pPr>
        <w:spacing w:line="360" w:lineRule="auto"/>
        <w:ind w:firstLine="560" w:firstLineChars="200"/>
        <w:rPr>
          <w:rFonts w:hint="eastAsia"/>
          <w:sz w:val="28"/>
        </w:rPr>
      </w:pPr>
      <w:r>
        <w:rPr>
          <w:rFonts w:hint="eastAsia"/>
          <w:sz w:val="28"/>
        </w:rPr>
        <w:t>（1）适龄青年选择就学与外出打工者增多，可征兵员减少。</w:t>
      </w:r>
    </w:p>
    <w:p w14:paraId="5D98EF18">
      <w:pPr>
        <w:spacing w:line="360" w:lineRule="auto"/>
        <w:ind w:firstLine="560" w:firstLineChars="200"/>
        <w:rPr>
          <w:rFonts w:hint="eastAsia"/>
          <w:sz w:val="28"/>
        </w:rPr>
      </w:pPr>
      <w:r>
        <w:rPr>
          <w:rFonts w:hint="eastAsia"/>
          <w:sz w:val="28"/>
        </w:rPr>
        <w:t>（2）征兵宣传内容老套，形式单一，难以有效激发适龄青年及家长的应征热情。</w:t>
      </w:r>
    </w:p>
    <w:p w14:paraId="2E4906AC">
      <w:pPr>
        <w:spacing w:line="360" w:lineRule="auto"/>
        <w:ind w:firstLine="560" w:firstLineChars="200"/>
        <w:rPr>
          <w:rFonts w:hint="eastAsia"/>
          <w:sz w:val="28"/>
        </w:rPr>
      </w:pPr>
      <w:r>
        <w:rPr>
          <w:rFonts w:hint="eastAsia"/>
          <w:sz w:val="28"/>
        </w:rPr>
        <w:t>3、改进措施</w:t>
      </w:r>
    </w:p>
    <w:p w14:paraId="31471BBF">
      <w:pPr>
        <w:spacing w:line="360" w:lineRule="auto"/>
        <w:ind w:firstLine="560" w:firstLineChars="200"/>
        <w:rPr>
          <w:rFonts w:hint="eastAsia"/>
          <w:sz w:val="28"/>
        </w:rPr>
      </w:pPr>
      <w:r>
        <w:rPr>
          <w:rFonts w:hint="eastAsia"/>
          <w:sz w:val="28"/>
        </w:rPr>
        <w:t>（1）加大征召大学生服兵役的力度，解决士兵文化素质不高和可征兵员减少的问题。</w:t>
      </w:r>
    </w:p>
    <w:p w14:paraId="117A0B96">
      <w:pPr>
        <w:spacing w:line="360" w:lineRule="auto"/>
        <w:ind w:firstLine="560" w:firstLineChars="200"/>
        <w:rPr>
          <w:rFonts w:hint="eastAsia"/>
          <w:sz w:val="28"/>
        </w:rPr>
      </w:pPr>
      <w:r>
        <w:rPr>
          <w:rFonts w:hint="eastAsia"/>
          <w:sz w:val="28"/>
        </w:rPr>
        <w:t>（2）要采取多种形式加强国防教育，营造全社会关心支持征兵工作的良好氛围。</w:t>
      </w:r>
    </w:p>
    <w:p w14:paraId="580E989D">
      <w:pPr>
        <w:pStyle w:val="9"/>
        <w:widowControl w:val="0"/>
        <w:numPr>
          <w:ilvl w:val="0"/>
          <w:numId w:val="0"/>
        </w:numPr>
        <w:tabs>
          <w:tab w:val="left" w:pos="993"/>
          <w:tab w:val="left" w:pos="1418"/>
        </w:tabs>
        <w:spacing w:line="600" w:lineRule="exact"/>
        <w:jc w:val="left"/>
        <w:rPr>
          <w:rFonts w:hint="eastAsia"/>
          <w:sz w:val="28"/>
        </w:rPr>
      </w:pPr>
    </w:p>
    <w:p w14:paraId="78947A80">
      <w:pPr>
        <w:pStyle w:val="9"/>
        <w:widowControl w:val="0"/>
        <w:numPr>
          <w:ilvl w:val="0"/>
          <w:numId w:val="0"/>
        </w:numPr>
        <w:tabs>
          <w:tab w:val="left" w:pos="993"/>
          <w:tab w:val="left" w:pos="1418"/>
        </w:tabs>
        <w:spacing w:line="600" w:lineRule="exact"/>
        <w:jc w:val="left"/>
        <w:rPr>
          <w:rFonts w:hint="eastAsia"/>
          <w:sz w:val="28"/>
        </w:rPr>
      </w:pPr>
    </w:p>
    <w:p w14:paraId="1DB4D6BE">
      <w:pPr>
        <w:pStyle w:val="9"/>
        <w:widowControl w:val="0"/>
        <w:numPr>
          <w:ilvl w:val="0"/>
          <w:numId w:val="0"/>
        </w:numPr>
        <w:tabs>
          <w:tab w:val="left" w:pos="993"/>
          <w:tab w:val="left" w:pos="1418"/>
        </w:tabs>
        <w:spacing w:line="600" w:lineRule="exact"/>
        <w:jc w:val="left"/>
        <w:rPr>
          <w:rFonts w:hint="eastAsia"/>
          <w:sz w:val="28"/>
        </w:rPr>
      </w:pPr>
    </w:p>
    <w:p w14:paraId="5C8D810C">
      <w:pPr>
        <w:pStyle w:val="9"/>
        <w:widowControl w:val="0"/>
        <w:numPr>
          <w:ilvl w:val="0"/>
          <w:numId w:val="0"/>
        </w:numPr>
        <w:tabs>
          <w:tab w:val="left" w:pos="993"/>
          <w:tab w:val="left" w:pos="1418"/>
        </w:tabs>
        <w:spacing w:line="600" w:lineRule="exact"/>
        <w:jc w:val="left"/>
        <w:rPr>
          <w:rFonts w:hint="eastAsia"/>
          <w:sz w:val="28"/>
        </w:rPr>
      </w:pPr>
    </w:p>
    <w:p w14:paraId="18B54786">
      <w:pPr>
        <w:pStyle w:val="9"/>
        <w:widowControl w:val="0"/>
        <w:numPr>
          <w:ilvl w:val="0"/>
          <w:numId w:val="0"/>
        </w:numPr>
        <w:tabs>
          <w:tab w:val="left" w:pos="993"/>
          <w:tab w:val="left" w:pos="1418"/>
        </w:tabs>
        <w:spacing w:line="600" w:lineRule="exact"/>
        <w:jc w:val="left"/>
        <w:rPr>
          <w:rFonts w:hint="eastAsia"/>
          <w:sz w:val="28"/>
        </w:rPr>
      </w:pPr>
    </w:p>
    <w:p w14:paraId="616CE405">
      <w:pPr>
        <w:pStyle w:val="9"/>
        <w:widowControl w:val="0"/>
        <w:numPr>
          <w:ilvl w:val="0"/>
          <w:numId w:val="0"/>
        </w:numPr>
        <w:tabs>
          <w:tab w:val="left" w:pos="993"/>
          <w:tab w:val="left" w:pos="1418"/>
        </w:tabs>
        <w:spacing w:line="600" w:lineRule="exact"/>
        <w:jc w:val="left"/>
        <w:rPr>
          <w:rFonts w:hint="eastAsia"/>
          <w:sz w:val="28"/>
        </w:rPr>
      </w:pPr>
    </w:p>
    <w:p w14:paraId="71B0BC3E">
      <w:pPr>
        <w:pStyle w:val="9"/>
        <w:widowControl w:val="0"/>
        <w:numPr>
          <w:ilvl w:val="0"/>
          <w:numId w:val="0"/>
        </w:numPr>
        <w:tabs>
          <w:tab w:val="left" w:pos="993"/>
          <w:tab w:val="left" w:pos="1418"/>
        </w:tabs>
        <w:spacing w:line="600" w:lineRule="exact"/>
        <w:jc w:val="left"/>
        <w:rPr>
          <w:rFonts w:hint="eastAsia"/>
          <w:sz w:val="28"/>
        </w:rPr>
      </w:pPr>
    </w:p>
    <w:p w14:paraId="17B378C9">
      <w:pPr>
        <w:pStyle w:val="9"/>
        <w:widowControl w:val="0"/>
        <w:numPr>
          <w:ilvl w:val="0"/>
          <w:numId w:val="0"/>
        </w:numPr>
        <w:tabs>
          <w:tab w:val="left" w:pos="993"/>
          <w:tab w:val="left" w:pos="1418"/>
        </w:tabs>
        <w:spacing w:line="600" w:lineRule="exact"/>
        <w:jc w:val="left"/>
        <w:rPr>
          <w:rFonts w:hint="eastAsia"/>
          <w:sz w:val="28"/>
        </w:rPr>
      </w:pPr>
    </w:p>
    <w:p w14:paraId="208F2137">
      <w:pPr>
        <w:pStyle w:val="9"/>
        <w:widowControl w:val="0"/>
        <w:numPr>
          <w:ilvl w:val="0"/>
          <w:numId w:val="0"/>
        </w:numPr>
        <w:tabs>
          <w:tab w:val="left" w:pos="993"/>
          <w:tab w:val="left" w:pos="1418"/>
        </w:tabs>
        <w:spacing w:line="600" w:lineRule="exact"/>
        <w:jc w:val="left"/>
        <w:rPr>
          <w:rFonts w:hint="eastAsia"/>
          <w:sz w:val="28"/>
        </w:rPr>
      </w:pPr>
    </w:p>
    <w:p w14:paraId="0AB29786">
      <w:pPr>
        <w:pStyle w:val="9"/>
        <w:widowControl w:val="0"/>
        <w:numPr>
          <w:ilvl w:val="0"/>
          <w:numId w:val="0"/>
        </w:numPr>
        <w:tabs>
          <w:tab w:val="left" w:pos="993"/>
          <w:tab w:val="left" w:pos="1418"/>
        </w:tabs>
        <w:spacing w:line="600" w:lineRule="exact"/>
        <w:jc w:val="left"/>
        <w:rPr>
          <w:rFonts w:hint="eastAsia"/>
          <w:sz w:val="28"/>
        </w:rPr>
      </w:pPr>
    </w:p>
    <w:p w14:paraId="0C234B13">
      <w:pPr>
        <w:pStyle w:val="9"/>
        <w:widowControl w:val="0"/>
        <w:numPr>
          <w:ilvl w:val="0"/>
          <w:numId w:val="0"/>
        </w:numPr>
        <w:tabs>
          <w:tab w:val="left" w:pos="993"/>
          <w:tab w:val="left" w:pos="1418"/>
        </w:tabs>
        <w:spacing w:line="600" w:lineRule="exact"/>
        <w:jc w:val="left"/>
        <w:rPr>
          <w:rFonts w:hint="eastAsia"/>
          <w:sz w:val="28"/>
        </w:rPr>
      </w:pPr>
    </w:p>
    <w:p w14:paraId="326A0302">
      <w:pPr>
        <w:pStyle w:val="9"/>
        <w:widowControl w:val="0"/>
        <w:numPr>
          <w:ilvl w:val="0"/>
          <w:numId w:val="0"/>
        </w:numPr>
        <w:tabs>
          <w:tab w:val="left" w:pos="993"/>
          <w:tab w:val="left" w:pos="1418"/>
        </w:tabs>
        <w:spacing w:line="600" w:lineRule="exact"/>
        <w:jc w:val="left"/>
        <w:rPr>
          <w:rFonts w:hint="eastAsia"/>
          <w:sz w:val="28"/>
        </w:rPr>
      </w:pPr>
    </w:p>
    <w:p w14:paraId="04673E8B">
      <w:pPr>
        <w:pStyle w:val="9"/>
        <w:widowControl w:val="0"/>
        <w:numPr>
          <w:ilvl w:val="0"/>
          <w:numId w:val="0"/>
        </w:numPr>
        <w:tabs>
          <w:tab w:val="left" w:pos="993"/>
          <w:tab w:val="left" w:pos="1418"/>
        </w:tabs>
        <w:spacing w:line="600" w:lineRule="exact"/>
        <w:jc w:val="left"/>
        <w:rPr>
          <w:rFonts w:hint="eastAsia"/>
          <w:sz w:val="28"/>
        </w:rPr>
      </w:pPr>
    </w:p>
    <w:p w14:paraId="795F6A81">
      <w:pPr>
        <w:pStyle w:val="9"/>
        <w:widowControl w:val="0"/>
        <w:numPr>
          <w:ilvl w:val="0"/>
          <w:numId w:val="0"/>
        </w:numPr>
        <w:tabs>
          <w:tab w:val="left" w:pos="993"/>
          <w:tab w:val="left" w:pos="1418"/>
        </w:tabs>
        <w:spacing w:line="600" w:lineRule="exact"/>
        <w:jc w:val="left"/>
        <w:rPr>
          <w:rFonts w:hint="eastAsia"/>
          <w:sz w:val="28"/>
        </w:rPr>
      </w:pPr>
    </w:p>
    <w:p w14:paraId="330816D8">
      <w:pPr>
        <w:pStyle w:val="9"/>
        <w:widowControl w:val="0"/>
        <w:numPr>
          <w:ilvl w:val="0"/>
          <w:numId w:val="0"/>
        </w:numPr>
        <w:tabs>
          <w:tab w:val="left" w:pos="993"/>
          <w:tab w:val="left" w:pos="1418"/>
        </w:tabs>
        <w:spacing w:line="600" w:lineRule="exact"/>
        <w:jc w:val="left"/>
        <w:rPr>
          <w:rFonts w:hint="eastAsia"/>
          <w:sz w:val="28"/>
        </w:rPr>
      </w:pPr>
    </w:p>
    <w:p w14:paraId="7D1BF3B4">
      <w:pPr>
        <w:pStyle w:val="9"/>
        <w:widowControl w:val="0"/>
        <w:numPr>
          <w:ilvl w:val="0"/>
          <w:numId w:val="0"/>
        </w:numPr>
        <w:tabs>
          <w:tab w:val="left" w:pos="993"/>
          <w:tab w:val="left" w:pos="1418"/>
        </w:tabs>
        <w:spacing w:line="600" w:lineRule="exact"/>
        <w:jc w:val="left"/>
        <w:rPr>
          <w:rFonts w:hint="eastAsia"/>
          <w:sz w:val="28"/>
        </w:rPr>
      </w:pPr>
    </w:p>
    <w:p w14:paraId="03BE45D5">
      <w:pPr>
        <w:pStyle w:val="9"/>
        <w:widowControl w:val="0"/>
        <w:numPr>
          <w:ilvl w:val="0"/>
          <w:numId w:val="0"/>
        </w:numPr>
        <w:tabs>
          <w:tab w:val="left" w:pos="993"/>
          <w:tab w:val="left" w:pos="1418"/>
        </w:tabs>
        <w:spacing w:line="600" w:lineRule="exact"/>
        <w:jc w:val="left"/>
        <w:rPr>
          <w:rFonts w:hint="eastAsia"/>
          <w:sz w:val="28"/>
        </w:rPr>
      </w:pPr>
    </w:p>
    <w:p w14:paraId="47A05D9C">
      <w:pPr>
        <w:pStyle w:val="9"/>
        <w:widowControl w:val="0"/>
        <w:numPr>
          <w:ilvl w:val="0"/>
          <w:numId w:val="0"/>
        </w:numPr>
        <w:tabs>
          <w:tab w:val="left" w:pos="993"/>
          <w:tab w:val="left" w:pos="1418"/>
        </w:tabs>
        <w:spacing w:line="600" w:lineRule="exact"/>
        <w:jc w:val="left"/>
        <w:rPr>
          <w:rFonts w:hint="eastAsia"/>
          <w:sz w:val="28"/>
        </w:rPr>
      </w:pPr>
    </w:p>
    <w:p w14:paraId="16353FAC">
      <w:pPr>
        <w:pStyle w:val="9"/>
        <w:widowControl w:val="0"/>
        <w:numPr>
          <w:ilvl w:val="0"/>
          <w:numId w:val="0"/>
        </w:numPr>
        <w:tabs>
          <w:tab w:val="left" w:pos="993"/>
          <w:tab w:val="left" w:pos="1418"/>
        </w:tabs>
        <w:spacing w:line="600" w:lineRule="exact"/>
        <w:jc w:val="left"/>
        <w:rPr>
          <w:rFonts w:hint="eastAsia"/>
          <w:sz w:val="28"/>
        </w:rPr>
      </w:pPr>
    </w:p>
    <w:p w14:paraId="43053947">
      <w:pPr>
        <w:pStyle w:val="9"/>
        <w:widowControl w:val="0"/>
        <w:numPr>
          <w:ilvl w:val="0"/>
          <w:numId w:val="0"/>
        </w:numPr>
        <w:tabs>
          <w:tab w:val="left" w:pos="993"/>
          <w:tab w:val="left" w:pos="1418"/>
        </w:tabs>
        <w:spacing w:line="600" w:lineRule="exact"/>
        <w:jc w:val="left"/>
        <w:rPr>
          <w:rFonts w:hint="eastAsia"/>
          <w:sz w:val="28"/>
        </w:rPr>
      </w:pPr>
    </w:p>
    <w:p w14:paraId="637AB701">
      <w:pPr>
        <w:pStyle w:val="9"/>
        <w:widowControl w:val="0"/>
        <w:numPr>
          <w:ilvl w:val="0"/>
          <w:numId w:val="0"/>
        </w:numPr>
        <w:tabs>
          <w:tab w:val="left" w:pos="993"/>
          <w:tab w:val="left" w:pos="1418"/>
        </w:tabs>
        <w:spacing w:line="600" w:lineRule="exact"/>
        <w:jc w:val="left"/>
        <w:rPr>
          <w:rFonts w:hint="eastAsia"/>
          <w:sz w:val="28"/>
        </w:rPr>
      </w:pPr>
    </w:p>
    <w:p w14:paraId="5D25F167">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1FFF5B3D">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77826D93">
      <w:pPr>
        <w:rPr>
          <w:rFonts w:hint="eastAsia"/>
          <w:sz w:val="32"/>
          <w:szCs w:val="32"/>
        </w:rPr>
      </w:pPr>
    </w:p>
    <w:p w14:paraId="4A90B150">
      <w:pPr>
        <w:rPr>
          <w:rFonts w:hint="eastAsia"/>
          <w:sz w:val="32"/>
          <w:szCs w:val="32"/>
        </w:rPr>
      </w:pPr>
    </w:p>
    <w:p w14:paraId="34C6721C">
      <w:pPr>
        <w:rPr>
          <w:rFonts w:hint="eastAsia"/>
          <w:sz w:val="32"/>
          <w:szCs w:val="32"/>
        </w:rPr>
      </w:pPr>
    </w:p>
    <w:p w14:paraId="729A4613">
      <w:pPr>
        <w:rPr>
          <w:rFonts w:hint="eastAsia"/>
          <w:sz w:val="32"/>
          <w:szCs w:val="32"/>
        </w:rPr>
      </w:pPr>
    </w:p>
    <w:p w14:paraId="14271D49">
      <w:pPr>
        <w:rPr>
          <w:sz w:val="32"/>
          <w:szCs w:val="32"/>
        </w:rPr>
      </w:pPr>
    </w:p>
    <w:p w14:paraId="08CBFD4F">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九峰街道办事处农林水专项经费       </w:t>
      </w:r>
    </w:p>
    <w:p w14:paraId="02527FA8">
      <w:pPr>
        <w:ind w:left="420" w:leftChars="200"/>
        <w:rPr>
          <w:rFonts w:hint="eastAsia"/>
          <w:sz w:val="32"/>
          <w:szCs w:val="32"/>
          <w:u w:val="single"/>
        </w:rPr>
      </w:pPr>
      <w:r>
        <w:rPr>
          <w:rFonts w:hint="eastAsia"/>
          <w:sz w:val="32"/>
          <w:szCs w:val="32"/>
        </w:rPr>
        <w:t>项目单位：</w:t>
      </w:r>
      <w:r>
        <w:rPr>
          <w:rFonts w:hint="eastAsia"/>
          <w:sz w:val="32"/>
          <w:szCs w:val="32"/>
          <w:u w:val="single"/>
        </w:rPr>
        <w:t>武汉东湖新技术开发区九峰街道办事处</w:t>
      </w:r>
    </w:p>
    <w:p w14:paraId="6B8DE12C">
      <w:pPr>
        <w:ind w:left="420" w:leftChars="200"/>
        <w:rPr>
          <w:sz w:val="32"/>
          <w:szCs w:val="32"/>
        </w:rPr>
      </w:pPr>
      <w:r>
        <w:rPr>
          <w:rFonts w:hint="eastAsia"/>
          <w:sz w:val="32"/>
          <w:szCs w:val="32"/>
        </w:rPr>
        <w:t>主管部门：</w:t>
      </w:r>
      <w:r>
        <w:rPr>
          <w:rFonts w:hint="eastAsia"/>
          <w:sz w:val="32"/>
          <w:szCs w:val="32"/>
          <w:u w:val="single"/>
        </w:rPr>
        <w:t xml:space="preserve">武汉东湖新技术开发区管理委员会    </w:t>
      </w:r>
    </w:p>
    <w:p w14:paraId="71523865">
      <w:pPr>
        <w:ind w:left="420" w:leftChars="200"/>
        <w:rPr>
          <w:rFonts w:hint="eastAsia"/>
          <w:sz w:val="32"/>
          <w:szCs w:val="32"/>
        </w:rPr>
      </w:pPr>
      <w:r>
        <w:rPr>
          <w:rFonts w:hint="eastAsia"/>
          <w:sz w:val="32"/>
          <w:szCs w:val="32"/>
        </w:rPr>
        <w:t>区财政局主管业务科室；</w:t>
      </w:r>
      <w:r>
        <w:rPr>
          <w:rFonts w:hint="eastAsia"/>
          <w:sz w:val="32"/>
          <w:szCs w:val="32"/>
          <w:u w:val="single"/>
        </w:rPr>
        <w:t xml:space="preserve">预算科                </w:t>
      </w:r>
    </w:p>
    <w:p w14:paraId="3C9B221F">
      <w:pPr>
        <w:rPr>
          <w:sz w:val="32"/>
          <w:szCs w:val="32"/>
        </w:rPr>
      </w:pPr>
      <w:r>
        <w:rPr>
          <w:rFonts w:hint="eastAsia"/>
          <w:sz w:val="32"/>
          <w:szCs w:val="32"/>
        </w:rPr>
        <w:t xml:space="preserve">   评价单位：</w:t>
      </w:r>
      <w:r>
        <w:rPr>
          <w:rFonts w:hint="eastAsia"/>
          <w:sz w:val="32"/>
          <w:szCs w:val="32"/>
          <w:u w:val="single"/>
        </w:rPr>
        <w:t xml:space="preserve">武汉康力会计师事务有限责任公司    </w:t>
      </w:r>
    </w:p>
    <w:p w14:paraId="00982472">
      <w:pPr>
        <w:rPr>
          <w:rFonts w:hint="eastAsia"/>
          <w:sz w:val="32"/>
          <w:szCs w:val="32"/>
        </w:rPr>
      </w:pPr>
    </w:p>
    <w:p w14:paraId="77AC2917">
      <w:pPr>
        <w:rPr>
          <w:rFonts w:hint="eastAsia"/>
          <w:sz w:val="32"/>
          <w:szCs w:val="32"/>
        </w:rPr>
      </w:pPr>
    </w:p>
    <w:p w14:paraId="36053AEA">
      <w:pPr>
        <w:rPr>
          <w:rFonts w:hint="eastAsia"/>
          <w:sz w:val="32"/>
          <w:szCs w:val="32"/>
        </w:rPr>
      </w:pPr>
    </w:p>
    <w:p w14:paraId="4CFEFA51">
      <w:pPr>
        <w:rPr>
          <w:sz w:val="32"/>
          <w:szCs w:val="32"/>
        </w:rPr>
      </w:pPr>
    </w:p>
    <w:p w14:paraId="24AB834C">
      <w:pPr>
        <w:rPr>
          <w:rFonts w:hint="eastAsia"/>
          <w:sz w:val="32"/>
          <w:szCs w:val="32"/>
        </w:rPr>
      </w:pPr>
    </w:p>
    <w:p w14:paraId="334FEBC8">
      <w:pPr>
        <w:jc w:val="center"/>
        <w:rPr>
          <w:sz w:val="32"/>
          <w:szCs w:val="32"/>
        </w:rPr>
      </w:pPr>
      <w:r>
        <w:rPr>
          <w:rFonts w:hint="eastAsia"/>
          <w:sz w:val="32"/>
          <w:szCs w:val="32"/>
        </w:rPr>
        <w:t>2018年 6月</w:t>
      </w:r>
    </w:p>
    <w:p w14:paraId="5B147454">
      <w:pPr>
        <w:spacing w:line="360" w:lineRule="auto"/>
        <w:ind w:firstLine="640" w:firstLineChars="200"/>
        <w:rPr>
          <w:rFonts w:hint="eastAsia" w:ascii="黑体" w:hAnsi="黑体" w:eastAsia="黑体"/>
          <w:b/>
          <w:sz w:val="30"/>
          <w:szCs w:val="30"/>
        </w:rPr>
      </w:pPr>
      <w:r>
        <w:rPr>
          <w:sz w:val="32"/>
          <w:szCs w:val="32"/>
        </w:rPr>
        <w:br w:type="page"/>
      </w:r>
      <w:r>
        <w:rPr>
          <w:rFonts w:hint="eastAsia" w:ascii="黑体" w:hAnsi="黑体" w:eastAsia="黑体"/>
          <w:b/>
          <w:sz w:val="30"/>
          <w:szCs w:val="30"/>
        </w:rPr>
        <w:t>一、项目基本情况</w:t>
      </w:r>
    </w:p>
    <w:p w14:paraId="0C77A785">
      <w:pPr>
        <w:spacing w:line="360" w:lineRule="auto"/>
        <w:ind w:firstLine="560" w:firstLineChars="200"/>
        <w:rPr>
          <w:sz w:val="28"/>
        </w:rPr>
      </w:pPr>
      <w:r>
        <w:rPr>
          <w:rFonts w:hint="eastAsia" w:ascii="楷体_GB2312" w:eastAsia="楷体_GB2312"/>
          <w:sz w:val="28"/>
        </w:rPr>
        <w:t>（一）项目概况</w:t>
      </w:r>
    </w:p>
    <w:p w14:paraId="612AB667">
      <w:pPr>
        <w:spacing w:line="360" w:lineRule="auto"/>
        <w:ind w:firstLine="560" w:firstLineChars="200"/>
        <w:rPr>
          <w:rFonts w:hint="eastAsia"/>
          <w:sz w:val="28"/>
        </w:rPr>
      </w:pPr>
      <w:r>
        <w:rPr>
          <w:rFonts w:hint="eastAsia"/>
          <w:sz w:val="28"/>
        </w:rPr>
        <w:t>武汉东湖新技术开发区九峰街道办事处经济发展办公室（以下简称“经发办”）负责九峰街道办事处的林木检疫，林业发展保护规划，森林防火，野生动物保护，名特树种保护。动物防疫检疫、屠宰工作，道路维修等工作。</w:t>
      </w:r>
    </w:p>
    <w:p w14:paraId="7981ABEB">
      <w:pPr>
        <w:spacing w:line="360" w:lineRule="auto"/>
        <w:ind w:firstLine="560" w:firstLineChars="200"/>
        <w:rPr>
          <w:rFonts w:hint="eastAsia"/>
          <w:sz w:val="28"/>
        </w:rPr>
      </w:pPr>
      <w:r>
        <w:rPr>
          <w:rFonts w:hint="eastAsia"/>
          <w:sz w:val="28"/>
        </w:rPr>
        <w:t>“农林水专项经费”系经发办开展农林水专项工作的日常工作经费，依照九峰街道办事处和武汉东湖新技术开发区（以下简称“高新区”）的组织要求，为九峰街道办事处农林水专项工作提供经费保障，确保辖区农林水专项工作有序开展。</w:t>
      </w:r>
    </w:p>
    <w:p w14:paraId="39E87B19">
      <w:pPr>
        <w:spacing w:line="360" w:lineRule="auto"/>
        <w:ind w:firstLine="560" w:firstLineChars="200"/>
        <w:rPr>
          <w:rFonts w:hint="eastAsia"/>
          <w:sz w:val="28"/>
        </w:rPr>
      </w:pPr>
      <w:r>
        <w:rPr>
          <w:rFonts w:hint="eastAsia"/>
          <w:sz w:val="28"/>
        </w:rPr>
        <w:t>农林水专项经费主要由下列类别经费组成：</w:t>
      </w:r>
    </w:p>
    <w:p w14:paraId="3681BAD5">
      <w:pPr>
        <w:spacing w:line="360" w:lineRule="auto"/>
        <w:ind w:firstLine="560" w:firstLineChars="200"/>
        <w:rPr>
          <w:rFonts w:hint="eastAsia"/>
          <w:sz w:val="28"/>
        </w:rPr>
      </w:pPr>
      <w:r>
        <w:rPr>
          <w:rFonts w:hint="eastAsia"/>
          <w:sz w:val="28"/>
        </w:rPr>
        <w:t>（1）农业项目经费（用于何刘村洪山菜薹基地项目）；</w:t>
      </w:r>
    </w:p>
    <w:p w14:paraId="76A3FA74">
      <w:pPr>
        <w:spacing w:line="360" w:lineRule="auto"/>
        <w:ind w:firstLine="560" w:firstLineChars="200"/>
        <w:rPr>
          <w:rFonts w:hint="eastAsia"/>
          <w:sz w:val="28"/>
        </w:rPr>
      </w:pPr>
      <w:r>
        <w:rPr>
          <w:rFonts w:hint="eastAsia"/>
          <w:sz w:val="28"/>
        </w:rPr>
        <w:t>（2）林业项目经费，含森林防火经费（护林员经费、防火道清理修复经费、森林火灾预防和扑救经费）和松材线虫防治经费；</w:t>
      </w:r>
    </w:p>
    <w:p w14:paraId="63766CF4">
      <w:pPr>
        <w:spacing w:line="360" w:lineRule="auto"/>
        <w:ind w:firstLine="560" w:firstLineChars="200"/>
        <w:rPr>
          <w:rFonts w:hint="eastAsia"/>
          <w:sz w:val="28"/>
        </w:rPr>
      </w:pPr>
      <w:r>
        <w:rPr>
          <w:rFonts w:hint="eastAsia"/>
          <w:sz w:val="28"/>
        </w:rPr>
        <w:t>（3）水利项目经费；</w:t>
      </w:r>
    </w:p>
    <w:p w14:paraId="67732DD9">
      <w:pPr>
        <w:spacing w:line="360" w:lineRule="auto"/>
        <w:ind w:firstLine="560" w:firstLineChars="200"/>
        <w:rPr>
          <w:rFonts w:hint="eastAsia"/>
          <w:sz w:val="28"/>
        </w:rPr>
      </w:pPr>
      <w:r>
        <w:rPr>
          <w:rFonts w:hint="eastAsia"/>
          <w:sz w:val="28"/>
        </w:rPr>
        <w:t>（4）畜禽防疫经费；</w:t>
      </w:r>
    </w:p>
    <w:p w14:paraId="2C5DB739">
      <w:pPr>
        <w:spacing w:line="360" w:lineRule="auto"/>
        <w:ind w:firstLine="560" w:firstLineChars="200"/>
        <w:rPr>
          <w:rFonts w:hint="eastAsia"/>
          <w:sz w:val="28"/>
        </w:rPr>
      </w:pPr>
      <w:r>
        <w:rPr>
          <w:rFonts w:hint="eastAsia"/>
          <w:sz w:val="28"/>
        </w:rPr>
        <w:t>（5）农产品质量安全检测经费。</w:t>
      </w:r>
    </w:p>
    <w:p w14:paraId="01A778AD">
      <w:pPr>
        <w:spacing w:line="360" w:lineRule="auto"/>
        <w:ind w:firstLine="560" w:firstLineChars="200"/>
        <w:rPr>
          <w:rFonts w:hint="eastAsia"/>
          <w:sz w:val="28"/>
        </w:rPr>
      </w:pPr>
      <w:r>
        <w:rPr>
          <w:rFonts w:hint="eastAsia"/>
          <w:sz w:val="28"/>
        </w:rPr>
        <w:t>2017年，九峰街道办事处农林水专项工作以省、市、区农林水专项工作会议精神为指导，坚持国家农业、林业和水利等相关政策和法律法规，稳抓农业科技成果转化项目和农业技术推广服务项目，监控街道畜禽防疫检疫和农产品质量安全检测工作；加强森林防火工作，预防并减少森林火灾，有效保护国家森林资源和人民生命财产安全；组织开展2017年度街道防汛抗旱工作，及时有效处理街道防汛抗旱事务。农林水专项工作的顺利开展，能有效保障街道的农业、林业和水利业的安全，促进农村“三个文明”的建设，力争建立健全完善的农林水专项工作管理体系，以稳为重，同时深化改革创新，充分利用和推广先进的农林水监测技术，夯实预防工作，从源头将农林水专项工作分析好、控制好、治理好。</w:t>
      </w:r>
    </w:p>
    <w:p w14:paraId="63565B06">
      <w:pPr>
        <w:spacing w:line="360" w:lineRule="auto"/>
        <w:ind w:firstLine="560" w:firstLineChars="200"/>
        <w:rPr>
          <w:rFonts w:hint="eastAsia"/>
          <w:sz w:val="28"/>
        </w:rPr>
      </w:pPr>
      <w:r>
        <w:rPr>
          <w:rFonts w:hint="eastAsia" w:ascii="楷体_GB2312" w:eastAsia="楷体_GB2312"/>
          <w:sz w:val="28"/>
        </w:rPr>
        <w:t>（二）项目预算绩效目标</w:t>
      </w:r>
    </w:p>
    <w:p w14:paraId="3823D06E">
      <w:pPr>
        <w:spacing w:line="360" w:lineRule="auto"/>
        <w:ind w:firstLine="560" w:firstLineChars="200"/>
        <w:rPr>
          <w:rFonts w:hint="eastAsia"/>
          <w:sz w:val="28"/>
        </w:rPr>
      </w:pPr>
      <w:r>
        <w:rPr>
          <w:rFonts w:hint="eastAsia"/>
          <w:sz w:val="28"/>
        </w:rPr>
        <w:t>根据《2017年部门项目申报及绩效目标表》，农林水专项经费绩效总目标如下：农业方面，经发办作为农业科技成果转化项目和农业技术推广服务项目的承担者，要做好农业技术推广服务的提供者，服务好农业技术实际使用者，做好对接工作；扎实开展2017年度本社区畜禽防疫检疫工作，及时有效处理本社区畜禽防疫检疫；开展2017年度本社区农产品质量安全检测工作，保障辖区农业食品质量安全；林业方面，做好林业资源管理和森林防火工作，预防并减少森林火灾和病虫害，有效保护国家森林资源和辖区人民生命财产安全；水利方面，2017年度以基本的防汛抗旱工作为主，及时有效处理街道防汛抗旱事务。</w:t>
      </w:r>
    </w:p>
    <w:p w14:paraId="52791629">
      <w:pPr>
        <w:spacing w:line="360" w:lineRule="auto"/>
        <w:ind w:firstLine="560" w:firstLineChars="200"/>
        <w:rPr>
          <w:rFonts w:hint="eastAsia"/>
          <w:sz w:val="28"/>
        </w:rPr>
      </w:pPr>
      <w:r>
        <w:rPr>
          <w:rFonts w:hint="eastAsia"/>
          <w:sz w:val="28"/>
        </w:rPr>
        <w:t>根据《2017年部门项目申报及绩效目标表》，农林水专项经费2017年度绩效指标如下：</w:t>
      </w:r>
    </w:p>
    <w:p w14:paraId="78DB3EAA">
      <w:pPr>
        <w:numPr>
          <w:ilvl w:val="0"/>
          <w:numId w:val="9"/>
        </w:numPr>
        <w:spacing w:line="360" w:lineRule="auto"/>
        <w:rPr>
          <w:rFonts w:hint="eastAsia"/>
          <w:sz w:val="28"/>
        </w:rPr>
      </w:pPr>
      <w:r>
        <w:rPr>
          <w:rFonts w:hint="eastAsia"/>
          <w:sz w:val="28"/>
        </w:rPr>
        <w:t>产出目标</w:t>
      </w:r>
    </w:p>
    <w:tbl>
      <w:tblPr>
        <w:tblStyle w:val="5"/>
        <w:tblW w:w="8605" w:type="dxa"/>
        <w:jc w:val="center"/>
        <w:tblLayout w:type="fixed"/>
        <w:tblCellMar>
          <w:top w:w="0" w:type="dxa"/>
          <w:left w:w="108" w:type="dxa"/>
          <w:bottom w:w="0" w:type="dxa"/>
          <w:right w:w="108" w:type="dxa"/>
        </w:tblCellMar>
      </w:tblPr>
      <w:tblGrid>
        <w:gridCol w:w="1134"/>
        <w:gridCol w:w="1284"/>
        <w:gridCol w:w="2977"/>
        <w:gridCol w:w="3210"/>
      </w:tblGrid>
      <w:tr w14:paraId="0B1C69E7">
        <w:tblPrEx>
          <w:tblCellMar>
            <w:top w:w="0" w:type="dxa"/>
            <w:left w:w="108" w:type="dxa"/>
            <w:bottom w:w="0" w:type="dxa"/>
            <w:right w:w="108" w:type="dxa"/>
          </w:tblCellMar>
        </w:tblPrEx>
        <w:trPr>
          <w:trHeight w:val="529" w:hRule="atLeast"/>
          <w:tblHeader/>
          <w:jc w:val="center"/>
        </w:trPr>
        <w:tc>
          <w:tcPr>
            <w:tcW w:w="1134" w:type="dxa"/>
            <w:tcBorders>
              <w:top w:val="single" w:color="auto" w:sz="12" w:space="0"/>
              <w:left w:val="single" w:color="auto" w:sz="12" w:space="0"/>
              <w:bottom w:val="single" w:color="auto" w:sz="4" w:space="0"/>
              <w:right w:val="single" w:color="auto" w:sz="4" w:space="0"/>
            </w:tcBorders>
            <w:shd w:val="clear" w:color="000000" w:fill="D9D9D9"/>
            <w:vAlign w:val="center"/>
          </w:tcPr>
          <w:p w14:paraId="40B50DFF">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284" w:type="dxa"/>
            <w:tcBorders>
              <w:top w:val="single" w:color="auto" w:sz="12" w:space="0"/>
              <w:left w:val="nil"/>
              <w:bottom w:val="single" w:color="auto" w:sz="4" w:space="0"/>
              <w:right w:val="single" w:color="auto" w:sz="4" w:space="0"/>
            </w:tcBorders>
            <w:shd w:val="clear" w:color="000000" w:fill="D9D9D9"/>
            <w:vAlign w:val="center"/>
          </w:tcPr>
          <w:p w14:paraId="7F4CC301">
            <w:pPr>
              <w:widowControl/>
              <w:jc w:val="center"/>
              <w:rPr>
                <w:rFonts w:hint="eastAsia" w:ascii="宋体" w:hAnsi="宋体" w:cs="宋体"/>
                <w:b/>
                <w:kern w:val="0"/>
                <w:sz w:val="20"/>
                <w:szCs w:val="20"/>
              </w:rPr>
            </w:pPr>
            <w:r>
              <w:rPr>
                <w:rFonts w:hint="eastAsia" w:ascii="宋体" w:hAnsi="宋体" w:cs="宋体"/>
                <w:b/>
                <w:kern w:val="0"/>
                <w:sz w:val="20"/>
                <w:szCs w:val="20"/>
              </w:rPr>
              <w:t>指标内容</w:t>
            </w:r>
          </w:p>
        </w:tc>
        <w:tc>
          <w:tcPr>
            <w:tcW w:w="2977" w:type="dxa"/>
            <w:tcBorders>
              <w:top w:val="single" w:color="auto" w:sz="12" w:space="0"/>
              <w:left w:val="nil"/>
              <w:bottom w:val="single" w:color="auto" w:sz="4" w:space="0"/>
              <w:right w:val="single" w:color="auto" w:sz="4" w:space="0"/>
            </w:tcBorders>
            <w:shd w:val="clear" w:color="000000" w:fill="D9D9D9"/>
            <w:vAlign w:val="center"/>
          </w:tcPr>
          <w:p w14:paraId="3CBEE1A7">
            <w:pPr>
              <w:widowControl/>
              <w:jc w:val="center"/>
              <w:rPr>
                <w:rFonts w:hint="eastAsia" w:ascii="宋体" w:hAnsi="宋体" w:cs="宋体"/>
                <w:b/>
                <w:kern w:val="0"/>
                <w:sz w:val="20"/>
                <w:szCs w:val="20"/>
              </w:rPr>
            </w:pPr>
            <w:r>
              <w:rPr>
                <w:rFonts w:hint="eastAsia" w:ascii="宋体" w:hAnsi="宋体" w:cs="宋体"/>
                <w:b/>
                <w:kern w:val="0"/>
                <w:sz w:val="20"/>
                <w:szCs w:val="20"/>
              </w:rPr>
              <w:t>指标值</w:t>
            </w:r>
          </w:p>
        </w:tc>
        <w:tc>
          <w:tcPr>
            <w:tcW w:w="3210" w:type="dxa"/>
            <w:tcBorders>
              <w:top w:val="single" w:color="auto" w:sz="12" w:space="0"/>
              <w:left w:val="nil"/>
              <w:bottom w:val="single" w:color="auto" w:sz="4" w:space="0"/>
              <w:right w:val="single" w:color="auto" w:sz="12" w:space="0"/>
            </w:tcBorders>
            <w:shd w:val="clear" w:color="000000" w:fill="D9D9D9"/>
            <w:vAlign w:val="center"/>
          </w:tcPr>
          <w:p w14:paraId="764D64A9">
            <w:pPr>
              <w:widowControl/>
              <w:jc w:val="center"/>
              <w:rPr>
                <w:rFonts w:hint="eastAsia" w:ascii="宋体" w:hAnsi="宋体" w:cs="宋体"/>
                <w:b/>
                <w:kern w:val="0"/>
                <w:sz w:val="20"/>
                <w:szCs w:val="20"/>
              </w:rPr>
            </w:pPr>
            <w:r>
              <w:rPr>
                <w:rFonts w:hint="eastAsia" w:ascii="宋体" w:hAnsi="宋体" w:cs="宋体"/>
                <w:b/>
                <w:kern w:val="0"/>
                <w:sz w:val="20"/>
                <w:szCs w:val="20"/>
              </w:rPr>
              <w:t>备注</w:t>
            </w:r>
          </w:p>
        </w:tc>
      </w:tr>
      <w:tr w14:paraId="71A74A2C">
        <w:tblPrEx>
          <w:tblCellMar>
            <w:top w:w="0" w:type="dxa"/>
            <w:left w:w="108" w:type="dxa"/>
            <w:bottom w:w="0" w:type="dxa"/>
            <w:right w:w="108" w:type="dxa"/>
          </w:tblCellMar>
        </w:tblPrEx>
        <w:trPr>
          <w:trHeight w:val="720" w:hRule="atLeast"/>
          <w:jc w:val="center"/>
        </w:trPr>
        <w:tc>
          <w:tcPr>
            <w:tcW w:w="1134" w:type="dxa"/>
            <w:vMerge w:val="restart"/>
            <w:tcBorders>
              <w:top w:val="nil"/>
              <w:left w:val="single" w:color="auto" w:sz="12" w:space="0"/>
              <w:bottom w:val="single" w:color="000000" w:sz="4" w:space="0"/>
              <w:right w:val="single" w:color="auto" w:sz="4" w:space="0"/>
            </w:tcBorders>
            <w:shd w:val="clear" w:color="000000" w:fill="FFFFFF"/>
            <w:vAlign w:val="center"/>
          </w:tcPr>
          <w:p w14:paraId="4AACEA8E">
            <w:pPr>
              <w:widowControl/>
              <w:jc w:val="center"/>
              <w:rPr>
                <w:rFonts w:hint="eastAsia" w:ascii="宋体" w:hAnsi="宋体" w:cs="宋体"/>
                <w:kern w:val="0"/>
                <w:sz w:val="20"/>
                <w:szCs w:val="20"/>
              </w:rPr>
            </w:pPr>
            <w:r>
              <w:rPr>
                <w:rFonts w:hint="eastAsia" w:ascii="宋体" w:hAnsi="宋体" w:cs="宋体"/>
                <w:kern w:val="0"/>
                <w:sz w:val="20"/>
                <w:szCs w:val="20"/>
              </w:rPr>
              <w:t>数量指标</w:t>
            </w:r>
          </w:p>
        </w:tc>
        <w:tc>
          <w:tcPr>
            <w:tcW w:w="1284" w:type="dxa"/>
            <w:tcBorders>
              <w:top w:val="nil"/>
              <w:left w:val="nil"/>
              <w:bottom w:val="single" w:color="auto" w:sz="4" w:space="0"/>
              <w:right w:val="single" w:color="auto" w:sz="4" w:space="0"/>
            </w:tcBorders>
            <w:shd w:val="clear" w:color="000000" w:fill="FFFFFF"/>
            <w:vAlign w:val="center"/>
          </w:tcPr>
          <w:p w14:paraId="3A820B60">
            <w:pPr>
              <w:widowControl/>
              <w:jc w:val="left"/>
              <w:rPr>
                <w:rFonts w:hint="eastAsia" w:ascii="宋体" w:hAnsi="宋体" w:cs="宋体"/>
                <w:kern w:val="0"/>
                <w:sz w:val="20"/>
                <w:szCs w:val="20"/>
              </w:rPr>
            </w:pPr>
            <w:r>
              <w:rPr>
                <w:rFonts w:hint="eastAsia" w:ascii="宋体" w:hAnsi="宋体" w:cs="宋体"/>
                <w:kern w:val="0"/>
                <w:sz w:val="20"/>
                <w:szCs w:val="20"/>
              </w:rPr>
              <w:t>基本管理工作完成率</w:t>
            </w:r>
          </w:p>
        </w:tc>
        <w:tc>
          <w:tcPr>
            <w:tcW w:w="2977" w:type="dxa"/>
            <w:tcBorders>
              <w:top w:val="nil"/>
              <w:left w:val="nil"/>
              <w:bottom w:val="single" w:color="auto" w:sz="4" w:space="0"/>
              <w:right w:val="single" w:color="auto" w:sz="4" w:space="0"/>
            </w:tcBorders>
            <w:shd w:val="clear" w:color="000000" w:fill="FFFFFF"/>
            <w:vAlign w:val="center"/>
          </w:tcPr>
          <w:p w14:paraId="65233447">
            <w:pPr>
              <w:widowControl/>
              <w:jc w:val="left"/>
              <w:rPr>
                <w:rFonts w:hint="eastAsia" w:ascii="宋体" w:hAnsi="宋体" w:cs="宋体"/>
                <w:kern w:val="0"/>
                <w:sz w:val="20"/>
                <w:szCs w:val="20"/>
              </w:rPr>
            </w:pPr>
            <w:r>
              <w:rPr>
                <w:rFonts w:hint="eastAsia" w:ascii="宋体" w:hAnsi="宋体" w:cs="宋体"/>
                <w:kern w:val="0"/>
                <w:sz w:val="20"/>
                <w:szCs w:val="20"/>
              </w:rPr>
              <w:t>实际基本管理工作完成频率或次数占计划完成比重。</w:t>
            </w:r>
          </w:p>
        </w:tc>
        <w:tc>
          <w:tcPr>
            <w:tcW w:w="3210" w:type="dxa"/>
            <w:tcBorders>
              <w:top w:val="nil"/>
              <w:left w:val="nil"/>
              <w:bottom w:val="single" w:color="auto" w:sz="4" w:space="0"/>
              <w:right w:val="single" w:color="auto" w:sz="12" w:space="0"/>
            </w:tcBorders>
            <w:shd w:val="clear" w:color="000000" w:fill="FFFFFF"/>
            <w:vAlign w:val="center"/>
          </w:tcPr>
          <w:p w14:paraId="5B97672F">
            <w:pPr>
              <w:widowControl/>
              <w:jc w:val="left"/>
              <w:rPr>
                <w:rFonts w:hint="eastAsia" w:ascii="宋体" w:hAnsi="宋体" w:cs="宋体"/>
                <w:kern w:val="0"/>
                <w:sz w:val="20"/>
                <w:szCs w:val="20"/>
              </w:rPr>
            </w:pPr>
            <w:r>
              <w:rPr>
                <w:rFonts w:hint="eastAsia" w:ascii="宋体" w:hAnsi="宋体" w:cs="宋体"/>
                <w:kern w:val="0"/>
                <w:sz w:val="20"/>
                <w:szCs w:val="20"/>
              </w:rPr>
              <w:t>包括检疫检验检测率、护林员巡视天数、水利管道清淤维护次数等。</w:t>
            </w:r>
          </w:p>
        </w:tc>
      </w:tr>
      <w:tr w14:paraId="74861D42">
        <w:tblPrEx>
          <w:tblCellMar>
            <w:top w:w="0" w:type="dxa"/>
            <w:left w:w="108" w:type="dxa"/>
            <w:bottom w:w="0" w:type="dxa"/>
            <w:right w:w="108" w:type="dxa"/>
          </w:tblCellMar>
        </w:tblPrEx>
        <w:trPr>
          <w:trHeight w:val="720" w:hRule="atLeast"/>
          <w:jc w:val="center"/>
        </w:trPr>
        <w:tc>
          <w:tcPr>
            <w:tcW w:w="1134" w:type="dxa"/>
            <w:vMerge w:val="continue"/>
            <w:tcBorders>
              <w:top w:val="nil"/>
              <w:left w:val="single" w:color="auto" w:sz="12" w:space="0"/>
              <w:bottom w:val="single" w:color="000000" w:sz="4" w:space="0"/>
              <w:right w:val="single" w:color="auto" w:sz="4" w:space="0"/>
            </w:tcBorders>
            <w:shd w:val="clear" w:color="auto" w:fill="auto"/>
            <w:vAlign w:val="center"/>
          </w:tcPr>
          <w:p w14:paraId="1D945720">
            <w:pPr>
              <w:widowControl/>
              <w:jc w:val="left"/>
              <w:rPr>
                <w:rFonts w:ascii="宋体" w:hAnsi="宋体" w:cs="宋体"/>
                <w:kern w:val="0"/>
                <w:sz w:val="20"/>
                <w:szCs w:val="20"/>
              </w:rPr>
            </w:pPr>
          </w:p>
        </w:tc>
        <w:tc>
          <w:tcPr>
            <w:tcW w:w="1284" w:type="dxa"/>
            <w:tcBorders>
              <w:top w:val="nil"/>
              <w:left w:val="nil"/>
              <w:bottom w:val="single" w:color="auto" w:sz="4" w:space="0"/>
              <w:right w:val="single" w:color="auto" w:sz="4" w:space="0"/>
            </w:tcBorders>
            <w:shd w:val="clear" w:color="000000" w:fill="FFFFFF"/>
            <w:vAlign w:val="center"/>
          </w:tcPr>
          <w:p w14:paraId="33CDA94A">
            <w:pPr>
              <w:widowControl/>
              <w:jc w:val="left"/>
              <w:rPr>
                <w:rFonts w:hint="eastAsia" w:ascii="宋体" w:hAnsi="宋体" w:cs="宋体"/>
                <w:kern w:val="0"/>
                <w:sz w:val="20"/>
                <w:szCs w:val="20"/>
              </w:rPr>
            </w:pPr>
            <w:r>
              <w:rPr>
                <w:rFonts w:hint="eastAsia" w:ascii="宋体" w:hAnsi="宋体" w:cs="宋体"/>
                <w:kern w:val="0"/>
                <w:sz w:val="20"/>
                <w:szCs w:val="20"/>
              </w:rPr>
              <w:t>宣传、活动完成率</w:t>
            </w:r>
          </w:p>
        </w:tc>
        <w:tc>
          <w:tcPr>
            <w:tcW w:w="2977" w:type="dxa"/>
            <w:tcBorders>
              <w:top w:val="nil"/>
              <w:left w:val="nil"/>
              <w:bottom w:val="single" w:color="auto" w:sz="4" w:space="0"/>
              <w:right w:val="single" w:color="auto" w:sz="4" w:space="0"/>
            </w:tcBorders>
            <w:shd w:val="clear" w:color="000000" w:fill="FFFFFF"/>
            <w:vAlign w:val="center"/>
          </w:tcPr>
          <w:p w14:paraId="787D7B59">
            <w:pPr>
              <w:widowControl/>
              <w:jc w:val="left"/>
              <w:rPr>
                <w:rFonts w:hint="eastAsia" w:ascii="宋体" w:hAnsi="宋体" w:cs="宋体"/>
                <w:kern w:val="0"/>
                <w:sz w:val="20"/>
                <w:szCs w:val="20"/>
              </w:rPr>
            </w:pPr>
            <w:r>
              <w:rPr>
                <w:rFonts w:hint="eastAsia" w:ascii="宋体" w:hAnsi="宋体" w:cs="宋体"/>
                <w:kern w:val="0"/>
                <w:sz w:val="20"/>
                <w:szCs w:val="20"/>
              </w:rPr>
              <w:t>实际宣传活动次数占计划宣传活动次数比重。</w:t>
            </w:r>
          </w:p>
        </w:tc>
        <w:tc>
          <w:tcPr>
            <w:tcW w:w="3210" w:type="dxa"/>
            <w:tcBorders>
              <w:top w:val="nil"/>
              <w:left w:val="nil"/>
              <w:bottom w:val="single" w:color="auto" w:sz="4" w:space="0"/>
              <w:right w:val="single" w:color="auto" w:sz="12" w:space="0"/>
            </w:tcBorders>
            <w:shd w:val="clear" w:color="000000" w:fill="FFFFFF"/>
            <w:vAlign w:val="center"/>
          </w:tcPr>
          <w:p w14:paraId="4DEA69AD">
            <w:pPr>
              <w:widowControl/>
              <w:jc w:val="left"/>
              <w:rPr>
                <w:rFonts w:hint="eastAsia" w:ascii="宋体" w:hAnsi="宋体" w:cs="宋体"/>
                <w:kern w:val="0"/>
                <w:sz w:val="20"/>
                <w:szCs w:val="20"/>
              </w:rPr>
            </w:pPr>
            <w:r>
              <w:rPr>
                <w:rFonts w:hint="eastAsia" w:ascii="宋体" w:hAnsi="宋体" w:cs="宋体"/>
                <w:kern w:val="0"/>
                <w:sz w:val="20"/>
                <w:szCs w:val="20"/>
              </w:rPr>
              <w:t>活动完成率=（实际宣传活动次数/计划宣传活动次数）×100%</w:t>
            </w:r>
          </w:p>
        </w:tc>
      </w:tr>
      <w:tr w14:paraId="68BC8866">
        <w:tblPrEx>
          <w:tblCellMar>
            <w:top w:w="0" w:type="dxa"/>
            <w:left w:w="108" w:type="dxa"/>
            <w:bottom w:w="0" w:type="dxa"/>
            <w:right w:w="108" w:type="dxa"/>
          </w:tblCellMar>
        </w:tblPrEx>
        <w:trPr>
          <w:trHeight w:val="849" w:hRule="atLeast"/>
          <w:jc w:val="center"/>
        </w:trPr>
        <w:tc>
          <w:tcPr>
            <w:tcW w:w="1134" w:type="dxa"/>
            <w:vMerge w:val="restart"/>
            <w:tcBorders>
              <w:top w:val="nil"/>
              <w:left w:val="single" w:color="auto" w:sz="12" w:space="0"/>
              <w:bottom w:val="single" w:color="000000" w:sz="4" w:space="0"/>
              <w:right w:val="single" w:color="auto" w:sz="4" w:space="0"/>
            </w:tcBorders>
            <w:shd w:val="clear" w:color="000000" w:fill="FFFFFF"/>
            <w:vAlign w:val="center"/>
          </w:tcPr>
          <w:p w14:paraId="1C01AF66">
            <w:pPr>
              <w:widowControl/>
              <w:jc w:val="center"/>
              <w:rPr>
                <w:rFonts w:hint="eastAsia" w:ascii="宋体" w:hAnsi="宋体" w:cs="宋体"/>
                <w:kern w:val="0"/>
                <w:sz w:val="20"/>
                <w:szCs w:val="20"/>
              </w:rPr>
            </w:pPr>
            <w:r>
              <w:rPr>
                <w:rFonts w:hint="eastAsia" w:ascii="宋体" w:hAnsi="宋体" w:cs="宋体"/>
                <w:kern w:val="0"/>
                <w:sz w:val="20"/>
                <w:szCs w:val="20"/>
              </w:rPr>
              <w:t>质量指标</w:t>
            </w:r>
          </w:p>
        </w:tc>
        <w:tc>
          <w:tcPr>
            <w:tcW w:w="1284" w:type="dxa"/>
            <w:tcBorders>
              <w:top w:val="nil"/>
              <w:left w:val="nil"/>
              <w:bottom w:val="single" w:color="auto" w:sz="4" w:space="0"/>
              <w:right w:val="single" w:color="auto" w:sz="4" w:space="0"/>
            </w:tcBorders>
            <w:shd w:val="clear" w:color="000000" w:fill="FFFFFF"/>
            <w:vAlign w:val="center"/>
          </w:tcPr>
          <w:p w14:paraId="5382B073">
            <w:pPr>
              <w:widowControl/>
              <w:jc w:val="left"/>
              <w:rPr>
                <w:rFonts w:hint="eastAsia" w:ascii="宋体" w:hAnsi="宋体" w:cs="宋体"/>
                <w:kern w:val="0"/>
                <w:sz w:val="20"/>
                <w:szCs w:val="20"/>
              </w:rPr>
            </w:pPr>
            <w:r>
              <w:rPr>
                <w:rFonts w:hint="eastAsia" w:ascii="宋体" w:hAnsi="宋体" w:cs="宋体"/>
                <w:kern w:val="0"/>
                <w:sz w:val="20"/>
                <w:szCs w:val="20"/>
              </w:rPr>
              <w:t>管理覆盖率</w:t>
            </w:r>
          </w:p>
        </w:tc>
        <w:tc>
          <w:tcPr>
            <w:tcW w:w="2977" w:type="dxa"/>
            <w:tcBorders>
              <w:top w:val="nil"/>
              <w:left w:val="nil"/>
              <w:bottom w:val="single" w:color="auto" w:sz="4" w:space="0"/>
              <w:right w:val="single" w:color="auto" w:sz="4" w:space="0"/>
            </w:tcBorders>
            <w:shd w:val="clear" w:color="000000" w:fill="FFFFFF"/>
            <w:vAlign w:val="center"/>
          </w:tcPr>
          <w:p w14:paraId="4F27C20E">
            <w:pPr>
              <w:widowControl/>
              <w:jc w:val="left"/>
              <w:rPr>
                <w:rFonts w:hint="eastAsia" w:ascii="宋体" w:hAnsi="宋体" w:cs="宋体"/>
                <w:kern w:val="0"/>
                <w:sz w:val="20"/>
                <w:szCs w:val="20"/>
              </w:rPr>
            </w:pPr>
            <w:r>
              <w:rPr>
                <w:rFonts w:hint="eastAsia" w:ascii="宋体" w:hAnsi="宋体" w:cs="宋体"/>
                <w:kern w:val="0"/>
                <w:sz w:val="20"/>
                <w:szCs w:val="20"/>
              </w:rPr>
              <w:t>实际管理服务对象数量占计划管理服务对象数量比重。</w:t>
            </w:r>
          </w:p>
        </w:tc>
        <w:tc>
          <w:tcPr>
            <w:tcW w:w="3210" w:type="dxa"/>
            <w:tcBorders>
              <w:top w:val="nil"/>
              <w:left w:val="nil"/>
              <w:bottom w:val="single" w:color="auto" w:sz="4" w:space="0"/>
              <w:right w:val="single" w:color="auto" w:sz="12" w:space="0"/>
            </w:tcBorders>
            <w:shd w:val="clear" w:color="000000" w:fill="FFFFFF"/>
            <w:vAlign w:val="center"/>
          </w:tcPr>
          <w:p w14:paraId="707E0938">
            <w:pPr>
              <w:widowControl/>
              <w:jc w:val="left"/>
              <w:rPr>
                <w:rFonts w:hint="eastAsia" w:ascii="宋体" w:hAnsi="宋体" w:cs="宋体"/>
                <w:kern w:val="0"/>
                <w:sz w:val="20"/>
                <w:szCs w:val="20"/>
              </w:rPr>
            </w:pPr>
            <w:r>
              <w:rPr>
                <w:rFonts w:hint="eastAsia" w:ascii="宋体" w:hAnsi="宋体" w:cs="宋体"/>
                <w:kern w:val="0"/>
                <w:sz w:val="20"/>
                <w:szCs w:val="20"/>
              </w:rPr>
              <w:t>管理覆盖率=(实际管理对象数量/计划管理对象数量）×100%</w:t>
            </w:r>
          </w:p>
        </w:tc>
      </w:tr>
      <w:tr w14:paraId="571B3018">
        <w:tblPrEx>
          <w:tblCellMar>
            <w:top w:w="0" w:type="dxa"/>
            <w:left w:w="108" w:type="dxa"/>
            <w:bottom w:w="0" w:type="dxa"/>
            <w:right w:w="108" w:type="dxa"/>
          </w:tblCellMar>
        </w:tblPrEx>
        <w:trPr>
          <w:trHeight w:val="847" w:hRule="atLeast"/>
          <w:jc w:val="center"/>
        </w:trPr>
        <w:tc>
          <w:tcPr>
            <w:tcW w:w="1134" w:type="dxa"/>
            <w:vMerge w:val="continue"/>
            <w:tcBorders>
              <w:top w:val="nil"/>
              <w:left w:val="single" w:color="auto" w:sz="12" w:space="0"/>
              <w:bottom w:val="single" w:color="000000" w:sz="4" w:space="0"/>
              <w:right w:val="single" w:color="auto" w:sz="4" w:space="0"/>
            </w:tcBorders>
            <w:shd w:val="clear" w:color="000000" w:fill="FFFFFF"/>
            <w:vAlign w:val="center"/>
          </w:tcPr>
          <w:p w14:paraId="6E659AAD">
            <w:pPr>
              <w:widowControl/>
              <w:jc w:val="center"/>
              <w:rPr>
                <w:rFonts w:hint="eastAsia" w:ascii="宋体" w:hAnsi="宋体" w:cs="宋体"/>
                <w:kern w:val="0"/>
                <w:sz w:val="20"/>
                <w:szCs w:val="20"/>
              </w:rPr>
            </w:pPr>
          </w:p>
        </w:tc>
        <w:tc>
          <w:tcPr>
            <w:tcW w:w="1284" w:type="dxa"/>
            <w:tcBorders>
              <w:top w:val="nil"/>
              <w:left w:val="nil"/>
              <w:bottom w:val="single" w:color="auto" w:sz="4" w:space="0"/>
              <w:right w:val="single" w:color="auto" w:sz="4" w:space="0"/>
            </w:tcBorders>
            <w:shd w:val="clear" w:color="000000" w:fill="FFFFFF"/>
            <w:vAlign w:val="center"/>
          </w:tcPr>
          <w:p w14:paraId="65A3963F">
            <w:pPr>
              <w:widowControl/>
              <w:jc w:val="left"/>
              <w:rPr>
                <w:rFonts w:hint="eastAsia" w:ascii="宋体" w:hAnsi="宋体" w:cs="宋体"/>
                <w:kern w:val="0"/>
                <w:sz w:val="20"/>
                <w:szCs w:val="20"/>
              </w:rPr>
            </w:pPr>
            <w:r>
              <w:rPr>
                <w:rFonts w:hint="eastAsia" w:ascii="宋体" w:hAnsi="宋体" w:cs="宋体"/>
                <w:kern w:val="0"/>
                <w:sz w:val="20"/>
                <w:szCs w:val="20"/>
              </w:rPr>
              <w:t>案情处置率</w:t>
            </w:r>
          </w:p>
        </w:tc>
        <w:tc>
          <w:tcPr>
            <w:tcW w:w="2977" w:type="dxa"/>
            <w:tcBorders>
              <w:top w:val="nil"/>
              <w:left w:val="nil"/>
              <w:bottom w:val="single" w:color="auto" w:sz="4" w:space="0"/>
              <w:right w:val="single" w:color="auto" w:sz="4" w:space="0"/>
            </w:tcBorders>
            <w:shd w:val="clear" w:color="000000" w:fill="FFFFFF"/>
            <w:vAlign w:val="center"/>
          </w:tcPr>
          <w:p w14:paraId="38574B8F">
            <w:pPr>
              <w:widowControl/>
              <w:jc w:val="left"/>
              <w:rPr>
                <w:rFonts w:hint="eastAsia" w:ascii="宋体" w:hAnsi="宋体" w:cs="宋体"/>
                <w:kern w:val="0"/>
                <w:sz w:val="20"/>
                <w:szCs w:val="20"/>
              </w:rPr>
            </w:pPr>
            <w:r>
              <w:rPr>
                <w:rFonts w:hint="eastAsia" w:ascii="宋体" w:hAnsi="宋体" w:cs="宋体"/>
                <w:kern w:val="0"/>
                <w:sz w:val="20"/>
                <w:szCs w:val="20"/>
              </w:rPr>
              <w:t>实际案情处置数占本年度案情发生数比重。</w:t>
            </w:r>
          </w:p>
        </w:tc>
        <w:tc>
          <w:tcPr>
            <w:tcW w:w="3210" w:type="dxa"/>
            <w:tcBorders>
              <w:top w:val="nil"/>
              <w:left w:val="nil"/>
              <w:bottom w:val="single" w:color="auto" w:sz="4" w:space="0"/>
              <w:right w:val="single" w:color="auto" w:sz="12" w:space="0"/>
            </w:tcBorders>
            <w:shd w:val="clear" w:color="000000" w:fill="FFFFFF"/>
            <w:vAlign w:val="center"/>
          </w:tcPr>
          <w:p w14:paraId="61EECD09">
            <w:pPr>
              <w:widowControl/>
              <w:jc w:val="left"/>
              <w:rPr>
                <w:rFonts w:hint="eastAsia" w:ascii="宋体" w:hAnsi="宋体" w:cs="宋体"/>
                <w:kern w:val="0"/>
                <w:sz w:val="20"/>
                <w:szCs w:val="20"/>
              </w:rPr>
            </w:pPr>
            <w:r>
              <w:rPr>
                <w:rFonts w:hint="eastAsia" w:ascii="宋体" w:hAnsi="宋体" w:cs="宋体"/>
                <w:kern w:val="0"/>
                <w:sz w:val="20"/>
                <w:szCs w:val="20"/>
              </w:rPr>
              <w:t>案情处置率=（实际案情处置数/本年度案情发生数）×100%</w:t>
            </w:r>
          </w:p>
        </w:tc>
      </w:tr>
      <w:tr w14:paraId="16339203">
        <w:tblPrEx>
          <w:tblCellMar>
            <w:top w:w="0" w:type="dxa"/>
            <w:left w:w="108" w:type="dxa"/>
            <w:bottom w:w="0" w:type="dxa"/>
            <w:right w:w="108" w:type="dxa"/>
          </w:tblCellMar>
        </w:tblPrEx>
        <w:trPr>
          <w:trHeight w:val="830" w:hRule="atLeast"/>
          <w:jc w:val="center"/>
        </w:trPr>
        <w:tc>
          <w:tcPr>
            <w:tcW w:w="1134" w:type="dxa"/>
            <w:vMerge w:val="continue"/>
            <w:tcBorders>
              <w:top w:val="nil"/>
              <w:left w:val="single" w:color="auto" w:sz="12" w:space="0"/>
              <w:bottom w:val="single" w:color="000000" w:sz="4" w:space="0"/>
              <w:right w:val="single" w:color="auto" w:sz="4" w:space="0"/>
            </w:tcBorders>
            <w:shd w:val="clear" w:color="auto" w:fill="auto"/>
            <w:vAlign w:val="center"/>
          </w:tcPr>
          <w:p w14:paraId="3B052A64">
            <w:pPr>
              <w:widowControl/>
              <w:jc w:val="left"/>
              <w:rPr>
                <w:rFonts w:ascii="宋体" w:hAnsi="宋体" w:cs="宋体"/>
                <w:kern w:val="0"/>
                <w:sz w:val="20"/>
                <w:szCs w:val="20"/>
              </w:rPr>
            </w:pPr>
          </w:p>
        </w:tc>
        <w:tc>
          <w:tcPr>
            <w:tcW w:w="1284" w:type="dxa"/>
            <w:tcBorders>
              <w:top w:val="nil"/>
              <w:left w:val="nil"/>
              <w:bottom w:val="single" w:color="auto" w:sz="4" w:space="0"/>
              <w:right w:val="single" w:color="auto" w:sz="4" w:space="0"/>
            </w:tcBorders>
            <w:shd w:val="clear" w:color="000000" w:fill="FFFFFF"/>
            <w:vAlign w:val="center"/>
          </w:tcPr>
          <w:p w14:paraId="0B507C67">
            <w:pPr>
              <w:widowControl/>
              <w:jc w:val="left"/>
              <w:rPr>
                <w:rFonts w:hint="eastAsia" w:ascii="宋体" w:hAnsi="宋体" w:cs="宋体"/>
                <w:kern w:val="0"/>
                <w:sz w:val="20"/>
                <w:szCs w:val="20"/>
              </w:rPr>
            </w:pPr>
            <w:r>
              <w:rPr>
                <w:rFonts w:hint="eastAsia" w:ascii="宋体" w:hAnsi="宋体" w:cs="宋体"/>
                <w:kern w:val="0"/>
                <w:sz w:val="20"/>
                <w:szCs w:val="20"/>
              </w:rPr>
              <w:t>抽查合格率</w:t>
            </w:r>
          </w:p>
        </w:tc>
        <w:tc>
          <w:tcPr>
            <w:tcW w:w="2977" w:type="dxa"/>
            <w:tcBorders>
              <w:top w:val="nil"/>
              <w:left w:val="nil"/>
              <w:bottom w:val="single" w:color="auto" w:sz="4" w:space="0"/>
              <w:right w:val="single" w:color="auto" w:sz="4" w:space="0"/>
            </w:tcBorders>
            <w:shd w:val="clear" w:color="000000" w:fill="FFFFFF"/>
            <w:vAlign w:val="center"/>
          </w:tcPr>
          <w:p w14:paraId="5726EFE2">
            <w:pPr>
              <w:widowControl/>
              <w:jc w:val="left"/>
              <w:rPr>
                <w:rFonts w:hint="eastAsia" w:ascii="宋体" w:hAnsi="宋体" w:cs="宋体"/>
                <w:kern w:val="0"/>
                <w:sz w:val="20"/>
                <w:szCs w:val="20"/>
              </w:rPr>
            </w:pPr>
            <w:r>
              <w:rPr>
                <w:rFonts w:hint="eastAsia" w:ascii="宋体" w:hAnsi="宋体" w:cs="宋体"/>
                <w:kern w:val="0"/>
                <w:sz w:val="20"/>
                <w:szCs w:val="20"/>
              </w:rPr>
              <w:t>抽检合格数占抽查总数比重。</w:t>
            </w:r>
          </w:p>
        </w:tc>
        <w:tc>
          <w:tcPr>
            <w:tcW w:w="3210" w:type="dxa"/>
            <w:tcBorders>
              <w:top w:val="nil"/>
              <w:left w:val="nil"/>
              <w:bottom w:val="single" w:color="auto" w:sz="4" w:space="0"/>
              <w:right w:val="single" w:color="auto" w:sz="12" w:space="0"/>
            </w:tcBorders>
            <w:shd w:val="clear" w:color="000000" w:fill="FFFFFF"/>
            <w:vAlign w:val="center"/>
          </w:tcPr>
          <w:p w14:paraId="68F6B445">
            <w:pPr>
              <w:widowControl/>
              <w:jc w:val="left"/>
              <w:rPr>
                <w:rFonts w:hint="eastAsia" w:ascii="宋体" w:hAnsi="宋体" w:cs="宋体"/>
                <w:kern w:val="0"/>
                <w:sz w:val="20"/>
                <w:szCs w:val="20"/>
              </w:rPr>
            </w:pPr>
            <w:r>
              <w:rPr>
                <w:rFonts w:hint="eastAsia" w:ascii="宋体" w:hAnsi="宋体" w:cs="宋体"/>
                <w:kern w:val="0"/>
                <w:sz w:val="20"/>
                <w:szCs w:val="20"/>
              </w:rPr>
              <w:t>抽查合格率=（抽检合格数/抽查总数）×100%</w:t>
            </w:r>
          </w:p>
        </w:tc>
      </w:tr>
      <w:tr w14:paraId="6CCEC907">
        <w:tblPrEx>
          <w:tblCellMar>
            <w:top w:w="0" w:type="dxa"/>
            <w:left w:w="108" w:type="dxa"/>
            <w:bottom w:w="0" w:type="dxa"/>
            <w:right w:w="108" w:type="dxa"/>
          </w:tblCellMar>
        </w:tblPrEx>
        <w:trPr>
          <w:trHeight w:val="841" w:hRule="atLeast"/>
          <w:jc w:val="center"/>
        </w:trPr>
        <w:tc>
          <w:tcPr>
            <w:tcW w:w="1134" w:type="dxa"/>
            <w:tcBorders>
              <w:top w:val="nil"/>
              <w:left w:val="single" w:color="auto" w:sz="12" w:space="0"/>
              <w:bottom w:val="single" w:color="000000" w:sz="4" w:space="0"/>
              <w:right w:val="single" w:color="auto" w:sz="4" w:space="0"/>
            </w:tcBorders>
            <w:shd w:val="clear" w:color="000000" w:fill="FFFFFF"/>
            <w:vAlign w:val="center"/>
          </w:tcPr>
          <w:p w14:paraId="01A98D5F">
            <w:pPr>
              <w:widowControl/>
              <w:jc w:val="center"/>
              <w:rPr>
                <w:rFonts w:hint="eastAsia" w:ascii="宋体" w:hAnsi="宋体" w:cs="宋体"/>
                <w:kern w:val="0"/>
                <w:sz w:val="20"/>
                <w:szCs w:val="20"/>
              </w:rPr>
            </w:pPr>
            <w:r>
              <w:rPr>
                <w:rFonts w:hint="eastAsia" w:ascii="宋体" w:hAnsi="宋体" w:cs="宋体"/>
                <w:kern w:val="0"/>
                <w:sz w:val="20"/>
                <w:szCs w:val="20"/>
              </w:rPr>
              <w:t>时效指标</w:t>
            </w:r>
          </w:p>
        </w:tc>
        <w:tc>
          <w:tcPr>
            <w:tcW w:w="1284" w:type="dxa"/>
            <w:tcBorders>
              <w:top w:val="nil"/>
              <w:left w:val="nil"/>
              <w:bottom w:val="single" w:color="auto" w:sz="4" w:space="0"/>
              <w:right w:val="single" w:color="auto" w:sz="4" w:space="0"/>
            </w:tcBorders>
            <w:shd w:val="clear" w:color="000000" w:fill="FFFFFF"/>
            <w:vAlign w:val="center"/>
          </w:tcPr>
          <w:p w14:paraId="100DE73B">
            <w:pPr>
              <w:widowControl/>
              <w:jc w:val="left"/>
              <w:rPr>
                <w:rFonts w:hint="eastAsia" w:ascii="宋体" w:hAnsi="宋体" w:cs="宋体"/>
                <w:kern w:val="0"/>
                <w:sz w:val="20"/>
                <w:szCs w:val="20"/>
              </w:rPr>
            </w:pPr>
            <w:r>
              <w:rPr>
                <w:rFonts w:hint="eastAsia" w:ascii="宋体" w:hAnsi="宋体" w:cs="宋体"/>
                <w:kern w:val="0"/>
                <w:sz w:val="20"/>
                <w:szCs w:val="20"/>
              </w:rPr>
              <w:t>完成及时率</w:t>
            </w:r>
          </w:p>
        </w:tc>
        <w:tc>
          <w:tcPr>
            <w:tcW w:w="2977" w:type="dxa"/>
            <w:tcBorders>
              <w:top w:val="nil"/>
              <w:left w:val="nil"/>
              <w:bottom w:val="single" w:color="auto" w:sz="4" w:space="0"/>
              <w:right w:val="single" w:color="auto" w:sz="4" w:space="0"/>
            </w:tcBorders>
            <w:shd w:val="clear" w:color="000000" w:fill="FFFFFF"/>
            <w:vAlign w:val="center"/>
          </w:tcPr>
          <w:p w14:paraId="407CE7EB">
            <w:pPr>
              <w:widowControl/>
              <w:jc w:val="left"/>
              <w:rPr>
                <w:rFonts w:hint="eastAsia" w:ascii="宋体" w:hAnsi="宋体" w:cs="宋体"/>
                <w:kern w:val="0"/>
                <w:sz w:val="20"/>
                <w:szCs w:val="20"/>
              </w:rPr>
            </w:pPr>
            <w:r>
              <w:rPr>
                <w:rFonts w:hint="eastAsia" w:ascii="宋体" w:hAnsi="宋体" w:cs="宋体"/>
                <w:kern w:val="0"/>
                <w:sz w:val="20"/>
                <w:szCs w:val="20"/>
              </w:rPr>
              <w:t>实际完成天数占项目计划天数比重。目标值100%</w:t>
            </w:r>
          </w:p>
        </w:tc>
        <w:tc>
          <w:tcPr>
            <w:tcW w:w="3210" w:type="dxa"/>
            <w:tcBorders>
              <w:top w:val="nil"/>
              <w:left w:val="nil"/>
              <w:bottom w:val="single" w:color="auto" w:sz="4" w:space="0"/>
              <w:right w:val="single" w:color="auto" w:sz="12" w:space="0"/>
            </w:tcBorders>
            <w:shd w:val="clear" w:color="000000" w:fill="FFFFFF"/>
            <w:vAlign w:val="center"/>
          </w:tcPr>
          <w:p w14:paraId="1E218A04">
            <w:pPr>
              <w:widowControl/>
              <w:jc w:val="left"/>
              <w:rPr>
                <w:rFonts w:hint="eastAsia" w:ascii="宋体" w:hAnsi="宋体" w:cs="宋体"/>
                <w:kern w:val="0"/>
                <w:sz w:val="20"/>
                <w:szCs w:val="20"/>
              </w:rPr>
            </w:pPr>
            <w:r>
              <w:rPr>
                <w:rFonts w:hint="eastAsia" w:ascii="宋体" w:hAnsi="宋体" w:cs="宋体"/>
                <w:kern w:val="0"/>
                <w:sz w:val="20"/>
                <w:szCs w:val="20"/>
              </w:rPr>
              <w:t>时效控制率=(实际完成天数/项目计划天数）×100%</w:t>
            </w:r>
          </w:p>
        </w:tc>
      </w:tr>
      <w:tr w14:paraId="31FB49B8">
        <w:tblPrEx>
          <w:tblCellMar>
            <w:top w:w="0" w:type="dxa"/>
            <w:left w:w="108" w:type="dxa"/>
            <w:bottom w:w="0" w:type="dxa"/>
            <w:right w:w="108" w:type="dxa"/>
          </w:tblCellMar>
        </w:tblPrEx>
        <w:trPr>
          <w:trHeight w:val="840" w:hRule="atLeast"/>
          <w:jc w:val="center"/>
        </w:trPr>
        <w:tc>
          <w:tcPr>
            <w:tcW w:w="1134" w:type="dxa"/>
            <w:tcBorders>
              <w:top w:val="nil"/>
              <w:left w:val="single" w:color="auto" w:sz="12" w:space="0"/>
              <w:bottom w:val="single" w:color="000000" w:sz="4" w:space="0"/>
              <w:right w:val="single" w:color="auto" w:sz="4" w:space="0"/>
            </w:tcBorders>
            <w:shd w:val="clear" w:color="000000" w:fill="FFFFFF"/>
            <w:vAlign w:val="center"/>
          </w:tcPr>
          <w:p w14:paraId="49F5DE8D">
            <w:pPr>
              <w:widowControl/>
              <w:jc w:val="center"/>
              <w:rPr>
                <w:rFonts w:hint="eastAsia" w:ascii="宋体" w:hAnsi="宋体" w:cs="宋体"/>
                <w:kern w:val="0"/>
                <w:sz w:val="20"/>
                <w:szCs w:val="20"/>
              </w:rPr>
            </w:pPr>
            <w:r>
              <w:rPr>
                <w:rFonts w:hint="eastAsia" w:ascii="宋体" w:hAnsi="宋体" w:cs="宋体"/>
                <w:kern w:val="0"/>
                <w:sz w:val="20"/>
                <w:szCs w:val="20"/>
              </w:rPr>
              <w:t>成本指标</w:t>
            </w:r>
          </w:p>
        </w:tc>
        <w:tc>
          <w:tcPr>
            <w:tcW w:w="1284" w:type="dxa"/>
            <w:tcBorders>
              <w:top w:val="nil"/>
              <w:left w:val="nil"/>
              <w:bottom w:val="single" w:color="auto" w:sz="4" w:space="0"/>
              <w:right w:val="single" w:color="auto" w:sz="4" w:space="0"/>
            </w:tcBorders>
            <w:shd w:val="clear" w:color="000000" w:fill="FFFFFF"/>
            <w:vAlign w:val="center"/>
          </w:tcPr>
          <w:p w14:paraId="07D26D96">
            <w:pPr>
              <w:widowControl/>
              <w:jc w:val="left"/>
              <w:rPr>
                <w:rFonts w:hint="eastAsia" w:ascii="宋体" w:hAnsi="宋体" w:cs="宋体"/>
                <w:kern w:val="0"/>
                <w:sz w:val="20"/>
                <w:szCs w:val="20"/>
              </w:rPr>
            </w:pPr>
            <w:r>
              <w:rPr>
                <w:rFonts w:hint="eastAsia" w:ascii="宋体" w:hAnsi="宋体" w:cs="宋体"/>
                <w:kern w:val="0"/>
                <w:sz w:val="20"/>
                <w:szCs w:val="20"/>
              </w:rPr>
              <w:t>项目预算完成率</w:t>
            </w:r>
          </w:p>
        </w:tc>
        <w:tc>
          <w:tcPr>
            <w:tcW w:w="2977" w:type="dxa"/>
            <w:tcBorders>
              <w:top w:val="nil"/>
              <w:left w:val="nil"/>
              <w:bottom w:val="single" w:color="auto" w:sz="4" w:space="0"/>
              <w:right w:val="single" w:color="auto" w:sz="4" w:space="0"/>
            </w:tcBorders>
            <w:shd w:val="clear" w:color="000000" w:fill="FFFFFF"/>
            <w:vAlign w:val="center"/>
          </w:tcPr>
          <w:p w14:paraId="167A4452">
            <w:pPr>
              <w:widowControl/>
              <w:jc w:val="left"/>
              <w:rPr>
                <w:rFonts w:hint="eastAsia" w:ascii="宋体" w:hAnsi="宋体" w:cs="宋体"/>
                <w:kern w:val="0"/>
                <w:sz w:val="20"/>
                <w:szCs w:val="20"/>
              </w:rPr>
            </w:pPr>
            <w:r>
              <w:rPr>
                <w:rFonts w:hint="eastAsia" w:ascii="宋体" w:hAnsi="宋体" w:cs="宋体"/>
                <w:kern w:val="0"/>
                <w:sz w:val="20"/>
                <w:szCs w:val="20"/>
              </w:rPr>
              <w:t>支出经费金额占预算金额比重。目标值100%</w:t>
            </w:r>
          </w:p>
        </w:tc>
        <w:tc>
          <w:tcPr>
            <w:tcW w:w="3210" w:type="dxa"/>
            <w:tcBorders>
              <w:top w:val="nil"/>
              <w:left w:val="nil"/>
              <w:bottom w:val="single" w:color="auto" w:sz="4" w:space="0"/>
              <w:right w:val="single" w:color="auto" w:sz="12" w:space="0"/>
            </w:tcBorders>
            <w:shd w:val="clear" w:color="000000" w:fill="FFFFFF"/>
            <w:vAlign w:val="center"/>
          </w:tcPr>
          <w:p w14:paraId="37F31515">
            <w:pPr>
              <w:widowControl/>
              <w:jc w:val="left"/>
              <w:rPr>
                <w:rFonts w:hint="eastAsia" w:ascii="宋体" w:hAnsi="宋体" w:cs="宋体"/>
                <w:kern w:val="0"/>
                <w:sz w:val="20"/>
                <w:szCs w:val="20"/>
              </w:rPr>
            </w:pPr>
            <w:r>
              <w:rPr>
                <w:rFonts w:hint="eastAsia" w:ascii="宋体" w:hAnsi="宋体" w:cs="宋体"/>
                <w:kern w:val="0"/>
                <w:sz w:val="20"/>
                <w:szCs w:val="20"/>
              </w:rPr>
              <w:t>成本控制率=(实际支出经费金额/预算金额）×100%</w:t>
            </w:r>
          </w:p>
        </w:tc>
      </w:tr>
    </w:tbl>
    <w:p w14:paraId="3E04F42D">
      <w:pPr>
        <w:spacing w:line="360" w:lineRule="auto"/>
        <w:ind w:firstLine="560" w:firstLineChars="200"/>
        <w:rPr>
          <w:sz w:val="28"/>
        </w:rPr>
      </w:pPr>
      <w:r>
        <w:rPr>
          <w:rFonts w:hint="eastAsia"/>
          <w:sz w:val="28"/>
        </w:rPr>
        <w:t>2．效果目标</w:t>
      </w:r>
    </w:p>
    <w:tbl>
      <w:tblPr>
        <w:tblStyle w:val="5"/>
        <w:tblW w:w="8600" w:type="dxa"/>
        <w:jc w:val="center"/>
        <w:tblLayout w:type="fixed"/>
        <w:tblCellMar>
          <w:top w:w="0" w:type="dxa"/>
          <w:left w:w="108" w:type="dxa"/>
          <w:bottom w:w="0" w:type="dxa"/>
          <w:right w:w="108" w:type="dxa"/>
        </w:tblCellMar>
      </w:tblPr>
      <w:tblGrid>
        <w:gridCol w:w="1112"/>
        <w:gridCol w:w="1870"/>
        <w:gridCol w:w="2835"/>
        <w:gridCol w:w="2783"/>
      </w:tblGrid>
      <w:tr w14:paraId="13AF393C">
        <w:tblPrEx>
          <w:tblCellMar>
            <w:top w:w="0" w:type="dxa"/>
            <w:left w:w="108" w:type="dxa"/>
            <w:bottom w:w="0" w:type="dxa"/>
            <w:right w:w="108" w:type="dxa"/>
          </w:tblCellMar>
        </w:tblPrEx>
        <w:trPr>
          <w:trHeight w:val="527" w:hRule="atLeast"/>
          <w:tblHeader/>
          <w:jc w:val="center"/>
        </w:trPr>
        <w:tc>
          <w:tcPr>
            <w:tcW w:w="1112" w:type="dxa"/>
            <w:tcBorders>
              <w:top w:val="single" w:color="auto" w:sz="12" w:space="0"/>
              <w:left w:val="single" w:color="auto" w:sz="12" w:space="0"/>
              <w:bottom w:val="single" w:color="auto" w:sz="4" w:space="0"/>
              <w:right w:val="single" w:color="auto" w:sz="4" w:space="0"/>
            </w:tcBorders>
            <w:shd w:val="clear" w:color="000000" w:fill="D9D9D9"/>
            <w:vAlign w:val="center"/>
          </w:tcPr>
          <w:p w14:paraId="363B7AD1">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870" w:type="dxa"/>
            <w:tcBorders>
              <w:top w:val="single" w:color="auto" w:sz="12" w:space="0"/>
              <w:left w:val="nil"/>
              <w:bottom w:val="single" w:color="auto" w:sz="4" w:space="0"/>
              <w:right w:val="single" w:color="auto" w:sz="4" w:space="0"/>
            </w:tcBorders>
            <w:shd w:val="clear" w:color="000000" w:fill="D9D9D9"/>
            <w:vAlign w:val="center"/>
          </w:tcPr>
          <w:p w14:paraId="37BD19DC">
            <w:pPr>
              <w:widowControl/>
              <w:jc w:val="center"/>
              <w:rPr>
                <w:rFonts w:hint="eastAsia" w:ascii="宋体" w:hAnsi="宋体" w:cs="宋体"/>
                <w:b/>
                <w:kern w:val="0"/>
                <w:sz w:val="20"/>
                <w:szCs w:val="20"/>
              </w:rPr>
            </w:pPr>
            <w:r>
              <w:rPr>
                <w:rFonts w:hint="eastAsia" w:ascii="宋体" w:hAnsi="宋体" w:cs="宋体"/>
                <w:b/>
                <w:kern w:val="0"/>
                <w:sz w:val="20"/>
                <w:szCs w:val="20"/>
              </w:rPr>
              <w:t>指标内容</w:t>
            </w:r>
          </w:p>
        </w:tc>
        <w:tc>
          <w:tcPr>
            <w:tcW w:w="2835" w:type="dxa"/>
            <w:tcBorders>
              <w:top w:val="single" w:color="auto" w:sz="12" w:space="0"/>
              <w:left w:val="nil"/>
              <w:bottom w:val="single" w:color="auto" w:sz="4" w:space="0"/>
              <w:right w:val="single" w:color="auto" w:sz="4" w:space="0"/>
            </w:tcBorders>
            <w:shd w:val="clear" w:color="000000" w:fill="D9D9D9"/>
            <w:vAlign w:val="center"/>
          </w:tcPr>
          <w:p w14:paraId="5576D1A5">
            <w:pPr>
              <w:widowControl/>
              <w:jc w:val="center"/>
              <w:rPr>
                <w:rFonts w:hint="eastAsia" w:ascii="宋体" w:hAnsi="宋体" w:cs="宋体"/>
                <w:b/>
                <w:kern w:val="0"/>
                <w:sz w:val="20"/>
                <w:szCs w:val="20"/>
              </w:rPr>
            </w:pPr>
            <w:r>
              <w:rPr>
                <w:rFonts w:hint="eastAsia" w:ascii="宋体" w:hAnsi="宋体" w:cs="宋体"/>
                <w:b/>
                <w:kern w:val="0"/>
                <w:sz w:val="20"/>
                <w:szCs w:val="20"/>
              </w:rPr>
              <w:t>指标值</w:t>
            </w:r>
          </w:p>
        </w:tc>
        <w:tc>
          <w:tcPr>
            <w:tcW w:w="2783" w:type="dxa"/>
            <w:tcBorders>
              <w:top w:val="single" w:color="auto" w:sz="12" w:space="0"/>
              <w:left w:val="nil"/>
              <w:bottom w:val="single" w:color="auto" w:sz="4" w:space="0"/>
              <w:right w:val="single" w:color="auto" w:sz="12" w:space="0"/>
            </w:tcBorders>
            <w:shd w:val="clear" w:color="000000" w:fill="D9D9D9"/>
            <w:vAlign w:val="center"/>
          </w:tcPr>
          <w:p w14:paraId="617AEF18">
            <w:pPr>
              <w:widowControl/>
              <w:jc w:val="center"/>
              <w:rPr>
                <w:rFonts w:hint="eastAsia" w:ascii="宋体" w:hAnsi="宋体" w:cs="宋体"/>
                <w:b/>
                <w:kern w:val="0"/>
                <w:sz w:val="20"/>
                <w:szCs w:val="20"/>
              </w:rPr>
            </w:pPr>
            <w:r>
              <w:rPr>
                <w:rFonts w:hint="eastAsia" w:ascii="宋体" w:hAnsi="宋体" w:cs="宋体"/>
                <w:b/>
                <w:kern w:val="0"/>
                <w:sz w:val="20"/>
                <w:szCs w:val="20"/>
              </w:rPr>
              <w:t>备注</w:t>
            </w:r>
          </w:p>
        </w:tc>
      </w:tr>
      <w:tr w14:paraId="402CA9D2">
        <w:tblPrEx>
          <w:tblCellMar>
            <w:top w:w="0" w:type="dxa"/>
            <w:left w:w="108" w:type="dxa"/>
            <w:bottom w:w="0" w:type="dxa"/>
            <w:right w:w="108" w:type="dxa"/>
          </w:tblCellMar>
        </w:tblPrEx>
        <w:trPr>
          <w:trHeight w:val="864" w:hRule="atLeast"/>
          <w:jc w:val="center"/>
        </w:trPr>
        <w:tc>
          <w:tcPr>
            <w:tcW w:w="1112" w:type="dxa"/>
            <w:tcBorders>
              <w:top w:val="nil"/>
              <w:left w:val="single" w:color="auto" w:sz="12" w:space="0"/>
              <w:bottom w:val="single" w:color="000000" w:sz="4" w:space="0"/>
              <w:right w:val="single" w:color="auto" w:sz="4" w:space="0"/>
            </w:tcBorders>
            <w:shd w:val="clear" w:color="000000" w:fill="FFFFFF"/>
            <w:vAlign w:val="center"/>
          </w:tcPr>
          <w:p w14:paraId="7EE4CD18">
            <w:pPr>
              <w:widowControl/>
              <w:jc w:val="center"/>
              <w:rPr>
                <w:rFonts w:hint="eastAsia" w:ascii="宋体" w:hAnsi="宋体" w:cs="宋体"/>
                <w:kern w:val="0"/>
                <w:sz w:val="20"/>
                <w:szCs w:val="20"/>
              </w:rPr>
            </w:pPr>
            <w:r>
              <w:rPr>
                <w:rFonts w:hint="eastAsia" w:ascii="宋体" w:hAnsi="宋体" w:cs="宋体"/>
                <w:kern w:val="0"/>
                <w:sz w:val="20"/>
                <w:szCs w:val="20"/>
              </w:rPr>
              <w:t>经济效益指标</w:t>
            </w:r>
          </w:p>
        </w:tc>
        <w:tc>
          <w:tcPr>
            <w:tcW w:w="1870" w:type="dxa"/>
            <w:tcBorders>
              <w:top w:val="nil"/>
              <w:left w:val="nil"/>
              <w:bottom w:val="single" w:color="auto" w:sz="4" w:space="0"/>
              <w:right w:val="single" w:color="auto" w:sz="4" w:space="0"/>
            </w:tcBorders>
            <w:shd w:val="clear" w:color="000000" w:fill="FFFFFF"/>
            <w:vAlign w:val="center"/>
          </w:tcPr>
          <w:p w14:paraId="6D35896A">
            <w:pPr>
              <w:widowControl/>
              <w:jc w:val="center"/>
              <w:rPr>
                <w:rFonts w:hint="eastAsia" w:ascii="宋体" w:hAnsi="宋体" w:cs="宋体"/>
                <w:kern w:val="0"/>
                <w:sz w:val="20"/>
                <w:szCs w:val="20"/>
              </w:rPr>
            </w:pPr>
            <w:r>
              <w:rPr>
                <w:rFonts w:hint="eastAsia" w:ascii="宋体" w:hAnsi="宋体" w:cs="宋体"/>
                <w:kern w:val="0"/>
                <w:sz w:val="20"/>
                <w:szCs w:val="20"/>
              </w:rPr>
              <w:t>促进农村经济发展</w:t>
            </w:r>
          </w:p>
        </w:tc>
        <w:tc>
          <w:tcPr>
            <w:tcW w:w="2835" w:type="dxa"/>
            <w:tcBorders>
              <w:top w:val="nil"/>
              <w:left w:val="nil"/>
              <w:bottom w:val="single" w:color="auto" w:sz="4" w:space="0"/>
              <w:right w:val="single" w:color="auto" w:sz="4" w:space="0"/>
            </w:tcBorders>
            <w:shd w:val="clear" w:color="000000" w:fill="FFFFFF"/>
            <w:vAlign w:val="center"/>
          </w:tcPr>
          <w:p w14:paraId="079C5408">
            <w:pPr>
              <w:widowControl/>
              <w:jc w:val="left"/>
              <w:rPr>
                <w:rFonts w:hint="eastAsia" w:ascii="宋体" w:hAnsi="宋体" w:cs="宋体"/>
                <w:kern w:val="0"/>
                <w:sz w:val="20"/>
                <w:szCs w:val="20"/>
              </w:rPr>
            </w:pPr>
            <w:r>
              <w:rPr>
                <w:rFonts w:hint="eastAsia" w:ascii="宋体" w:hAnsi="宋体" w:cs="宋体"/>
                <w:kern w:val="0"/>
                <w:sz w:val="20"/>
                <w:szCs w:val="20"/>
              </w:rPr>
              <w:t>是否能促进农村经济有序发展，是否能减少经济损失。</w:t>
            </w:r>
          </w:p>
        </w:tc>
        <w:tc>
          <w:tcPr>
            <w:tcW w:w="2783" w:type="dxa"/>
            <w:tcBorders>
              <w:top w:val="nil"/>
              <w:left w:val="nil"/>
              <w:bottom w:val="single" w:color="auto" w:sz="4" w:space="0"/>
              <w:right w:val="single" w:color="auto" w:sz="12" w:space="0"/>
            </w:tcBorders>
            <w:shd w:val="clear" w:color="000000" w:fill="FFFFFF"/>
            <w:vAlign w:val="center"/>
          </w:tcPr>
          <w:p w14:paraId="1C599B30">
            <w:pPr>
              <w:widowControl/>
              <w:jc w:val="left"/>
              <w:rPr>
                <w:rFonts w:hint="eastAsia" w:ascii="宋体" w:hAnsi="宋体" w:cs="宋体"/>
                <w:kern w:val="0"/>
                <w:sz w:val="20"/>
                <w:szCs w:val="20"/>
              </w:rPr>
            </w:pPr>
            <w:r>
              <w:rPr>
                <w:rFonts w:hint="eastAsia" w:ascii="宋体" w:hAnsi="宋体" w:cs="宋体"/>
                <w:kern w:val="0"/>
                <w:sz w:val="20"/>
                <w:szCs w:val="20"/>
              </w:rPr>
              <w:t>分析对农业经济指标的改善作用。</w:t>
            </w:r>
          </w:p>
        </w:tc>
      </w:tr>
      <w:tr w14:paraId="2BDE0CC7">
        <w:tblPrEx>
          <w:tblCellMar>
            <w:top w:w="0" w:type="dxa"/>
            <w:left w:w="108" w:type="dxa"/>
            <w:bottom w:w="0" w:type="dxa"/>
            <w:right w:w="108" w:type="dxa"/>
          </w:tblCellMar>
        </w:tblPrEx>
        <w:trPr>
          <w:trHeight w:val="1131" w:hRule="atLeast"/>
          <w:jc w:val="center"/>
        </w:trPr>
        <w:tc>
          <w:tcPr>
            <w:tcW w:w="1112" w:type="dxa"/>
            <w:vMerge w:val="restart"/>
            <w:tcBorders>
              <w:top w:val="single" w:color="000000" w:sz="4" w:space="0"/>
              <w:left w:val="single" w:color="auto" w:sz="12" w:space="0"/>
              <w:right w:val="single" w:color="auto" w:sz="4" w:space="0"/>
            </w:tcBorders>
            <w:shd w:val="clear" w:color="000000" w:fill="FFFFFF"/>
            <w:vAlign w:val="center"/>
          </w:tcPr>
          <w:p w14:paraId="6A7C8038">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14:paraId="4346E8DE">
            <w:pPr>
              <w:widowControl/>
              <w:jc w:val="center"/>
              <w:rPr>
                <w:rFonts w:hint="eastAsia" w:ascii="宋体" w:hAnsi="宋体" w:cs="宋体"/>
                <w:kern w:val="0"/>
                <w:sz w:val="20"/>
                <w:szCs w:val="20"/>
              </w:rPr>
            </w:pPr>
            <w:r>
              <w:rPr>
                <w:rFonts w:hint="eastAsia" w:ascii="宋体" w:hAnsi="宋体" w:cs="宋体"/>
                <w:kern w:val="0"/>
                <w:sz w:val="20"/>
                <w:szCs w:val="20"/>
              </w:rPr>
              <w:t>指标</w:t>
            </w:r>
          </w:p>
        </w:tc>
        <w:tc>
          <w:tcPr>
            <w:tcW w:w="1870" w:type="dxa"/>
            <w:tcBorders>
              <w:top w:val="nil"/>
              <w:left w:val="nil"/>
              <w:bottom w:val="single" w:color="auto" w:sz="4" w:space="0"/>
              <w:right w:val="single" w:color="auto" w:sz="4" w:space="0"/>
            </w:tcBorders>
            <w:shd w:val="clear" w:color="000000" w:fill="FFFFFF"/>
            <w:vAlign w:val="center"/>
          </w:tcPr>
          <w:p w14:paraId="762A9527">
            <w:pPr>
              <w:widowControl/>
              <w:jc w:val="center"/>
              <w:rPr>
                <w:rFonts w:hint="eastAsia" w:ascii="宋体" w:hAnsi="宋体" w:cs="宋体"/>
                <w:kern w:val="0"/>
                <w:sz w:val="20"/>
                <w:szCs w:val="20"/>
              </w:rPr>
            </w:pPr>
            <w:r>
              <w:rPr>
                <w:rFonts w:hint="eastAsia" w:ascii="宋体" w:hAnsi="宋体" w:cs="宋体"/>
                <w:kern w:val="0"/>
                <w:sz w:val="20"/>
                <w:szCs w:val="20"/>
              </w:rPr>
              <w:t xml:space="preserve">改善群众生活质量 </w:t>
            </w:r>
          </w:p>
        </w:tc>
        <w:tc>
          <w:tcPr>
            <w:tcW w:w="2835" w:type="dxa"/>
            <w:tcBorders>
              <w:top w:val="nil"/>
              <w:left w:val="nil"/>
              <w:bottom w:val="single" w:color="auto" w:sz="4" w:space="0"/>
              <w:right w:val="single" w:color="auto" w:sz="4" w:space="0"/>
            </w:tcBorders>
            <w:shd w:val="clear" w:color="000000" w:fill="FFFFFF"/>
            <w:vAlign w:val="center"/>
          </w:tcPr>
          <w:p w14:paraId="1F27C504">
            <w:pPr>
              <w:widowControl/>
              <w:jc w:val="left"/>
              <w:rPr>
                <w:rFonts w:hint="eastAsia" w:ascii="宋体" w:hAnsi="宋体" w:cs="宋体"/>
                <w:kern w:val="0"/>
                <w:sz w:val="20"/>
                <w:szCs w:val="20"/>
              </w:rPr>
            </w:pPr>
            <w:r>
              <w:rPr>
                <w:rFonts w:hint="eastAsia" w:ascii="宋体" w:hAnsi="宋体" w:cs="宋体"/>
                <w:kern w:val="0"/>
                <w:sz w:val="20"/>
                <w:szCs w:val="20"/>
              </w:rPr>
              <w:t>能否保障农产品安全进入市场，并运用科技手段提高农产品质量。</w:t>
            </w:r>
          </w:p>
        </w:tc>
        <w:tc>
          <w:tcPr>
            <w:tcW w:w="2783" w:type="dxa"/>
            <w:tcBorders>
              <w:top w:val="nil"/>
              <w:left w:val="nil"/>
              <w:bottom w:val="single" w:color="auto" w:sz="4" w:space="0"/>
              <w:right w:val="single" w:color="auto" w:sz="12" w:space="0"/>
            </w:tcBorders>
            <w:shd w:val="clear" w:color="000000" w:fill="FFFFFF"/>
            <w:vAlign w:val="center"/>
          </w:tcPr>
          <w:p w14:paraId="6FB51E6B">
            <w:pPr>
              <w:widowControl/>
              <w:jc w:val="left"/>
              <w:rPr>
                <w:rFonts w:hint="eastAsia" w:ascii="宋体" w:hAnsi="宋体" w:cs="宋体"/>
                <w:kern w:val="0"/>
                <w:sz w:val="20"/>
                <w:szCs w:val="20"/>
              </w:rPr>
            </w:pPr>
            <w:r>
              <w:rPr>
                <w:rFonts w:hint="eastAsia" w:ascii="宋体" w:hAnsi="宋体" w:cs="宋体"/>
                <w:kern w:val="0"/>
                <w:sz w:val="20"/>
                <w:szCs w:val="20"/>
              </w:rPr>
              <w:t>主要分析农产品质量和安全的提高给居民健康带来的好处。</w:t>
            </w:r>
          </w:p>
        </w:tc>
      </w:tr>
      <w:tr w14:paraId="28BE0D81">
        <w:tblPrEx>
          <w:tblCellMar>
            <w:top w:w="0" w:type="dxa"/>
            <w:left w:w="108" w:type="dxa"/>
            <w:bottom w:w="0" w:type="dxa"/>
            <w:right w:w="108" w:type="dxa"/>
          </w:tblCellMar>
        </w:tblPrEx>
        <w:trPr>
          <w:trHeight w:val="1119" w:hRule="atLeast"/>
          <w:jc w:val="center"/>
        </w:trPr>
        <w:tc>
          <w:tcPr>
            <w:tcW w:w="1112" w:type="dxa"/>
            <w:vMerge w:val="continue"/>
            <w:tcBorders>
              <w:left w:val="single" w:color="auto" w:sz="12" w:space="0"/>
              <w:bottom w:val="single" w:color="000000" w:sz="4" w:space="0"/>
              <w:right w:val="single" w:color="auto" w:sz="4" w:space="0"/>
            </w:tcBorders>
            <w:shd w:val="clear" w:color="000000" w:fill="FFFFFF"/>
            <w:vAlign w:val="center"/>
          </w:tcPr>
          <w:p w14:paraId="6280FFF6">
            <w:pPr>
              <w:widowControl/>
              <w:jc w:val="center"/>
              <w:rPr>
                <w:rFonts w:ascii="宋体" w:hAnsi="宋体" w:cs="宋体"/>
                <w:kern w:val="0"/>
                <w:sz w:val="20"/>
                <w:szCs w:val="20"/>
              </w:rPr>
            </w:pPr>
          </w:p>
        </w:tc>
        <w:tc>
          <w:tcPr>
            <w:tcW w:w="1870" w:type="dxa"/>
            <w:tcBorders>
              <w:top w:val="nil"/>
              <w:left w:val="nil"/>
              <w:bottom w:val="single" w:color="auto" w:sz="4" w:space="0"/>
              <w:right w:val="single" w:color="auto" w:sz="4" w:space="0"/>
            </w:tcBorders>
            <w:shd w:val="clear" w:color="000000" w:fill="FFFFFF"/>
            <w:vAlign w:val="center"/>
          </w:tcPr>
          <w:p w14:paraId="0C60FC3E">
            <w:pPr>
              <w:widowControl/>
              <w:jc w:val="left"/>
              <w:rPr>
                <w:rFonts w:hint="eastAsia" w:ascii="宋体" w:hAnsi="宋体" w:cs="宋体"/>
                <w:kern w:val="0"/>
                <w:sz w:val="20"/>
                <w:szCs w:val="20"/>
              </w:rPr>
            </w:pPr>
            <w:r>
              <w:rPr>
                <w:rFonts w:hint="eastAsia" w:ascii="宋体" w:hAnsi="宋体" w:cs="宋体"/>
                <w:kern w:val="0"/>
                <w:sz w:val="20"/>
                <w:szCs w:val="20"/>
              </w:rPr>
              <w:t>保障居民人身和财产安全</w:t>
            </w:r>
          </w:p>
        </w:tc>
        <w:tc>
          <w:tcPr>
            <w:tcW w:w="2835" w:type="dxa"/>
            <w:tcBorders>
              <w:top w:val="nil"/>
              <w:left w:val="nil"/>
              <w:bottom w:val="single" w:color="auto" w:sz="4" w:space="0"/>
              <w:right w:val="single" w:color="auto" w:sz="4" w:space="0"/>
            </w:tcBorders>
            <w:shd w:val="clear" w:color="000000" w:fill="FFFFFF"/>
            <w:vAlign w:val="center"/>
          </w:tcPr>
          <w:p w14:paraId="3700CF08">
            <w:pPr>
              <w:widowControl/>
              <w:jc w:val="left"/>
              <w:rPr>
                <w:rFonts w:hint="eastAsia" w:ascii="宋体" w:hAnsi="宋体" w:cs="宋体"/>
                <w:kern w:val="0"/>
                <w:sz w:val="20"/>
                <w:szCs w:val="20"/>
              </w:rPr>
            </w:pPr>
            <w:r>
              <w:rPr>
                <w:rFonts w:hint="eastAsia" w:ascii="宋体" w:hAnsi="宋体" w:cs="宋体"/>
                <w:kern w:val="0"/>
                <w:sz w:val="20"/>
                <w:szCs w:val="20"/>
              </w:rPr>
              <w:t>对动物疫情和病虫害的防控、林区火情的控制和防汛抗旱工作的落实情况。</w:t>
            </w:r>
          </w:p>
        </w:tc>
        <w:tc>
          <w:tcPr>
            <w:tcW w:w="2783" w:type="dxa"/>
            <w:tcBorders>
              <w:top w:val="nil"/>
              <w:left w:val="nil"/>
              <w:bottom w:val="single" w:color="auto" w:sz="4" w:space="0"/>
              <w:right w:val="single" w:color="auto" w:sz="12" w:space="0"/>
            </w:tcBorders>
            <w:shd w:val="clear" w:color="000000" w:fill="FFFFFF"/>
            <w:vAlign w:val="center"/>
          </w:tcPr>
          <w:p w14:paraId="3AD9D11C">
            <w:pPr>
              <w:widowControl/>
              <w:jc w:val="left"/>
              <w:rPr>
                <w:rFonts w:hint="eastAsia" w:ascii="宋体" w:hAnsi="宋体" w:cs="宋体"/>
                <w:kern w:val="0"/>
                <w:sz w:val="20"/>
                <w:szCs w:val="20"/>
              </w:rPr>
            </w:pPr>
            <w:r>
              <w:rPr>
                <w:rFonts w:hint="eastAsia" w:ascii="宋体" w:hAnsi="宋体" w:cs="宋体"/>
                <w:kern w:val="0"/>
                <w:sz w:val="20"/>
                <w:szCs w:val="20"/>
              </w:rPr>
              <w:t>结合预防效果和直接挽回经济损失的比率进行评价。</w:t>
            </w:r>
          </w:p>
        </w:tc>
      </w:tr>
      <w:tr w14:paraId="10F43159">
        <w:tblPrEx>
          <w:tblCellMar>
            <w:top w:w="0" w:type="dxa"/>
            <w:left w:w="108" w:type="dxa"/>
            <w:bottom w:w="0" w:type="dxa"/>
            <w:right w:w="108" w:type="dxa"/>
          </w:tblCellMar>
        </w:tblPrEx>
        <w:trPr>
          <w:trHeight w:val="852" w:hRule="atLeast"/>
          <w:jc w:val="center"/>
        </w:trPr>
        <w:tc>
          <w:tcPr>
            <w:tcW w:w="1112" w:type="dxa"/>
            <w:tcBorders>
              <w:top w:val="nil"/>
              <w:left w:val="single" w:color="auto" w:sz="12" w:space="0"/>
              <w:bottom w:val="single" w:color="auto" w:sz="4" w:space="0"/>
              <w:right w:val="single" w:color="auto" w:sz="4" w:space="0"/>
            </w:tcBorders>
            <w:shd w:val="clear" w:color="000000" w:fill="FFFFFF"/>
            <w:vAlign w:val="center"/>
          </w:tcPr>
          <w:p w14:paraId="50B6688C">
            <w:pPr>
              <w:widowControl/>
              <w:jc w:val="center"/>
              <w:rPr>
                <w:rFonts w:hint="eastAsia" w:ascii="宋体" w:hAnsi="宋体" w:cs="宋体"/>
                <w:kern w:val="0"/>
                <w:sz w:val="20"/>
                <w:szCs w:val="20"/>
              </w:rPr>
            </w:pPr>
            <w:r>
              <w:rPr>
                <w:rFonts w:hint="eastAsia" w:ascii="宋体" w:hAnsi="宋体" w:cs="宋体"/>
                <w:kern w:val="0"/>
                <w:sz w:val="20"/>
                <w:szCs w:val="20"/>
              </w:rPr>
              <w:t>环境效益指标</w:t>
            </w:r>
          </w:p>
        </w:tc>
        <w:tc>
          <w:tcPr>
            <w:tcW w:w="1870" w:type="dxa"/>
            <w:tcBorders>
              <w:top w:val="nil"/>
              <w:left w:val="nil"/>
              <w:bottom w:val="single" w:color="auto" w:sz="4" w:space="0"/>
              <w:right w:val="single" w:color="auto" w:sz="4" w:space="0"/>
            </w:tcBorders>
            <w:shd w:val="clear" w:color="000000" w:fill="FFFFFF"/>
            <w:vAlign w:val="center"/>
          </w:tcPr>
          <w:p w14:paraId="3DF44E57">
            <w:pPr>
              <w:widowControl/>
              <w:jc w:val="left"/>
              <w:rPr>
                <w:rFonts w:hint="eastAsia" w:ascii="宋体" w:hAnsi="宋体" w:cs="宋体"/>
                <w:kern w:val="0"/>
                <w:sz w:val="20"/>
                <w:szCs w:val="20"/>
              </w:rPr>
            </w:pPr>
            <w:r>
              <w:rPr>
                <w:rFonts w:hint="eastAsia" w:ascii="宋体" w:hAnsi="宋体" w:cs="宋体"/>
                <w:kern w:val="0"/>
                <w:sz w:val="20"/>
                <w:szCs w:val="20"/>
              </w:rPr>
              <w:t>对农村生态环境的影响</w:t>
            </w:r>
          </w:p>
        </w:tc>
        <w:tc>
          <w:tcPr>
            <w:tcW w:w="2835" w:type="dxa"/>
            <w:tcBorders>
              <w:top w:val="nil"/>
              <w:left w:val="nil"/>
              <w:bottom w:val="single" w:color="auto" w:sz="4" w:space="0"/>
              <w:right w:val="single" w:color="auto" w:sz="4" w:space="0"/>
            </w:tcBorders>
            <w:shd w:val="clear" w:color="000000" w:fill="FFFFFF"/>
            <w:vAlign w:val="center"/>
          </w:tcPr>
          <w:p w14:paraId="36FE64D1">
            <w:pPr>
              <w:widowControl/>
              <w:jc w:val="left"/>
              <w:rPr>
                <w:rFonts w:hint="eastAsia" w:ascii="宋体" w:hAnsi="宋体" w:cs="宋体"/>
                <w:kern w:val="0"/>
                <w:sz w:val="20"/>
                <w:szCs w:val="20"/>
              </w:rPr>
            </w:pPr>
            <w:r>
              <w:rPr>
                <w:rFonts w:hint="eastAsia" w:ascii="宋体" w:hAnsi="宋体" w:cs="宋体"/>
                <w:kern w:val="0"/>
                <w:sz w:val="20"/>
                <w:szCs w:val="20"/>
              </w:rPr>
              <w:t>促进无公害农产品发展，为生物的生存提供安全的环境，减少环境破坏。</w:t>
            </w:r>
          </w:p>
        </w:tc>
        <w:tc>
          <w:tcPr>
            <w:tcW w:w="2783" w:type="dxa"/>
            <w:tcBorders>
              <w:top w:val="nil"/>
              <w:left w:val="nil"/>
              <w:bottom w:val="single" w:color="auto" w:sz="4" w:space="0"/>
              <w:right w:val="single" w:color="auto" w:sz="12" w:space="0"/>
            </w:tcBorders>
            <w:shd w:val="clear" w:color="000000" w:fill="FFFFFF"/>
            <w:vAlign w:val="center"/>
          </w:tcPr>
          <w:p w14:paraId="3AA75DEE">
            <w:pPr>
              <w:widowControl/>
              <w:jc w:val="left"/>
              <w:rPr>
                <w:rFonts w:hint="eastAsia" w:ascii="宋体" w:hAnsi="宋体" w:cs="宋体"/>
                <w:kern w:val="0"/>
                <w:sz w:val="20"/>
                <w:szCs w:val="20"/>
              </w:rPr>
            </w:pPr>
            <w:r>
              <w:rPr>
                <w:rFonts w:hint="eastAsia" w:ascii="宋体" w:hAnsi="宋体" w:cs="宋体"/>
                <w:kern w:val="0"/>
                <w:sz w:val="20"/>
                <w:szCs w:val="20"/>
              </w:rPr>
              <w:t>-</w:t>
            </w:r>
          </w:p>
        </w:tc>
      </w:tr>
      <w:tr w14:paraId="6B7C5243">
        <w:tblPrEx>
          <w:tblCellMar>
            <w:top w:w="0" w:type="dxa"/>
            <w:left w:w="108" w:type="dxa"/>
            <w:bottom w:w="0" w:type="dxa"/>
            <w:right w:w="108" w:type="dxa"/>
          </w:tblCellMar>
        </w:tblPrEx>
        <w:trPr>
          <w:trHeight w:val="1419" w:hRule="atLeast"/>
          <w:jc w:val="center"/>
        </w:trPr>
        <w:tc>
          <w:tcPr>
            <w:tcW w:w="1112" w:type="dxa"/>
            <w:tcBorders>
              <w:top w:val="nil"/>
              <w:left w:val="single" w:color="auto" w:sz="12" w:space="0"/>
              <w:bottom w:val="single" w:color="auto" w:sz="4" w:space="0"/>
              <w:right w:val="single" w:color="auto" w:sz="4" w:space="0"/>
            </w:tcBorders>
            <w:shd w:val="clear" w:color="000000" w:fill="FFFFFF"/>
            <w:vAlign w:val="center"/>
          </w:tcPr>
          <w:p w14:paraId="70B106D3">
            <w:pPr>
              <w:widowControl/>
              <w:jc w:val="center"/>
              <w:rPr>
                <w:rFonts w:hint="eastAsia" w:ascii="宋体" w:hAnsi="宋体" w:cs="宋体"/>
                <w:kern w:val="0"/>
                <w:sz w:val="20"/>
                <w:szCs w:val="20"/>
              </w:rPr>
            </w:pPr>
            <w:r>
              <w:rPr>
                <w:rFonts w:hint="eastAsia" w:ascii="宋体" w:hAnsi="宋体" w:cs="宋体"/>
                <w:kern w:val="0"/>
                <w:sz w:val="20"/>
                <w:szCs w:val="20"/>
              </w:rPr>
              <w:t>可持续影响指标</w:t>
            </w:r>
          </w:p>
        </w:tc>
        <w:tc>
          <w:tcPr>
            <w:tcW w:w="1870" w:type="dxa"/>
            <w:tcBorders>
              <w:top w:val="nil"/>
              <w:left w:val="nil"/>
              <w:bottom w:val="single" w:color="auto" w:sz="4" w:space="0"/>
              <w:right w:val="single" w:color="auto" w:sz="4" w:space="0"/>
            </w:tcBorders>
            <w:shd w:val="clear" w:color="000000" w:fill="FFFFFF"/>
            <w:vAlign w:val="center"/>
          </w:tcPr>
          <w:p w14:paraId="2DFEEC6A">
            <w:pPr>
              <w:widowControl/>
              <w:jc w:val="left"/>
              <w:rPr>
                <w:rFonts w:hint="eastAsia" w:ascii="宋体" w:hAnsi="宋体" w:cs="宋体"/>
                <w:kern w:val="0"/>
                <w:sz w:val="20"/>
                <w:szCs w:val="20"/>
              </w:rPr>
            </w:pPr>
            <w:r>
              <w:rPr>
                <w:rFonts w:hint="eastAsia" w:ascii="宋体" w:hAnsi="宋体" w:cs="宋体"/>
                <w:kern w:val="0"/>
                <w:sz w:val="20"/>
                <w:szCs w:val="20"/>
              </w:rPr>
              <w:t>项目可持续性</w:t>
            </w:r>
          </w:p>
        </w:tc>
        <w:tc>
          <w:tcPr>
            <w:tcW w:w="2835" w:type="dxa"/>
            <w:tcBorders>
              <w:top w:val="nil"/>
              <w:left w:val="nil"/>
              <w:bottom w:val="single" w:color="auto" w:sz="4" w:space="0"/>
              <w:right w:val="single" w:color="auto" w:sz="4" w:space="0"/>
            </w:tcBorders>
            <w:shd w:val="clear" w:color="000000" w:fill="FFFFFF"/>
            <w:vAlign w:val="center"/>
          </w:tcPr>
          <w:p w14:paraId="5E16E442">
            <w:pPr>
              <w:widowControl/>
              <w:jc w:val="left"/>
              <w:rPr>
                <w:rFonts w:hint="eastAsia" w:ascii="宋体" w:hAnsi="宋体" w:cs="宋体"/>
                <w:kern w:val="0"/>
                <w:sz w:val="20"/>
                <w:szCs w:val="20"/>
              </w:rPr>
            </w:pPr>
            <w:r>
              <w:rPr>
                <w:rFonts w:hint="eastAsia" w:ascii="宋体" w:hAnsi="宋体" w:cs="宋体"/>
                <w:kern w:val="0"/>
                <w:sz w:val="20"/>
                <w:szCs w:val="20"/>
              </w:rPr>
              <w:t>通过对农林水专项工作政策、经费和服务人员等方面的分析，评价项目后期运行的可持续影响。</w:t>
            </w:r>
          </w:p>
        </w:tc>
        <w:tc>
          <w:tcPr>
            <w:tcW w:w="2783" w:type="dxa"/>
            <w:tcBorders>
              <w:top w:val="nil"/>
              <w:left w:val="nil"/>
              <w:bottom w:val="single" w:color="auto" w:sz="4" w:space="0"/>
              <w:right w:val="single" w:color="auto" w:sz="12" w:space="0"/>
            </w:tcBorders>
            <w:shd w:val="clear" w:color="000000" w:fill="FFFFFF"/>
            <w:vAlign w:val="center"/>
          </w:tcPr>
          <w:p w14:paraId="1CE8FA72">
            <w:pPr>
              <w:widowControl/>
              <w:jc w:val="left"/>
              <w:rPr>
                <w:rFonts w:hint="eastAsia" w:ascii="宋体" w:hAnsi="宋体" w:cs="宋体"/>
                <w:kern w:val="0"/>
                <w:sz w:val="20"/>
                <w:szCs w:val="20"/>
              </w:rPr>
            </w:pPr>
            <w:r>
              <w:rPr>
                <w:rFonts w:hint="eastAsia" w:ascii="宋体" w:hAnsi="宋体" w:cs="宋体"/>
                <w:kern w:val="0"/>
                <w:sz w:val="20"/>
                <w:szCs w:val="20"/>
              </w:rPr>
              <w:t>以持续不断地完善农林水专项工作体系为目标。</w:t>
            </w:r>
          </w:p>
        </w:tc>
      </w:tr>
      <w:tr w14:paraId="631D8506">
        <w:tblPrEx>
          <w:tblCellMar>
            <w:top w:w="0" w:type="dxa"/>
            <w:left w:w="108" w:type="dxa"/>
            <w:bottom w:w="0" w:type="dxa"/>
            <w:right w:w="108" w:type="dxa"/>
          </w:tblCellMar>
        </w:tblPrEx>
        <w:trPr>
          <w:trHeight w:val="1557" w:hRule="atLeast"/>
          <w:jc w:val="center"/>
        </w:trPr>
        <w:tc>
          <w:tcPr>
            <w:tcW w:w="1112" w:type="dxa"/>
            <w:tcBorders>
              <w:top w:val="nil"/>
              <w:left w:val="single" w:color="auto" w:sz="12" w:space="0"/>
              <w:bottom w:val="single" w:color="auto" w:sz="12" w:space="0"/>
              <w:right w:val="single" w:color="auto" w:sz="4" w:space="0"/>
            </w:tcBorders>
            <w:shd w:val="clear" w:color="000000" w:fill="FFFFFF"/>
            <w:vAlign w:val="center"/>
          </w:tcPr>
          <w:p w14:paraId="1ED2DB3A">
            <w:pPr>
              <w:widowControl/>
              <w:jc w:val="center"/>
              <w:rPr>
                <w:rFonts w:hint="eastAsia" w:ascii="宋体" w:hAnsi="宋体" w:cs="宋体"/>
                <w:kern w:val="0"/>
                <w:sz w:val="20"/>
                <w:szCs w:val="20"/>
              </w:rPr>
            </w:pPr>
            <w:r>
              <w:rPr>
                <w:rFonts w:hint="eastAsia" w:ascii="宋体" w:hAnsi="宋体" w:cs="宋体"/>
                <w:kern w:val="0"/>
                <w:sz w:val="20"/>
                <w:szCs w:val="20"/>
              </w:rPr>
              <w:t>社会公众或服务对象满意度指标</w:t>
            </w:r>
          </w:p>
        </w:tc>
        <w:tc>
          <w:tcPr>
            <w:tcW w:w="1870" w:type="dxa"/>
            <w:tcBorders>
              <w:top w:val="nil"/>
              <w:left w:val="nil"/>
              <w:bottom w:val="single" w:color="auto" w:sz="12" w:space="0"/>
              <w:right w:val="single" w:color="auto" w:sz="4" w:space="0"/>
            </w:tcBorders>
            <w:shd w:val="clear" w:color="000000" w:fill="FFFFFF"/>
            <w:vAlign w:val="center"/>
          </w:tcPr>
          <w:p w14:paraId="60E31B05">
            <w:pPr>
              <w:widowControl/>
              <w:jc w:val="left"/>
              <w:rPr>
                <w:rFonts w:hint="eastAsia" w:ascii="宋体" w:hAnsi="宋体" w:cs="宋体"/>
                <w:kern w:val="0"/>
                <w:sz w:val="20"/>
                <w:szCs w:val="20"/>
              </w:rPr>
            </w:pPr>
            <w:r>
              <w:rPr>
                <w:rFonts w:hint="eastAsia" w:ascii="宋体" w:hAnsi="宋体" w:cs="宋体"/>
                <w:kern w:val="0"/>
                <w:sz w:val="20"/>
                <w:szCs w:val="20"/>
              </w:rPr>
              <w:t>社会公众或服务对象满意度</w:t>
            </w:r>
          </w:p>
        </w:tc>
        <w:tc>
          <w:tcPr>
            <w:tcW w:w="2835" w:type="dxa"/>
            <w:tcBorders>
              <w:top w:val="nil"/>
              <w:left w:val="nil"/>
              <w:bottom w:val="single" w:color="auto" w:sz="12" w:space="0"/>
              <w:right w:val="single" w:color="auto" w:sz="4" w:space="0"/>
            </w:tcBorders>
            <w:shd w:val="clear" w:color="000000" w:fill="FFFFFF"/>
            <w:vAlign w:val="center"/>
          </w:tcPr>
          <w:p w14:paraId="704306BA">
            <w:pPr>
              <w:widowControl/>
              <w:jc w:val="left"/>
              <w:rPr>
                <w:rFonts w:hint="eastAsia" w:ascii="宋体" w:hAnsi="宋体" w:cs="宋体"/>
                <w:kern w:val="0"/>
                <w:sz w:val="20"/>
                <w:szCs w:val="20"/>
              </w:rPr>
            </w:pPr>
            <w:r>
              <w:rPr>
                <w:rFonts w:hint="eastAsia" w:ascii="宋体" w:hAnsi="宋体" w:cs="宋体"/>
                <w:kern w:val="0"/>
                <w:sz w:val="20"/>
                <w:szCs w:val="20"/>
              </w:rPr>
              <w:t>通过问卷调查的方式，统计服务对象对九峰街道办事处经济发展办公室履职效果的满意程度。目标值80%。</w:t>
            </w:r>
          </w:p>
        </w:tc>
        <w:tc>
          <w:tcPr>
            <w:tcW w:w="2783" w:type="dxa"/>
            <w:tcBorders>
              <w:top w:val="nil"/>
              <w:left w:val="nil"/>
              <w:bottom w:val="single" w:color="auto" w:sz="12" w:space="0"/>
              <w:right w:val="single" w:color="auto" w:sz="12" w:space="0"/>
            </w:tcBorders>
            <w:shd w:val="clear" w:color="000000" w:fill="FFFFFF"/>
            <w:vAlign w:val="center"/>
          </w:tcPr>
          <w:p w14:paraId="5C23044C">
            <w:pPr>
              <w:widowControl/>
              <w:jc w:val="left"/>
              <w:rPr>
                <w:rFonts w:hint="eastAsia" w:ascii="宋体" w:hAnsi="宋体" w:cs="宋体"/>
                <w:kern w:val="0"/>
                <w:sz w:val="20"/>
                <w:szCs w:val="20"/>
              </w:rPr>
            </w:pPr>
            <w:r>
              <w:rPr>
                <w:rFonts w:hint="eastAsia" w:ascii="宋体" w:hAnsi="宋体" w:cs="宋体"/>
                <w:kern w:val="0"/>
                <w:sz w:val="20"/>
                <w:szCs w:val="20"/>
              </w:rPr>
              <w:t>根据问卷结果，统计服务对象满意度。</w:t>
            </w:r>
          </w:p>
        </w:tc>
      </w:tr>
    </w:tbl>
    <w:p w14:paraId="23A6D638">
      <w:pPr>
        <w:spacing w:line="360" w:lineRule="auto"/>
        <w:ind w:firstLine="602" w:firstLineChars="200"/>
        <w:rPr>
          <w:rFonts w:hint="eastAsia" w:ascii="黑体" w:hAnsi="黑体" w:eastAsia="黑体"/>
          <w:b/>
          <w:sz w:val="30"/>
          <w:szCs w:val="30"/>
        </w:rPr>
      </w:pPr>
    </w:p>
    <w:p w14:paraId="2BC91E37">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二、项目绩效分析</w:t>
      </w:r>
    </w:p>
    <w:p w14:paraId="6DD5D9D0">
      <w:pPr>
        <w:spacing w:line="360" w:lineRule="auto"/>
        <w:ind w:firstLine="560" w:firstLineChars="200"/>
        <w:rPr>
          <w:rFonts w:hint="eastAsia" w:ascii="楷体_GB2312" w:eastAsia="楷体_GB2312"/>
          <w:sz w:val="28"/>
        </w:rPr>
      </w:pPr>
      <w:r>
        <w:rPr>
          <w:rFonts w:hint="eastAsia" w:ascii="楷体_GB2312" w:eastAsia="楷体_GB2312"/>
          <w:sz w:val="28"/>
        </w:rPr>
        <w:t>（一）项目管理情况</w:t>
      </w:r>
    </w:p>
    <w:p w14:paraId="5EBAF6C5">
      <w:pPr>
        <w:spacing w:line="360" w:lineRule="auto"/>
        <w:ind w:firstLine="560" w:firstLineChars="200"/>
        <w:rPr>
          <w:sz w:val="28"/>
        </w:rPr>
      </w:pPr>
      <w:r>
        <w:rPr>
          <w:rFonts w:hint="eastAsia"/>
          <w:sz w:val="28"/>
        </w:rPr>
        <w:t>l．业务管理情况</w:t>
      </w:r>
    </w:p>
    <w:p w14:paraId="2737DD44">
      <w:pPr>
        <w:spacing w:line="360" w:lineRule="auto"/>
        <w:ind w:firstLine="560" w:firstLineChars="200"/>
        <w:rPr>
          <w:rFonts w:hint="eastAsia"/>
          <w:sz w:val="28"/>
        </w:rPr>
      </w:pPr>
      <w:r>
        <w:rPr>
          <w:rFonts w:hint="eastAsia"/>
          <w:sz w:val="28"/>
        </w:rPr>
        <w:t>（1）项目基础资料</w:t>
      </w:r>
    </w:p>
    <w:p w14:paraId="267B9FE6">
      <w:pPr>
        <w:spacing w:line="360" w:lineRule="auto"/>
        <w:ind w:firstLine="560" w:firstLineChars="200"/>
        <w:rPr>
          <w:rFonts w:hint="eastAsia"/>
          <w:sz w:val="28"/>
        </w:rPr>
      </w:pPr>
      <w:r>
        <w:rPr>
          <w:rFonts w:hint="eastAsia"/>
          <w:sz w:val="28"/>
        </w:rPr>
        <w:t>评价人员根据设置的评价指标，查阅综合经发办工作相关资料，各项农林水专项工作、宣传活动均保存有比较完整的基础资料或工作记录。</w:t>
      </w:r>
    </w:p>
    <w:p w14:paraId="31604E3F">
      <w:pPr>
        <w:spacing w:line="360" w:lineRule="auto"/>
        <w:ind w:firstLine="560" w:firstLineChars="200"/>
        <w:rPr>
          <w:rFonts w:hint="eastAsia"/>
          <w:sz w:val="28"/>
        </w:rPr>
      </w:pPr>
      <w:r>
        <w:rPr>
          <w:rFonts w:hint="eastAsia"/>
          <w:sz w:val="28"/>
        </w:rPr>
        <w:t>（2）项目质量控制</w:t>
      </w:r>
    </w:p>
    <w:p w14:paraId="3655FB9A">
      <w:pPr>
        <w:spacing w:line="360" w:lineRule="auto"/>
        <w:ind w:firstLine="560" w:firstLineChars="200"/>
        <w:rPr>
          <w:rFonts w:hint="eastAsia"/>
          <w:sz w:val="28"/>
        </w:rPr>
      </w:pPr>
      <w:r>
        <w:rPr>
          <w:rFonts w:hint="eastAsia"/>
          <w:sz w:val="28"/>
        </w:rPr>
        <w:t>经发办采取了多项措施，确保农林水专项工作质量。</w:t>
      </w:r>
    </w:p>
    <w:p w14:paraId="18D71375">
      <w:pPr>
        <w:spacing w:line="360" w:lineRule="auto"/>
        <w:ind w:firstLine="560" w:firstLineChars="200"/>
        <w:rPr>
          <w:rFonts w:hint="eastAsia"/>
          <w:sz w:val="28"/>
        </w:rPr>
      </w:pPr>
      <w:r>
        <w:rPr>
          <w:rFonts w:hint="eastAsia"/>
          <w:sz w:val="28"/>
        </w:rPr>
        <w:t>如：转变农业生产技术观念、工作思路和方法，科学指导何刘村洪山菜薹基地项目，对基地的产出质量和科学成果转换率进行考核，并与相关技术人员签订保密协议。</w:t>
      </w:r>
    </w:p>
    <w:p w14:paraId="6758FE0E">
      <w:pPr>
        <w:spacing w:line="360" w:lineRule="auto"/>
        <w:ind w:firstLine="560" w:firstLineChars="200"/>
        <w:rPr>
          <w:rFonts w:hint="eastAsia"/>
          <w:sz w:val="28"/>
        </w:rPr>
      </w:pPr>
      <w:r>
        <w:rPr>
          <w:rFonts w:hint="eastAsia"/>
          <w:sz w:val="28"/>
        </w:rPr>
        <w:t xml:space="preserve">坚持项目负责人责任制，对负责人进行约束和考核，督促负责人深入项目一线进行调研：把检疫检验抽查和基础巡查工作纳入重大事项考核范围，加大人、财、物的投入力度；针对存在的问题，加强与上级部门的沟通和协调力度。 </w:t>
      </w:r>
    </w:p>
    <w:p w14:paraId="34E32D16">
      <w:pPr>
        <w:spacing w:line="360" w:lineRule="auto"/>
        <w:ind w:firstLine="560" w:firstLineChars="200"/>
        <w:rPr>
          <w:rFonts w:hint="eastAsia"/>
          <w:sz w:val="28"/>
        </w:rPr>
      </w:pPr>
      <w:r>
        <w:rPr>
          <w:rFonts w:hint="eastAsia"/>
          <w:sz w:val="28"/>
        </w:rPr>
        <w:t>加强平时督办调度力度，建立相关案情的监控和预警机制，提高对重大和突发案情的处理能力，对处理的及时性和处理质量进行严格考核：加大对重点畜禽养殖区和林区的全面督办和重点工作督办力度，强化重点问题的整改；加强目标调度，继续实行季度目标调度制，促进经常性工作落实到位。</w:t>
      </w:r>
    </w:p>
    <w:p w14:paraId="3002014C">
      <w:pPr>
        <w:spacing w:line="360" w:lineRule="auto"/>
        <w:ind w:firstLine="560" w:firstLineChars="200"/>
        <w:rPr>
          <w:rFonts w:hint="eastAsia"/>
          <w:sz w:val="28"/>
        </w:rPr>
      </w:pPr>
      <w:r>
        <w:rPr>
          <w:rFonts w:hint="eastAsia"/>
          <w:sz w:val="28"/>
        </w:rPr>
        <w:t>（3）项目验收</w:t>
      </w:r>
    </w:p>
    <w:p w14:paraId="39C4AF41">
      <w:pPr>
        <w:spacing w:line="360" w:lineRule="auto"/>
        <w:ind w:firstLine="560" w:firstLineChars="200"/>
        <w:rPr>
          <w:rFonts w:hint="eastAsia"/>
          <w:sz w:val="28"/>
        </w:rPr>
      </w:pPr>
      <w:r>
        <w:rPr>
          <w:rFonts w:hint="eastAsia"/>
          <w:sz w:val="28"/>
        </w:rPr>
        <w:t>经发办针对全年工作撰写提交了《九峰街2017年度农林水专项工作总结》，九峰街道办事处撰写提交了《九峰街道办事处2017年工作总结及2018年工作要点》，其中包含并总结了农林水专项工作，对经发办的工作进行了验收和评价。</w:t>
      </w:r>
    </w:p>
    <w:p w14:paraId="4BFE9449">
      <w:pPr>
        <w:spacing w:line="360" w:lineRule="auto"/>
        <w:ind w:firstLine="560" w:firstLineChars="200"/>
        <w:rPr>
          <w:sz w:val="28"/>
        </w:rPr>
      </w:pPr>
      <w:r>
        <w:rPr>
          <w:rFonts w:hint="eastAsia"/>
          <w:sz w:val="28"/>
        </w:rPr>
        <w:t>2．财务管理情况</w:t>
      </w:r>
    </w:p>
    <w:p w14:paraId="7253870F">
      <w:pPr>
        <w:spacing w:line="360" w:lineRule="auto"/>
        <w:ind w:firstLine="560" w:firstLineChars="200"/>
        <w:rPr>
          <w:rFonts w:hint="eastAsia"/>
          <w:sz w:val="28"/>
        </w:rPr>
      </w:pPr>
      <w:r>
        <w:rPr>
          <w:rFonts w:hint="eastAsia"/>
          <w:sz w:val="28"/>
        </w:rPr>
        <w:t>根据《武汉东湖新技术开发区九峰街道办事处2017年部门预算草案编制说明》，农林水专项经费预算总额为91万元，其中：</w:t>
      </w:r>
    </w:p>
    <w:p w14:paraId="68AAE481">
      <w:pPr>
        <w:spacing w:line="360" w:lineRule="auto"/>
        <w:ind w:firstLine="560" w:firstLineChars="200"/>
        <w:rPr>
          <w:rFonts w:hint="eastAsia"/>
          <w:sz w:val="28"/>
        </w:rPr>
      </w:pPr>
      <w:r>
        <w:rPr>
          <w:rFonts w:hint="eastAsia"/>
          <w:sz w:val="28"/>
        </w:rPr>
        <w:t>1、农业项目经费5万元，用于何刘村洪山菜薹基地项目。</w:t>
      </w:r>
    </w:p>
    <w:p w14:paraId="7943003A">
      <w:pPr>
        <w:spacing w:line="360" w:lineRule="auto"/>
        <w:ind w:firstLine="560" w:firstLineChars="200"/>
        <w:rPr>
          <w:rFonts w:hint="eastAsia"/>
          <w:sz w:val="28"/>
        </w:rPr>
      </w:pPr>
      <w:r>
        <w:rPr>
          <w:rFonts w:hint="eastAsia"/>
          <w:sz w:val="28"/>
        </w:rPr>
        <w:t>2、林业项目经费66万元。</w:t>
      </w:r>
    </w:p>
    <w:p w14:paraId="44E7AD42">
      <w:pPr>
        <w:spacing w:line="360" w:lineRule="auto"/>
        <w:ind w:firstLine="560" w:firstLineChars="200"/>
        <w:rPr>
          <w:rFonts w:hint="eastAsia"/>
          <w:sz w:val="28"/>
        </w:rPr>
      </w:pPr>
      <w:r>
        <w:rPr>
          <w:rFonts w:hint="eastAsia"/>
          <w:sz w:val="28"/>
        </w:rPr>
        <w:t>（1）森林防火经费61万元。</w:t>
      </w:r>
    </w:p>
    <w:p w14:paraId="040A6A8B">
      <w:pPr>
        <w:spacing w:line="360" w:lineRule="auto"/>
        <w:rPr>
          <w:sz w:val="28"/>
        </w:rPr>
      </w:pPr>
      <w:r>
        <w:rPr>
          <w:sz w:val="28"/>
        </w:rPr>
        <w:t xml:space="preserve">    </w:t>
      </w:r>
      <w:r>
        <w:rPr>
          <w:rFonts w:hint="eastAsia"/>
          <w:sz w:val="28"/>
        </w:rPr>
        <w:t>护林员经费</w:t>
      </w:r>
      <w:r>
        <w:rPr>
          <w:sz w:val="28"/>
        </w:rPr>
        <w:t>18</w:t>
      </w:r>
      <w:r>
        <w:rPr>
          <w:rFonts w:hint="eastAsia"/>
          <w:sz w:val="28"/>
        </w:rPr>
        <w:t>万元，用于护林员</w:t>
      </w:r>
      <w:r>
        <w:rPr>
          <w:sz w:val="28"/>
        </w:rPr>
        <w:t>30</w:t>
      </w:r>
      <w:r>
        <w:rPr>
          <w:rFonts w:hint="eastAsia"/>
          <w:sz w:val="28"/>
        </w:rPr>
        <w:t>人，每人每年补助</w:t>
      </w:r>
      <w:r>
        <w:rPr>
          <w:sz w:val="28"/>
        </w:rPr>
        <w:t xml:space="preserve">  6000</w:t>
      </w:r>
      <w:r>
        <w:rPr>
          <w:rFonts w:hint="eastAsia"/>
          <w:sz w:val="28"/>
        </w:rPr>
        <w:t>元。</w:t>
      </w:r>
    </w:p>
    <w:p w14:paraId="3970B40F">
      <w:pPr>
        <w:spacing w:line="360" w:lineRule="auto"/>
        <w:rPr>
          <w:sz w:val="28"/>
        </w:rPr>
      </w:pPr>
      <w:r>
        <w:rPr>
          <w:sz w:val="28"/>
        </w:rPr>
        <w:t xml:space="preserve">    </w:t>
      </w:r>
      <w:r>
        <w:rPr>
          <w:rFonts w:hint="eastAsia"/>
          <w:sz w:val="28"/>
        </w:rPr>
        <w:t>防火道清理修复经费</w:t>
      </w:r>
      <w:r>
        <w:rPr>
          <w:sz w:val="28"/>
        </w:rPr>
        <w:t>22</w:t>
      </w:r>
      <w:r>
        <w:rPr>
          <w:rFonts w:hint="eastAsia"/>
          <w:sz w:val="28"/>
        </w:rPr>
        <w:t>万元。用于新开挖山体防火通道</w:t>
      </w:r>
      <w:r>
        <w:rPr>
          <w:sz w:val="28"/>
        </w:rPr>
        <w:t>12</w:t>
      </w:r>
      <w:r>
        <w:rPr>
          <w:rFonts w:hint="eastAsia"/>
          <w:sz w:val="28"/>
        </w:rPr>
        <w:t>万元；砍伐防火隔离带和杂草</w:t>
      </w:r>
      <w:r>
        <w:rPr>
          <w:sz w:val="28"/>
        </w:rPr>
        <w:t>10</w:t>
      </w:r>
      <w:r>
        <w:rPr>
          <w:rFonts w:hint="eastAsia"/>
          <w:sz w:val="28"/>
        </w:rPr>
        <w:t>万元。</w:t>
      </w:r>
    </w:p>
    <w:p w14:paraId="3F8C8A7F">
      <w:pPr>
        <w:spacing w:line="360" w:lineRule="auto"/>
        <w:rPr>
          <w:sz w:val="28"/>
        </w:rPr>
      </w:pPr>
      <w:r>
        <w:rPr>
          <w:sz w:val="28"/>
        </w:rPr>
        <w:t xml:space="preserve">    </w:t>
      </w:r>
      <w:r>
        <w:rPr>
          <w:rFonts w:hint="eastAsia"/>
          <w:sz w:val="28"/>
        </w:rPr>
        <w:t>森林火灾预防和扑救经费</w:t>
      </w:r>
      <w:r>
        <w:rPr>
          <w:sz w:val="28"/>
        </w:rPr>
        <w:t>21</w:t>
      </w:r>
      <w:r>
        <w:rPr>
          <w:rFonts w:hint="eastAsia"/>
          <w:sz w:val="28"/>
        </w:rPr>
        <w:t>万元。用于防火宣传警示牌</w:t>
      </w:r>
      <w:r>
        <w:rPr>
          <w:sz w:val="28"/>
        </w:rPr>
        <w:t>5</w:t>
      </w:r>
      <w:r>
        <w:rPr>
          <w:rFonts w:hint="eastAsia"/>
          <w:sz w:val="28"/>
        </w:rPr>
        <w:t>万；火灾高发季节防火预防及扑救相关各项费用</w:t>
      </w:r>
      <w:r>
        <w:rPr>
          <w:sz w:val="28"/>
        </w:rPr>
        <w:t>5</w:t>
      </w:r>
      <w:r>
        <w:rPr>
          <w:rFonts w:hint="eastAsia"/>
          <w:sz w:val="28"/>
        </w:rPr>
        <w:t>万；新跃村防火监控瞭望室</w:t>
      </w:r>
      <w:r>
        <w:rPr>
          <w:sz w:val="28"/>
        </w:rPr>
        <w:t>5</w:t>
      </w:r>
      <w:r>
        <w:rPr>
          <w:rFonts w:hint="eastAsia"/>
          <w:sz w:val="28"/>
        </w:rPr>
        <w:t>万；防火实时监控系统维护管理费</w:t>
      </w:r>
      <w:r>
        <w:rPr>
          <w:sz w:val="28"/>
        </w:rPr>
        <w:t>6</w:t>
      </w:r>
      <w:r>
        <w:rPr>
          <w:rFonts w:hint="eastAsia"/>
          <w:sz w:val="28"/>
        </w:rPr>
        <w:t>万。</w:t>
      </w:r>
    </w:p>
    <w:p w14:paraId="23DAB477">
      <w:pPr>
        <w:spacing w:line="360" w:lineRule="auto"/>
        <w:rPr>
          <w:rFonts w:hint="eastAsia"/>
          <w:sz w:val="28"/>
        </w:rPr>
      </w:pPr>
      <w:r>
        <w:rPr>
          <w:rFonts w:hint="eastAsia"/>
          <w:sz w:val="28"/>
        </w:rPr>
        <w:t xml:space="preserve">    （2）松材线虫防治经费5万元。用于柑桔防疫和松毛线虫病虫害防疫管理。</w:t>
      </w:r>
    </w:p>
    <w:p w14:paraId="1008D88A">
      <w:pPr>
        <w:spacing w:line="360" w:lineRule="auto"/>
        <w:rPr>
          <w:rFonts w:hint="eastAsia"/>
          <w:sz w:val="28"/>
        </w:rPr>
      </w:pPr>
      <w:r>
        <w:rPr>
          <w:rFonts w:hint="eastAsia"/>
          <w:sz w:val="28"/>
        </w:rPr>
        <w:t xml:space="preserve">    3、水利项目经费5万元，用于防汛抗旱。</w:t>
      </w:r>
    </w:p>
    <w:p w14:paraId="0DEC6428">
      <w:pPr>
        <w:spacing w:line="360" w:lineRule="auto"/>
        <w:rPr>
          <w:rFonts w:hint="eastAsia"/>
          <w:sz w:val="28"/>
        </w:rPr>
      </w:pPr>
      <w:r>
        <w:rPr>
          <w:rFonts w:hint="eastAsia"/>
          <w:sz w:val="28"/>
        </w:rPr>
        <w:t xml:space="preserve">    4、畜禽防疫经费7万元，用于用于防疫检疫相关费用。</w:t>
      </w:r>
    </w:p>
    <w:p w14:paraId="280B1846">
      <w:pPr>
        <w:spacing w:line="360" w:lineRule="auto"/>
        <w:rPr>
          <w:rFonts w:hint="eastAsia"/>
          <w:sz w:val="28"/>
        </w:rPr>
      </w:pPr>
      <w:r>
        <w:rPr>
          <w:rFonts w:hint="eastAsia"/>
          <w:sz w:val="28"/>
        </w:rPr>
        <w:t xml:space="preserve">    5、农产品质量安全检测经费8万元，用于用于管理人员工资3万元；维护管理费2万元；样品取样费2万元；其他相关费用1万元。</w:t>
      </w:r>
    </w:p>
    <w:p w14:paraId="05AB5604">
      <w:pPr>
        <w:spacing w:line="360" w:lineRule="auto"/>
        <w:ind w:firstLine="560" w:firstLineChars="200"/>
        <w:rPr>
          <w:rFonts w:hint="eastAsia"/>
          <w:sz w:val="28"/>
        </w:rPr>
      </w:pPr>
      <w:r>
        <w:rPr>
          <w:rFonts w:hint="eastAsia"/>
          <w:sz w:val="28"/>
        </w:rPr>
        <w:t>2017年度农林水专项经费决算数为</w:t>
      </w:r>
      <w:r>
        <w:rPr>
          <w:sz w:val="28"/>
        </w:rPr>
        <w:t>86</w:t>
      </w:r>
      <w:r>
        <w:rPr>
          <w:rFonts w:hint="eastAsia"/>
          <w:sz w:val="28"/>
        </w:rPr>
        <w:t>.</w:t>
      </w:r>
      <w:r>
        <w:rPr>
          <w:sz w:val="28"/>
        </w:rPr>
        <w:t>88</w:t>
      </w:r>
      <w:r>
        <w:rPr>
          <w:rFonts w:hint="eastAsia"/>
          <w:sz w:val="28"/>
        </w:rPr>
        <w:t>万元，实际预算</w:t>
      </w:r>
      <w:r>
        <w:rPr>
          <w:sz w:val="28"/>
        </w:rPr>
        <w:t>执行率为</w:t>
      </w:r>
      <w:r>
        <w:rPr>
          <w:rFonts w:hint="eastAsia"/>
          <w:sz w:val="28"/>
        </w:rPr>
        <w:t>95.47% 。</w:t>
      </w:r>
    </w:p>
    <w:p w14:paraId="6E751444">
      <w:pPr>
        <w:spacing w:line="360" w:lineRule="auto"/>
        <w:ind w:firstLine="560" w:firstLineChars="200"/>
        <w:rPr>
          <w:rFonts w:hint="eastAsia" w:ascii="楷体_GB2312" w:eastAsia="楷体_GB2312"/>
          <w:sz w:val="28"/>
        </w:rPr>
      </w:pPr>
      <w:r>
        <w:rPr>
          <w:rFonts w:hint="eastAsia" w:ascii="楷体_GB2312" w:eastAsia="楷体_GB2312"/>
          <w:sz w:val="28"/>
        </w:rPr>
        <w:t>（二）项目预算绩效目标的完成情况</w:t>
      </w:r>
    </w:p>
    <w:p w14:paraId="25D97778">
      <w:pPr>
        <w:spacing w:line="360" w:lineRule="auto"/>
        <w:ind w:firstLine="560" w:firstLineChars="200"/>
        <w:rPr>
          <w:rFonts w:hint="eastAsia"/>
          <w:sz w:val="28"/>
        </w:rPr>
      </w:pPr>
      <w:r>
        <w:rPr>
          <w:rFonts w:hint="eastAsia"/>
          <w:sz w:val="28"/>
        </w:rPr>
        <w:t>依据年初 “九峰街道办事处农林水专项经费”《项目绩效目标编制说明》，结合2017年度项目实际实施情况，对部分绩效指标做出相应的调整，以期更准确、更有效地反映本项目的绩效情况，具体情况如下表《项目预算绩效评价表》。</w:t>
      </w:r>
    </w:p>
    <w:p w14:paraId="74245028">
      <w:pPr>
        <w:spacing w:line="360" w:lineRule="auto"/>
        <w:ind w:firstLine="560" w:firstLineChars="200"/>
        <w:rPr>
          <w:sz w:val="28"/>
        </w:rPr>
      </w:pPr>
      <w:r>
        <w:rPr>
          <w:rFonts w:hint="eastAsia"/>
          <w:sz w:val="28"/>
        </w:rPr>
        <w:t>根据项目特点，分四个方面综合评价“九峰街道办事处农林水专项经费”绩效，并采用百分制予以量化，四个方面及其分值权重如下：</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4B0EF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4" w:type="dxa"/>
            <w:shd w:val="clear" w:color="auto" w:fill="auto"/>
            <w:vAlign w:val="center"/>
          </w:tcPr>
          <w:p w14:paraId="062E1B7F">
            <w:pPr>
              <w:spacing w:line="360" w:lineRule="auto"/>
              <w:jc w:val="center"/>
              <w:rPr>
                <w:rFonts w:hint="eastAsia"/>
                <w:sz w:val="22"/>
              </w:rPr>
            </w:pPr>
            <w:r>
              <w:rPr>
                <w:rFonts w:hint="eastAsia"/>
                <w:sz w:val="22"/>
              </w:rPr>
              <w:t>项目投入</w:t>
            </w:r>
          </w:p>
        </w:tc>
        <w:tc>
          <w:tcPr>
            <w:tcW w:w="1704" w:type="dxa"/>
            <w:shd w:val="clear" w:color="auto" w:fill="auto"/>
            <w:vAlign w:val="center"/>
          </w:tcPr>
          <w:p w14:paraId="246D9D6B">
            <w:pPr>
              <w:spacing w:line="360" w:lineRule="auto"/>
              <w:jc w:val="center"/>
              <w:rPr>
                <w:rFonts w:hint="eastAsia"/>
                <w:sz w:val="22"/>
              </w:rPr>
            </w:pPr>
            <w:r>
              <w:rPr>
                <w:rFonts w:hint="eastAsia"/>
                <w:sz w:val="22"/>
              </w:rPr>
              <w:t>过程管理</w:t>
            </w:r>
          </w:p>
        </w:tc>
        <w:tc>
          <w:tcPr>
            <w:tcW w:w="1704" w:type="dxa"/>
            <w:shd w:val="clear" w:color="auto" w:fill="auto"/>
            <w:vAlign w:val="center"/>
          </w:tcPr>
          <w:p w14:paraId="769E1C0C">
            <w:pPr>
              <w:spacing w:line="360" w:lineRule="auto"/>
              <w:jc w:val="center"/>
              <w:rPr>
                <w:rFonts w:hint="eastAsia"/>
                <w:sz w:val="22"/>
              </w:rPr>
            </w:pPr>
            <w:r>
              <w:rPr>
                <w:rFonts w:hint="eastAsia"/>
                <w:sz w:val="22"/>
              </w:rPr>
              <w:t>项目产出</w:t>
            </w:r>
          </w:p>
        </w:tc>
        <w:tc>
          <w:tcPr>
            <w:tcW w:w="1705" w:type="dxa"/>
            <w:shd w:val="clear" w:color="auto" w:fill="auto"/>
            <w:vAlign w:val="center"/>
          </w:tcPr>
          <w:p w14:paraId="7C461923">
            <w:pPr>
              <w:spacing w:line="360" w:lineRule="auto"/>
              <w:jc w:val="center"/>
              <w:rPr>
                <w:rFonts w:hint="eastAsia"/>
                <w:sz w:val="22"/>
              </w:rPr>
            </w:pPr>
            <w:r>
              <w:rPr>
                <w:rFonts w:hint="eastAsia"/>
                <w:sz w:val="22"/>
              </w:rPr>
              <w:t>项目效果</w:t>
            </w:r>
          </w:p>
        </w:tc>
        <w:tc>
          <w:tcPr>
            <w:tcW w:w="1705" w:type="dxa"/>
            <w:shd w:val="clear" w:color="auto" w:fill="auto"/>
            <w:vAlign w:val="center"/>
          </w:tcPr>
          <w:p w14:paraId="6DFE38BE">
            <w:pPr>
              <w:spacing w:line="360" w:lineRule="auto"/>
              <w:jc w:val="center"/>
              <w:rPr>
                <w:rFonts w:hint="eastAsia"/>
                <w:sz w:val="22"/>
              </w:rPr>
            </w:pPr>
            <w:r>
              <w:rPr>
                <w:rFonts w:hint="eastAsia"/>
                <w:sz w:val="22"/>
              </w:rPr>
              <w:t>合计</w:t>
            </w:r>
          </w:p>
        </w:tc>
      </w:tr>
      <w:tr w14:paraId="2403F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4" w:type="dxa"/>
            <w:shd w:val="clear" w:color="auto" w:fill="auto"/>
            <w:vAlign w:val="center"/>
          </w:tcPr>
          <w:p w14:paraId="4AAF7882">
            <w:pPr>
              <w:spacing w:line="360" w:lineRule="auto"/>
              <w:jc w:val="center"/>
              <w:rPr>
                <w:rFonts w:hint="eastAsia"/>
                <w:sz w:val="22"/>
              </w:rPr>
            </w:pPr>
            <w:r>
              <w:rPr>
                <w:rFonts w:hint="eastAsia"/>
                <w:sz w:val="22"/>
              </w:rPr>
              <w:t>2</w:t>
            </w:r>
            <w:r>
              <w:rPr>
                <w:sz w:val="22"/>
              </w:rPr>
              <w:t>0</w:t>
            </w:r>
          </w:p>
        </w:tc>
        <w:tc>
          <w:tcPr>
            <w:tcW w:w="1704" w:type="dxa"/>
            <w:shd w:val="clear" w:color="auto" w:fill="auto"/>
            <w:vAlign w:val="center"/>
          </w:tcPr>
          <w:p w14:paraId="0D6848AA">
            <w:pPr>
              <w:spacing w:line="360" w:lineRule="auto"/>
              <w:jc w:val="center"/>
              <w:rPr>
                <w:rFonts w:hint="eastAsia"/>
                <w:sz w:val="22"/>
              </w:rPr>
            </w:pPr>
            <w:r>
              <w:rPr>
                <w:rFonts w:hint="eastAsia"/>
                <w:sz w:val="22"/>
              </w:rPr>
              <w:t>2</w:t>
            </w:r>
            <w:r>
              <w:rPr>
                <w:sz w:val="22"/>
              </w:rPr>
              <w:t>0</w:t>
            </w:r>
          </w:p>
        </w:tc>
        <w:tc>
          <w:tcPr>
            <w:tcW w:w="1704" w:type="dxa"/>
            <w:shd w:val="clear" w:color="auto" w:fill="auto"/>
            <w:vAlign w:val="center"/>
          </w:tcPr>
          <w:p w14:paraId="1F160CD9">
            <w:pPr>
              <w:spacing w:line="360" w:lineRule="auto"/>
              <w:jc w:val="center"/>
              <w:rPr>
                <w:rFonts w:hint="eastAsia"/>
                <w:sz w:val="22"/>
              </w:rPr>
            </w:pPr>
            <w:r>
              <w:rPr>
                <w:rFonts w:hint="eastAsia"/>
                <w:sz w:val="22"/>
              </w:rPr>
              <w:t>3</w:t>
            </w:r>
            <w:r>
              <w:rPr>
                <w:sz w:val="22"/>
              </w:rPr>
              <w:t>0</w:t>
            </w:r>
          </w:p>
        </w:tc>
        <w:tc>
          <w:tcPr>
            <w:tcW w:w="1705" w:type="dxa"/>
            <w:shd w:val="clear" w:color="auto" w:fill="auto"/>
            <w:vAlign w:val="center"/>
          </w:tcPr>
          <w:p w14:paraId="415E465A">
            <w:pPr>
              <w:spacing w:line="360" w:lineRule="auto"/>
              <w:jc w:val="center"/>
              <w:rPr>
                <w:rFonts w:hint="eastAsia"/>
                <w:sz w:val="22"/>
              </w:rPr>
            </w:pPr>
            <w:r>
              <w:rPr>
                <w:rFonts w:hint="eastAsia"/>
                <w:sz w:val="22"/>
              </w:rPr>
              <w:t>3</w:t>
            </w:r>
            <w:r>
              <w:rPr>
                <w:sz w:val="22"/>
              </w:rPr>
              <w:t>0</w:t>
            </w:r>
          </w:p>
        </w:tc>
        <w:tc>
          <w:tcPr>
            <w:tcW w:w="1705" w:type="dxa"/>
            <w:shd w:val="clear" w:color="auto" w:fill="auto"/>
            <w:vAlign w:val="center"/>
          </w:tcPr>
          <w:p w14:paraId="4FDD2F2C">
            <w:pPr>
              <w:spacing w:line="360" w:lineRule="auto"/>
              <w:jc w:val="center"/>
              <w:rPr>
                <w:rFonts w:hint="eastAsia"/>
                <w:sz w:val="22"/>
              </w:rPr>
            </w:pPr>
            <w:r>
              <w:rPr>
                <w:rFonts w:hint="eastAsia"/>
                <w:sz w:val="22"/>
              </w:rPr>
              <w:t>1</w:t>
            </w:r>
            <w:r>
              <w:rPr>
                <w:sz w:val="22"/>
              </w:rPr>
              <w:t>00</w:t>
            </w:r>
          </w:p>
        </w:tc>
      </w:tr>
    </w:tbl>
    <w:p w14:paraId="3928A8DE">
      <w:pPr>
        <w:spacing w:line="360" w:lineRule="auto"/>
        <w:ind w:firstLine="560" w:firstLineChars="200"/>
        <w:rPr>
          <w:sz w:val="28"/>
        </w:rPr>
      </w:pPr>
      <w:r>
        <w:rPr>
          <w:rFonts w:hint="eastAsia"/>
          <w:sz w:val="28"/>
        </w:rPr>
        <w:t>根据分值将评价结果分为以下几个等级：</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BA21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4" w:type="dxa"/>
            <w:shd w:val="clear" w:color="auto" w:fill="auto"/>
            <w:vAlign w:val="center"/>
          </w:tcPr>
          <w:p w14:paraId="4FFCD550">
            <w:pPr>
              <w:spacing w:line="360" w:lineRule="auto"/>
              <w:jc w:val="center"/>
              <w:rPr>
                <w:rFonts w:hint="eastAsia"/>
                <w:sz w:val="22"/>
              </w:rPr>
            </w:pPr>
            <w:r>
              <w:rPr>
                <w:rFonts w:hint="eastAsia"/>
                <w:sz w:val="22"/>
              </w:rPr>
              <w:t>分值区间</w:t>
            </w:r>
          </w:p>
        </w:tc>
        <w:tc>
          <w:tcPr>
            <w:tcW w:w="1704" w:type="dxa"/>
            <w:shd w:val="clear" w:color="auto" w:fill="auto"/>
            <w:vAlign w:val="center"/>
          </w:tcPr>
          <w:p w14:paraId="1F32F3D8">
            <w:pPr>
              <w:spacing w:line="360" w:lineRule="auto"/>
              <w:jc w:val="center"/>
              <w:rPr>
                <w:rFonts w:hint="eastAsia"/>
                <w:sz w:val="22"/>
              </w:rPr>
            </w:pPr>
            <w:r>
              <w:rPr>
                <w:rFonts w:hint="eastAsia"/>
                <w:sz w:val="22"/>
              </w:rPr>
              <w:t>【1</w:t>
            </w:r>
            <w:r>
              <w:rPr>
                <w:sz w:val="22"/>
              </w:rPr>
              <w:t>00</w:t>
            </w:r>
            <w:r>
              <w:rPr>
                <w:rFonts w:hint="eastAsia"/>
                <w:sz w:val="22"/>
              </w:rPr>
              <w:t>，9</w:t>
            </w:r>
            <w:r>
              <w:rPr>
                <w:sz w:val="22"/>
              </w:rPr>
              <w:t>0</w:t>
            </w:r>
            <w:r>
              <w:rPr>
                <w:rFonts w:hint="eastAsia"/>
                <w:sz w:val="22"/>
              </w:rPr>
              <w:t>】</w:t>
            </w:r>
          </w:p>
        </w:tc>
        <w:tc>
          <w:tcPr>
            <w:tcW w:w="1704" w:type="dxa"/>
            <w:shd w:val="clear" w:color="auto" w:fill="auto"/>
            <w:vAlign w:val="center"/>
          </w:tcPr>
          <w:p w14:paraId="54A03997">
            <w:pPr>
              <w:spacing w:line="360" w:lineRule="auto"/>
              <w:jc w:val="center"/>
              <w:rPr>
                <w:rFonts w:hint="eastAsia"/>
                <w:sz w:val="22"/>
              </w:rPr>
            </w:pPr>
            <w:r>
              <w:rPr>
                <w:rFonts w:hint="eastAsia"/>
                <w:sz w:val="22"/>
              </w:rPr>
              <w:t>（9</w:t>
            </w:r>
            <w:r>
              <w:rPr>
                <w:sz w:val="22"/>
              </w:rPr>
              <w:t>0</w:t>
            </w:r>
            <w:r>
              <w:rPr>
                <w:rFonts w:hint="eastAsia"/>
                <w:sz w:val="22"/>
              </w:rPr>
              <w:t>，8</w:t>
            </w:r>
            <w:r>
              <w:rPr>
                <w:sz w:val="22"/>
              </w:rPr>
              <w:t>0</w:t>
            </w:r>
            <w:r>
              <w:rPr>
                <w:rFonts w:hint="eastAsia"/>
                <w:sz w:val="22"/>
              </w:rPr>
              <w:t>】</w:t>
            </w:r>
          </w:p>
        </w:tc>
        <w:tc>
          <w:tcPr>
            <w:tcW w:w="1705" w:type="dxa"/>
            <w:shd w:val="clear" w:color="auto" w:fill="auto"/>
            <w:vAlign w:val="center"/>
          </w:tcPr>
          <w:p w14:paraId="4DAD1FBB">
            <w:pPr>
              <w:spacing w:line="360" w:lineRule="auto"/>
              <w:jc w:val="center"/>
              <w:rPr>
                <w:rFonts w:hint="eastAsia"/>
                <w:sz w:val="22"/>
              </w:rPr>
            </w:pPr>
            <w:r>
              <w:rPr>
                <w:rFonts w:hint="eastAsia"/>
                <w:sz w:val="22"/>
              </w:rPr>
              <w:t>（8</w:t>
            </w:r>
            <w:r>
              <w:rPr>
                <w:sz w:val="22"/>
              </w:rPr>
              <w:t>0</w:t>
            </w:r>
            <w:r>
              <w:rPr>
                <w:rFonts w:hint="eastAsia"/>
                <w:sz w:val="22"/>
              </w:rPr>
              <w:t>，6</w:t>
            </w:r>
            <w:r>
              <w:rPr>
                <w:sz w:val="22"/>
              </w:rPr>
              <w:t>0</w:t>
            </w:r>
            <w:r>
              <w:rPr>
                <w:rFonts w:hint="eastAsia"/>
                <w:sz w:val="22"/>
              </w:rPr>
              <w:t>】</w:t>
            </w:r>
          </w:p>
        </w:tc>
        <w:tc>
          <w:tcPr>
            <w:tcW w:w="1705" w:type="dxa"/>
            <w:shd w:val="clear" w:color="auto" w:fill="auto"/>
            <w:vAlign w:val="center"/>
          </w:tcPr>
          <w:p w14:paraId="7B0C722E">
            <w:pPr>
              <w:spacing w:line="360" w:lineRule="auto"/>
              <w:jc w:val="center"/>
              <w:rPr>
                <w:rFonts w:hint="eastAsia"/>
                <w:sz w:val="22"/>
              </w:rPr>
            </w:pPr>
            <w:r>
              <w:rPr>
                <w:rFonts w:hint="eastAsia"/>
                <w:sz w:val="22"/>
              </w:rPr>
              <w:t>（</w:t>
            </w:r>
            <w:r>
              <w:rPr>
                <w:sz w:val="22"/>
              </w:rPr>
              <w:t>60</w:t>
            </w:r>
            <w:r>
              <w:rPr>
                <w:rFonts w:hint="eastAsia"/>
                <w:sz w:val="22"/>
              </w:rPr>
              <w:t>，</w:t>
            </w:r>
            <w:r>
              <w:rPr>
                <w:sz w:val="22"/>
              </w:rPr>
              <w:t>0</w:t>
            </w:r>
            <w:r>
              <w:rPr>
                <w:rFonts w:hint="eastAsia"/>
                <w:sz w:val="22"/>
              </w:rPr>
              <w:t>】</w:t>
            </w:r>
          </w:p>
        </w:tc>
      </w:tr>
      <w:tr w14:paraId="0472B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4" w:type="dxa"/>
            <w:shd w:val="clear" w:color="auto" w:fill="auto"/>
            <w:vAlign w:val="center"/>
          </w:tcPr>
          <w:p w14:paraId="543B354C">
            <w:pPr>
              <w:spacing w:line="360" w:lineRule="auto"/>
              <w:jc w:val="center"/>
              <w:rPr>
                <w:rFonts w:hint="eastAsia"/>
                <w:sz w:val="22"/>
              </w:rPr>
            </w:pPr>
            <w:r>
              <w:rPr>
                <w:rFonts w:hint="eastAsia"/>
                <w:sz w:val="22"/>
              </w:rPr>
              <w:t>等级</w:t>
            </w:r>
          </w:p>
        </w:tc>
        <w:tc>
          <w:tcPr>
            <w:tcW w:w="1704" w:type="dxa"/>
            <w:shd w:val="clear" w:color="auto" w:fill="auto"/>
            <w:vAlign w:val="center"/>
          </w:tcPr>
          <w:p w14:paraId="6BF00B09">
            <w:pPr>
              <w:spacing w:line="360" w:lineRule="auto"/>
              <w:jc w:val="center"/>
              <w:rPr>
                <w:rFonts w:hint="eastAsia"/>
                <w:sz w:val="22"/>
              </w:rPr>
            </w:pPr>
            <w:r>
              <w:rPr>
                <w:rFonts w:hint="eastAsia"/>
                <w:sz w:val="22"/>
              </w:rPr>
              <w:t>优秀</w:t>
            </w:r>
          </w:p>
        </w:tc>
        <w:tc>
          <w:tcPr>
            <w:tcW w:w="1704" w:type="dxa"/>
            <w:shd w:val="clear" w:color="auto" w:fill="auto"/>
            <w:vAlign w:val="center"/>
          </w:tcPr>
          <w:p w14:paraId="723873F2">
            <w:pPr>
              <w:spacing w:line="360" w:lineRule="auto"/>
              <w:jc w:val="center"/>
              <w:rPr>
                <w:rFonts w:hint="eastAsia"/>
                <w:sz w:val="22"/>
              </w:rPr>
            </w:pPr>
            <w:r>
              <w:rPr>
                <w:rFonts w:hint="eastAsia"/>
                <w:sz w:val="22"/>
              </w:rPr>
              <w:t>良好</w:t>
            </w:r>
          </w:p>
        </w:tc>
        <w:tc>
          <w:tcPr>
            <w:tcW w:w="1705" w:type="dxa"/>
            <w:shd w:val="clear" w:color="auto" w:fill="auto"/>
            <w:vAlign w:val="center"/>
          </w:tcPr>
          <w:p w14:paraId="34A2E85C">
            <w:pPr>
              <w:spacing w:line="360" w:lineRule="auto"/>
              <w:jc w:val="center"/>
              <w:rPr>
                <w:rFonts w:hint="eastAsia"/>
                <w:sz w:val="22"/>
              </w:rPr>
            </w:pPr>
            <w:r>
              <w:rPr>
                <w:rFonts w:hint="eastAsia"/>
                <w:sz w:val="22"/>
              </w:rPr>
              <w:t>一般</w:t>
            </w:r>
          </w:p>
        </w:tc>
        <w:tc>
          <w:tcPr>
            <w:tcW w:w="1705" w:type="dxa"/>
            <w:shd w:val="clear" w:color="auto" w:fill="auto"/>
            <w:vAlign w:val="center"/>
          </w:tcPr>
          <w:p w14:paraId="06AB6CCB">
            <w:pPr>
              <w:spacing w:line="360" w:lineRule="auto"/>
              <w:jc w:val="center"/>
              <w:rPr>
                <w:rFonts w:hint="eastAsia"/>
                <w:sz w:val="22"/>
              </w:rPr>
            </w:pPr>
            <w:r>
              <w:rPr>
                <w:rFonts w:hint="eastAsia"/>
                <w:sz w:val="22"/>
              </w:rPr>
              <w:t>不合格</w:t>
            </w:r>
          </w:p>
        </w:tc>
      </w:tr>
    </w:tbl>
    <w:p w14:paraId="278EBB20">
      <w:pPr>
        <w:spacing w:line="360" w:lineRule="auto"/>
        <w:ind w:firstLine="560" w:firstLineChars="200"/>
        <w:rPr>
          <w:sz w:val="28"/>
        </w:rPr>
      </w:pPr>
    </w:p>
    <w:p w14:paraId="73768D14">
      <w:pPr>
        <w:spacing w:line="360" w:lineRule="auto"/>
        <w:ind w:firstLine="560" w:firstLineChars="200"/>
        <w:rPr>
          <w:sz w:val="28"/>
        </w:rPr>
        <w:sectPr>
          <w:pgSz w:w="11906" w:h="16838"/>
          <w:pgMar w:top="1440" w:right="1800" w:bottom="1440" w:left="1800" w:header="851" w:footer="992" w:gutter="0"/>
          <w:cols w:space="425" w:num="1"/>
          <w:docGrid w:type="lines" w:linePitch="312" w:charSpace="0"/>
        </w:sectPr>
      </w:pPr>
    </w:p>
    <w:p w14:paraId="01A79211">
      <w:pPr>
        <w:rPr>
          <w:rFonts w:hint="eastAsia" w:ascii="Calibri" w:hAnsi="Calibri"/>
          <w:sz w:val="28"/>
        </w:rPr>
      </w:pPr>
      <w:r>
        <w:rPr>
          <w:rFonts w:hint="eastAsia" w:ascii="Calibri" w:hAnsi="Calibri"/>
          <w:sz w:val="28"/>
        </w:rPr>
        <w:t>表：项目预算绩效评价表</w:t>
      </w:r>
    </w:p>
    <w:tbl>
      <w:tblPr>
        <w:tblStyle w:val="5"/>
        <w:tblW w:w="13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328"/>
        <w:gridCol w:w="2385"/>
        <w:gridCol w:w="4446"/>
        <w:gridCol w:w="4002"/>
        <w:gridCol w:w="714"/>
      </w:tblGrid>
      <w:tr w14:paraId="6391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1112" w:type="dxa"/>
            <w:shd w:val="clear" w:color="auto" w:fill="auto"/>
            <w:vAlign w:val="center"/>
          </w:tcPr>
          <w:p w14:paraId="6A0F2229">
            <w:pPr>
              <w:widowControl/>
              <w:jc w:val="center"/>
              <w:rPr>
                <w:rFonts w:ascii="宋体" w:hAnsi="宋体" w:cs="宋体"/>
                <w:b/>
                <w:bCs/>
                <w:color w:val="000000"/>
                <w:kern w:val="0"/>
                <w:sz w:val="22"/>
              </w:rPr>
            </w:pPr>
            <w:r>
              <w:rPr>
                <w:rFonts w:hint="eastAsia" w:ascii="宋体" w:hAnsi="宋体" w:cs="宋体"/>
                <w:b/>
                <w:bCs/>
                <w:color w:val="000000"/>
                <w:kern w:val="0"/>
                <w:sz w:val="22"/>
              </w:rPr>
              <w:t>一级</w:t>
            </w:r>
          </w:p>
          <w:p w14:paraId="0DB26E84">
            <w:pPr>
              <w:widowControl/>
              <w:jc w:val="center"/>
              <w:rPr>
                <w:rFonts w:ascii="宋体" w:hAnsi="宋体" w:cs="宋体"/>
                <w:b/>
                <w:bCs/>
                <w:color w:val="000000"/>
                <w:kern w:val="0"/>
                <w:sz w:val="22"/>
              </w:rPr>
            </w:pPr>
            <w:r>
              <w:rPr>
                <w:rFonts w:hint="eastAsia" w:ascii="宋体" w:hAnsi="宋体" w:cs="宋体"/>
                <w:b/>
                <w:bCs/>
                <w:color w:val="000000"/>
                <w:kern w:val="0"/>
                <w:sz w:val="22"/>
              </w:rPr>
              <w:t>指标</w:t>
            </w:r>
          </w:p>
        </w:tc>
        <w:tc>
          <w:tcPr>
            <w:tcW w:w="1328" w:type="dxa"/>
            <w:shd w:val="clear" w:color="auto" w:fill="auto"/>
            <w:vAlign w:val="center"/>
          </w:tcPr>
          <w:p w14:paraId="729CC296">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2385" w:type="dxa"/>
            <w:shd w:val="clear" w:color="auto" w:fill="auto"/>
            <w:vAlign w:val="center"/>
          </w:tcPr>
          <w:p w14:paraId="2B557450">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4446" w:type="dxa"/>
            <w:shd w:val="clear" w:color="auto" w:fill="auto"/>
            <w:vAlign w:val="center"/>
          </w:tcPr>
          <w:p w14:paraId="39A1F83F">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4002" w:type="dxa"/>
            <w:shd w:val="clear" w:color="auto" w:fill="auto"/>
            <w:vAlign w:val="center"/>
          </w:tcPr>
          <w:p w14:paraId="7B35F2C7">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14" w:type="dxa"/>
            <w:shd w:val="clear" w:color="auto" w:fill="auto"/>
            <w:vAlign w:val="center"/>
          </w:tcPr>
          <w:p w14:paraId="0767955D">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2881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restart"/>
            <w:shd w:val="clear" w:color="auto" w:fill="auto"/>
            <w:vAlign w:val="center"/>
          </w:tcPr>
          <w:p w14:paraId="32CCE87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1328" w:type="dxa"/>
            <w:vMerge w:val="restart"/>
            <w:shd w:val="clear" w:color="auto" w:fill="auto"/>
            <w:vAlign w:val="center"/>
          </w:tcPr>
          <w:p w14:paraId="5E829F7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2385" w:type="dxa"/>
            <w:shd w:val="clear" w:color="auto" w:fill="auto"/>
            <w:vAlign w:val="center"/>
          </w:tcPr>
          <w:p w14:paraId="7E2E57A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4446" w:type="dxa"/>
            <w:shd w:val="clear" w:color="auto" w:fill="auto"/>
            <w:vAlign w:val="center"/>
          </w:tcPr>
          <w:p w14:paraId="184DBAF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4002" w:type="dxa"/>
            <w:shd w:val="clear" w:color="auto" w:fill="auto"/>
            <w:vAlign w:val="center"/>
          </w:tcPr>
          <w:p w14:paraId="11CEEE4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本项目经费为持续性、常年性项目，项目立项规范，符合相关政策要求。</w:t>
            </w:r>
          </w:p>
        </w:tc>
        <w:tc>
          <w:tcPr>
            <w:tcW w:w="714" w:type="dxa"/>
            <w:shd w:val="clear" w:color="auto" w:fill="auto"/>
            <w:vAlign w:val="center"/>
          </w:tcPr>
          <w:p w14:paraId="749542B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620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12" w:type="dxa"/>
            <w:vMerge w:val="continue"/>
            <w:shd w:val="clear" w:color="auto" w:fill="auto"/>
            <w:vAlign w:val="center"/>
          </w:tcPr>
          <w:p w14:paraId="399AE7ED">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0FD1E0CE">
            <w:pPr>
              <w:widowControl/>
              <w:jc w:val="left"/>
              <w:rPr>
                <w:rFonts w:ascii="楷体_GB2312" w:hAnsi="宋体" w:eastAsia="楷体_GB2312" w:cs="宋体"/>
                <w:color w:val="000000"/>
                <w:kern w:val="0"/>
                <w:sz w:val="22"/>
              </w:rPr>
            </w:pPr>
          </w:p>
        </w:tc>
        <w:tc>
          <w:tcPr>
            <w:tcW w:w="2385" w:type="dxa"/>
            <w:shd w:val="clear" w:color="auto" w:fill="auto"/>
            <w:vAlign w:val="center"/>
          </w:tcPr>
          <w:p w14:paraId="79380D5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4446" w:type="dxa"/>
            <w:shd w:val="clear" w:color="auto" w:fill="auto"/>
            <w:vAlign w:val="center"/>
          </w:tcPr>
          <w:p w14:paraId="040076A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项目是否设定绩效目标和绩效指标，所设定的绩效目标和指标是否符合实际，以反映和考核项目绩效目标与项目实施的相符情况。</w:t>
            </w:r>
          </w:p>
        </w:tc>
        <w:tc>
          <w:tcPr>
            <w:tcW w:w="4002" w:type="dxa"/>
            <w:shd w:val="clear" w:color="auto" w:fill="auto"/>
            <w:vAlign w:val="center"/>
          </w:tcPr>
          <w:p w14:paraId="66348EC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项目设定了绩效目标和绩效指标，所设定的绩效目标和指标基本符合实际，能体现项目效果。</w:t>
            </w:r>
          </w:p>
        </w:tc>
        <w:tc>
          <w:tcPr>
            <w:tcW w:w="714" w:type="dxa"/>
            <w:shd w:val="clear" w:color="auto" w:fill="auto"/>
            <w:vAlign w:val="center"/>
          </w:tcPr>
          <w:p w14:paraId="4262D65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1F1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2" w:type="dxa"/>
            <w:vMerge w:val="continue"/>
            <w:shd w:val="clear" w:color="auto" w:fill="auto"/>
            <w:vAlign w:val="center"/>
          </w:tcPr>
          <w:p w14:paraId="5C931905">
            <w:pPr>
              <w:widowControl/>
              <w:jc w:val="left"/>
              <w:rPr>
                <w:rFonts w:ascii="楷体_GB2312" w:hAnsi="宋体" w:eastAsia="楷体_GB2312" w:cs="宋体"/>
                <w:color w:val="000000"/>
                <w:kern w:val="0"/>
                <w:sz w:val="22"/>
              </w:rPr>
            </w:pPr>
          </w:p>
        </w:tc>
        <w:tc>
          <w:tcPr>
            <w:tcW w:w="1328" w:type="dxa"/>
            <w:vMerge w:val="restart"/>
            <w:shd w:val="clear" w:color="auto" w:fill="auto"/>
            <w:vAlign w:val="center"/>
          </w:tcPr>
          <w:p w14:paraId="1D01A5C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2385" w:type="dxa"/>
            <w:shd w:val="clear" w:color="auto" w:fill="auto"/>
            <w:vAlign w:val="center"/>
          </w:tcPr>
          <w:p w14:paraId="5D42AD0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4446" w:type="dxa"/>
            <w:shd w:val="clear" w:color="auto" w:fill="auto"/>
            <w:vAlign w:val="center"/>
          </w:tcPr>
          <w:p w14:paraId="57037F1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4002" w:type="dxa"/>
            <w:shd w:val="clear" w:color="auto" w:fill="auto"/>
            <w:vAlign w:val="center"/>
          </w:tcPr>
          <w:p w14:paraId="04ABF59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预算批复金额91万元，与预算申报金额一致，实际支出资金</w:t>
            </w:r>
            <w:r>
              <w:rPr>
                <w:rFonts w:ascii="楷体_GB2312" w:hAnsi="宋体" w:eastAsia="楷体_GB2312" w:cs="宋体"/>
                <w:color w:val="000000"/>
                <w:kern w:val="0"/>
                <w:sz w:val="22"/>
              </w:rPr>
              <w:t>86.88</w:t>
            </w:r>
            <w:r>
              <w:rPr>
                <w:rFonts w:hint="eastAsia" w:ascii="楷体_GB2312" w:hAnsi="宋体" w:eastAsia="楷体_GB2312" w:cs="宋体"/>
                <w:color w:val="000000"/>
                <w:kern w:val="0"/>
                <w:sz w:val="22"/>
              </w:rPr>
              <w:t>万元，资金到位率</w:t>
            </w:r>
            <w:r>
              <w:rPr>
                <w:rFonts w:ascii="楷体_GB2312" w:hAnsi="宋体" w:eastAsia="楷体_GB2312" w:cs="宋体"/>
                <w:color w:val="000000"/>
                <w:kern w:val="0"/>
                <w:sz w:val="22"/>
              </w:rPr>
              <w:t>95.47</w:t>
            </w:r>
            <w:r>
              <w:rPr>
                <w:rFonts w:hint="eastAsia" w:ascii="楷体_GB2312" w:hAnsi="宋体" w:eastAsia="楷体_GB2312" w:cs="宋体"/>
                <w:color w:val="000000"/>
                <w:kern w:val="0"/>
                <w:sz w:val="22"/>
              </w:rPr>
              <w:t>%。</w:t>
            </w:r>
          </w:p>
        </w:tc>
        <w:tc>
          <w:tcPr>
            <w:tcW w:w="714" w:type="dxa"/>
            <w:shd w:val="clear" w:color="auto" w:fill="auto"/>
            <w:vAlign w:val="center"/>
          </w:tcPr>
          <w:p w14:paraId="7B3F4BA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250D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10E9DF6D">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01368A09">
            <w:pPr>
              <w:widowControl/>
              <w:jc w:val="left"/>
              <w:rPr>
                <w:rFonts w:ascii="楷体_GB2312" w:hAnsi="宋体" w:eastAsia="楷体_GB2312" w:cs="宋体"/>
                <w:color w:val="000000"/>
                <w:kern w:val="0"/>
                <w:sz w:val="22"/>
              </w:rPr>
            </w:pPr>
          </w:p>
        </w:tc>
        <w:tc>
          <w:tcPr>
            <w:tcW w:w="2385" w:type="dxa"/>
            <w:shd w:val="clear" w:color="auto" w:fill="auto"/>
            <w:vAlign w:val="center"/>
          </w:tcPr>
          <w:p w14:paraId="36A0183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4446" w:type="dxa"/>
            <w:shd w:val="clear" w:color="auto" w:fill="auto"/>
            <w:vAlign w:val="center"/>
          </w:tcPr>
          <w:p w14:paraId="7DB8B23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4002" w:type="dxa"/>
            <w:shd w:val="clear" w:color="auto" w:fill="auto"/>
            <w:vAlign w:val="center"/>
          </w:tcPr>
          <w:p w14:paraId="11D0189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及时拨付各村项目资金，资金到位及时率100%</w:t>
            </w:r>
          </w:p>
        </w:tc>
        <w:tc>
          <w:tcPr>
            <w:tcW w:w="714" w:type="dxa"/>
            <w:shd w:val="clear" w:color="auto" w:fill="auto"/>
            <w:vAlign w:val="center"/>
          </w:tcPr>
          <w:p w14:paraId="254FB37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396C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1D52C9AB">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14" w:type="dxa"/>
            <w:shd w:val="clear" w:color="auto" w:fill="auto"/>
            <w:vAlign w:val="center"/>
          </w:tcPr>
          <w:p w14:paraId="7E1FDD8B">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18</w:t>
            </w:r>
          </w:p>
        </w:tc>
      </w:tr>
      <w:tr w14:paraId="7AE9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restart"/>
            <w:shd w:val="clear" w:color="auto" w:fill="auto"/>
            <w:vAlign w:val="center"/>
          </w:tcPr>
          <w:p w14:paraId="70A040D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1328" w:type="dxa"/>
            <w:vMerge w:val="restart"/>
            <w:shd w:val="clear" w:color="auto" w:fill="auto"/>
            <w:vAlign w:val="center"/>
          </w:tcPr>
          <w:p w14:paraId="0C095E8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2385" w:type="dxa"/>
            <w:shd w:val="clear" w:color="auto" w:fill="auto"/>
            <w:vAlign w:val="center"/>
          </w:tcPr>
          <w:p w14:paraId="0596ADB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4446" w:type="dxa"/>
            <w:shd w:val="clear" w:color="auto" w:fill="auto"/>
            <w:vAlign w:val="center"/>
          </w:tcPr>
          <w:p w14:paraId="523EA6A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4002" w:type="dxa"/>
            <w:vMerge w:val="restart"/>
            <w:shd w:val="clear" w:color="auto" w:fill="auto"/>
            <w:vAlign w:val="center"/>
          </w:tcPr>
          <w:p w14:paraId="05B3E83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建立了良好的工作机制和工作流程并得以有效执行；街道建立了项目监督机制和项目考核机制，用于支持项目顺利实施，项目基础资料齐备。</w:t>
            </w:r>
          </w:p>
        </w:tc>
        <w:tc>
          <w:tcPr>
            <w:tcW w:w="714" w:type="dxa"/>
            <w:shd w:val="clear" w:color="auto" w:fill="auto"/>
            <w:vAlign w:val="center"/>
          </w:tcPr>
          <w:p w14:paraId="053BD68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6FCD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56C3ADC2">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791D72F6">
            <w:pPr>
              <w:widowControl/>
              <w:jc w:val="left"/>
              <w:rPr>
                <w:rFonts w:ascii="楷体_GB2312" w:hAnsi="宋体" w:eastAsia="楷体_GB2312" w:cs="宋体"/>
                <w:color w:val="000000"/>
                <w:kern w:val="0"/>
                <w:sz w:val="22"/>
              </w:rPr>
            </w:pPr>
          </w:p>
        </w:tc>
        <w:tc>
          <w:tcPr>
            <w:tcW w:w="2385" w:type="dxa"/>
            <w:shd w:val="clear" w:color="auto" w:fill="auto"/>
            <w:vAlign w:val="center"/>
          </w:tcPr>
          <w:p w14:paraId="20631CC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4446" w:type="dxa"/>
            <w:shd w:val="clear" w:color="auto" w:fill="auto"/>
            <w:vAlign w:val="center"/>
          </w:tcPr>
          <w:p w14:paraId="347A23A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4002" w:type="dxa"/>
            <w:vMerge w:val="continue"/>
            <w:shd w:val="clear" w:color="auto" w:fill="auto"/>
            <w:vAlign w:val="center"/>
          </w:tcPr>
          <w:p w14:paraId="0F168D36">
            <w:pPr>
              <w:widowControl/>
              <w:jc w:val="left"/>
              <w:rPr>
                <w:rFonts w:ascii="楷体_GB2312" w:hAnsi="宋体" w:eastAsia="楷体_GB2312" w:cs="宋体"/>
                <w:color w:val="000000"/>
                <w:kern w:val="0"/>
                <w:sz w:val="22"/>
              </w:rPr>
            </w:pPr>
          </w:p>
        </w:tc>
        <w:tc>
          <w:tcPr>
            <w:tcW w:w="714" w:type="dxa"/>
            <w:shd w:val="clear" w:color="auto" w:fill="auto"/>
            <w:vAlign w:val="center"/>
          </w:tcPr>
          <w:p w14:paraId="721F1B6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436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2" w:type="dxa"/>
            <w:vMerge w:val="continue"/>
            <w:shd w:val="clear" w:color="auto" w:fill="auto"/>
            <w:vAlign w:val="center"/>
          </w:tcPr>
          <w:p w14:paraId="739E3EC4">
            <w:pPr>
              <w:widowControl/>
              <w:jc w:val="left"/>
              <w:rPr>
                <w:rFonts w:ascii="楷体_GB2312" w:hAnsi="宋体" w:eastAsia="楷体_GB2312" w:cs="宋体"/>
                <w:color w:val="000000"/>
                <w:kern w:val="0"/>
                <w:sz w:val="22"/>
              </w:rPr>
            </w:pPr>
          </w:p>
        </w:tc>
        <w:tc>
          <w:tcPr>
            <w:tcW w:w="1328" w:type="dxa"/>
            <w:vMerge w:val="restart"/>
            <w:shd w:val="clear" w:color="auto" w:fill="auto"/>
            <w:vAlign w:val="center"/>
          </w:tcPr>
          <w:p w14:paraId="2E1AF43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2385" w:type="dxa"/>
            <w:shd w:val="clear" w:color="auto" w:fill="auto"/>
            <w:vAlign w:val="center"/>
          </w:tcPr>
          <w:p w14:paraId="0ECB3FE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4446" w:type="dxa"/>
            <w:shd w:val="clear" w:color="auto" w:fill="auto"/>
            <w:vAlign w:val="center"/>
          </w:tcPr>
          <w:p w14:paraId="3684D17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4002" w:type="dxa"/>
            <w:vMerge w:val="restart"/>
            <w:shd w:val="clear" w:color="auto" w:fill="auto"/>
            <w:vAlign w:val="center"/>
          </w:tcPr>
          <w:p w14:paraId="717E8F3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制订了严格的财务管理措施，每项支出均有迹可循。会计账簿中重要支出事项原始单据或记录手续齐全，单证规范，标准相符，财务把关严格，会计核算准确、完整。</w:t>
            </w:r>
          </w:p>
        </w:tc>
        <w:tc>
          <w:tcPr>
            <w:tcW w:w="714" w:type="dxa"/>
            <w:shd w:val="clear" w:color="auto" w:fill="auto"/>
            <w:vAlign w:val="center"/>
          </w:tcPr>
          <w:p w14:paraId="615CAC7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6A5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12" w:type="dxa"/>
            <w:vMerge w:val="continue"/>
            <w:shd w:val="clear" w:color="auto" w:fill="auto"/>
            <w:vAlign w:val="center"/>
          </w:tcPr>
          <w:p w14:paraId="19A05485">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0C97851B">
            <w:pPr>
              <w:widowControl/>
              <w:jc w:val="left"/>
              <w:rPr>
                <w:rFonts w:ascii="楷体_GB2312" w:hAnsi="宋体" w:eastAsia="楷体_GB2312" w:cs="宋体"/>
                <w:color w:val="000000"/>
                <w:kern w:val="0"/>
                <w:sz w:val="22"/>
              </w:rPr>
            </w:pPr>
          </w:p>
        </w:tc>
        <w:tc>
          <w:tcPr>
            <w:tcW w:w="2385" w:type="dxa"/>
            <w:shd w:val="clear" w:color="auto" w:fill="auto"/>
            <w:vAlign w:val="center"/>
          </w:tcPr>
          <w:p w14:paraId="46E4934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4446" w:type="dxa"/>
            <w:shd w:val="clear" w:color="auto" w:fill="auto"/>
            <w:vAlign w:val="center"/>
          </w:tcPr>
          <w:p w14:paraId="5BA5B82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4002" w:type="dxa"/>
            <w:vMerge w:val="continue"/>
            <w:shd w:val="clear" w:color="auto" w:fill="auto"/>
            <w:vAlign w:val="center"/>
          </w:tcPr>
          <w:p w14:paraId="7061A2C7">
            <w:pPr>
              <w:widowControl/>
              <w:jc w:val="left"/>
              <w:rPr>
                <w:rFonts w:ascii="楷体_GB2312" w:hAnsi="宋体" w:eastAsia="楷体_GB2312" w:cs="宋体"/>
                <w:color w:val="000000"/>
                <w:kern w:val="0"/>
                <w:sz w:val="22"/>
              </w:rPr>
            </w:pPr>
          </w:p>
        </w:tc>
        <w:tc>
          <w:tcPr>
            <w:tcW w:w="714" w:type="dxa"/>
            <w:shd w:val="clear" w:color="auto" w:fill="auto"/>
            <w:vAlign w:val="center"/>
          </w:tcPr>
          <w:p w14:paraId="4972C48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6E48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772E31C0">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14" w:type="dxa"/>
            <w:shd w:val="clear" w:color="auto" w:fill="auto"/>
            <w:vAlign w:val="center"/>
          </w:tcPr>
          <w:p w14:paraId="1D426454">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20</w:t>
            </w:r>
          </w:p>
        </w:tc>
      </w:tr>
      <w:tr w14:paraId="7D40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12" w:type="dxa"/>
            <w:vMerge w:val="restart"/>
            <w:shd w:val="clear" w:color="auto" w:fill="auto"/>
            <w:vAlign w:val="center"/>
          </w:tcPr>
          <w:p w14:paraId="66DF3E6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1328" w:type="dxa"/>
            <w:vMerge w:val="restart"/>
            <w:shd w:val="clear" w:color="auto" w:fill="auto"/>
            <w:vAlign w:val="center"/>
          </w:tcPr>
          <w:p w14:paraId="38C4B99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数量指标（10分）</w:t>
            </w:r>
          </w:p>
        </w:tc>
        <w:tc>
          <w:tcPr>
            <w:tcW w:w="2385" w:type="dxa"/>
            <w:shd w:val="clear" w:color="auto" w:fill="auto"/>
            <w:vAlign w:val="center"/>
          </w:tcPr>
          <w:p w14:paraId="7C59AFF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管理工作完成率（5分）</w:t>
            </w:r>
          </w:p>
        </w:tc>
        <w:tc>
          <w:tcPr>
            <w:tcW w:w="4446" w:type="dxa"/>
            <w:shd w:val="clear" w:color="auto" w:fill="auto"/>
            <w:vAlign w:val="center"/>
          </w:tcPr>
          <w:p w14:paraId="686E4DE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管理工作完成率达到100%</w:t>
            </w:r>
          </w:p>
        </w:tc>
        <w:tc>
          <w:tcPr>
            <w:tcW w:w="4002" w:type="dxa"/>
            <w:shd w:val="clear" w:color="auto" w:fill="auto"/>
            <w:vAlign w:val="center"/>
          </w:tcPr>
          <w:p w14:paraId="10307C7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0C3CCE7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285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56B3277D">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071A0364">
            <w:pPr>
              <w:widowControl/>
              <w:jc w:val="left"/>
              <w:rPr>
                <w:rFonts w:ascii="楷体_GB2312" w:hAnsi="宋体" w:eastAsia="楷体_GB2312" w:cs="宋体"/>
                <w:color w:val="000000"/>
                <w:kern w:val="0"/>
                <w:sz w:val="22"/>
              </w:rPr>
            </w:pPr>
          </w:p>
        </w:tc>
        <w:tc>
          <w:tcPr>
            <w:tcW w:w="2385" w:type="dxa"/>
            <w:shd w:val="clear" w:color="auto" w:fill="auto"/>
            <w:vAlign w:val="center"/>
          </w:tcPr>
          <w:p w14:paraId="6D9B41D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宣传活动次数（5分）</w:t>
            </w:r>
          </w:p>
        </w:tc>
        <w:tc>
          <w:tcPr>
            <w:tcW w:w="4446" w:type="dxa"/>
            <w:shd w:val="clear" w:color="auto" w:fill="auto"/>
            <w:vAlign w:val="center"/>
          </w:tcPr>
          <w:p w14:paraId="684E573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林业防火宣传活动次数4次以上</w:t>
            </w:r>
          </w:p>
        </w:tc>
        <w:tc>
          <w:tcPr>
            <w:tcW w:w="4002" w:type="dxa"/>
            <w:shd w:val="clear" w:color="auto" w:fill="auto"/>
            <w:vAlign w:val="center"/>
          </w:tcPr>
          <w:p w14:paraId="7DD40DC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实际林业防火宣传活动次数3次</w:t>
            </w:r>
          </w:p>
        </w:tc>
        <w:tc>
          <w:tcPr>
            <w:tcW w:w="714" w:type="dxa"/>
            <w:shd w:val="clear" w:color="auto" w:fill="auto"/>
            <w:vAlign w:val="center"/>
          </w:tcPr>
          <w:p w14:paraId="6A6DA63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40BF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07BE05AE">
            <w:pPr>
              <w:widowControl/>
              <w:jc w:val="left"/>
              <w:rPr>
                <w:rFonts w:ascii="楷体_GB2312" w:hAnsi="宋体" w:eastAsia="楷体_GB2312" w:cs="宋体"/>
                <w:color w:val="000000"/>
                <w:kern w:val="0"/>
                <w:sz w:val="22"/>
              </w:rPr>
            </w:pPr>
          </w:p>
        </w:tc>
        <w:tc>
          <w:tcPr>
            <w:tcW w:w="1328" w:type="dxa"/>
            <w:vMerge w:val="restart"/>
            <w:shd w:val="clear" w:color="auto" w:fill="auto"/>
            <w:vAlign w:val="center"/>
          </w:tcPr>
          <w:p w14:paraId="75FCECF1">
            <w:pPr>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质量指标（15分）</w:t>
            </w:r>
          </w:p>
        </w:tc>
        <w:tc>
          <w:tcPr>
            <w:tcW w:w="2385" w:type="dxa"/>
            <w:shd w:val="clear" w:color="auto" w:fill="auto"/>
            <w:vAlign w:val="center"/>
          </w:tcPr>
          <w:p w14:paraId="4708F2CE">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管理覆盖率（5分）</w:t>
            </w:r>
          </w:p>
        </w:tc>
        <w:tc>
          <w:tcPr>
            <w:tcW w:w="4446" w:type="dxa"/>
            <w:shd w:val="clear" w:color="auto" w:fill="auto"/>
            <w:vAlign w:val="center"/>
          </w:tcPr>
          <w:p w14:paraId="41D36800">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管理服务对象应覆盖所有管理服务对象人员</w:t>
            </w:r>
          </w:p>
        </w:tc>
        <w:tc>
          <w:tcPr>
            <w:tcW w:w="4002" w:type="dxa"/>
            <w:shd w:val="clear" w:color="auto" w:fill="auto"/>
            <w:vAlign w:val="center"/>
          </w:tcPr>
          <w:p w14:paraId="4B20B33A">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586C7DA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7FCB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79491C54">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213C44A6">
            <w:pPr>
              <w:jc w:val="center"/>
              <w:rPr>
                <w:rFonts w:hint="eastAsia" w:ascii="楷体_GB2312" w:hAnsi="宋体" w:eastAsia="楷体_GB2312" w:cs="宋体"/>
                <w:color w:val="000000"/>
                <w:kern w:val="0"/>
                <w:sz w:val="22"/>
              </w:rPr>
            </w:pPr>
          </w:p>
        </w:tc>
        <w:tc>
          <w:tcPr>
            <w:tcW w:w="2385" w:type="dxa"/>
            <w:shd w:val="clear" w:color="auto" w:fill="auto"/>
            <w:vAlign w:val="center"/>
          </w:tcPr>
          <w:p w14:paraId="6BEACB34">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案情处置率（5分）</w:t>
            </w:r>
          </w:p>
        </w:tc>
        <w:tc>
          <w:tcPr>
            <w:tcW w:w="4446" w:type="dxa"/>
            <w:shd w:val="clear" w:color="auto" w:fill="auto"/>
            <w:vAlign w:val="center"/>
          </w:tcPr>
          <w:p w14:paraId="5D9CCC99">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所有案情均应在发生后及时处置和上报</w:t>
            </w:r>
          </w:p>
        </w:tc>
        <w:tc>
          <w:tcPr>
            <w:tcW w:w="4002" w:type="dxa"/>
            <w:shd w:val="clear" w:color="auto" w:fill="auto"/>
            <w:vAlign w:val="center"/>
          </w:tcPr>
          <w:p w14:paraId="4A5C4B40">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56B89FB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7949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15DAC38A">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6BC081C4">
            <w:pPr>
              <w:widowControl/>
              <w:jc w:val="center"/>
              <w:rPr>
                <w:rFonts w:ascii="楷体_GB2312" w:hAnsi="宋体" w:eastAsia="楷体_GB2312" w:cs="宋体"/>
                <w:color w:val="000000"/>
                <w:kern w:val="0"/>
                <w:sz w:val="22"/>
              </w:rPr>
            </w:pPr>
          </w:p>
        </w:tc>
        <w:tc>
          <w:tcPr>
            <w:tcW w:w="2385" w:type="dxa"/>
            <w:shd w:val="clear" w:color="auto" w:fill="auto"/>
            <w:vAlign w:val="center"/>
          </w:tcPr>
          <w:p w14:paraId="3383D51E">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抽查合格率（5分）</w:t>
            </w:r>
          </w:p>
        </w:tc>
        <w:tc>
          <w:tcPr>
            <w:tcW w:w="4446" w:type="dxa"/>
            <w:shd w:val="clear" w:color="auto" w:fill="auto"/>
            <w:vAlign w:val="center"/>
          </w:tcPr>
          <w:p w14:paraId="5B81A4B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抽检合格率应达到95以上</w:t>
            </w:r>
          </w:p>
        </w:tc>
        <w:tc>
          <w:tcPr>
            <w:tcW w:w="4002" w:type="dxa"/>
            <w:shd w:val="clear" w:color="auto" w:fill="auto"/>
            <w:vAlign w:val="center"/>
          </w:tcPr>
          <w:p w14:paraId="6B50B40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90%</w:t>
            </w:r>
          </w:p>
        </w:tc>
        <w:tc>
          <w:tcPr>
            <w:tcW w:w="714" w:type="dxa"/>
            <w:shd w:val="clear" w:color="auto" w:fill="auto"/>
            <w:vAlign w:val="center"/>
          </w:tcPr>
          <w:p w14:paraId="2C22E47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1A7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59ADB914">
            <w:pPr>
              <w:widowControl/>
              <w:jc w:val="left"/>
              <w:rPr>
                <w:rFonts w:ascii="楷体_GB2312" w:hAnsi="宋体" w:eastAsia="楷体_GB2312" w:cs="宋体"/>
                <w:color w:val="000000"/>
                <w:kern w:val="0"/>
                <w:sz w:val="22"/>
              </w:rPr>
            </w:pPr>
          </w:p>
        </w:tc>
        <w:tc>
          <w:tcPr>
            <w:tcW w:w="1328" w:type="dxa"/>
            <w:shd w:val="clear" w:color="auto" w:fill="auto"/>
            <w:vAlign w:val="center"/>
          </w:tcPr>
          <w:p w14:paraId="34B3598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（5分）</w:t>
            </w:r>
          </w:p>
        </w:tc>
        <w:tc>
          <w:tcPr>
            <w:tcW w:w="2385" w:type="dxa"/>
            <w:shd w:val="clear" w:color="auto" w:fill="auto"/>
            <w:vAlign w:val="center"/>
          </w:tcPr>
          <w:p w14:paraId="36C0226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完成及时率（5分）</w:t>
            </w:r>
          </w:p>
        </w:tc>
        <w:tc>
          <w:tcPr>
            <w:tcW w:w="4446" w:type="dxa"/>
            <w:shd w:val="clear" w:color="auto" w:fill="auto"/>
            <w:vAlign w:val="center"/>
          </w:tcPr>
          <w:p w14:paraId="30A43F6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项目完成及时性达到100%</w:t>
            </w:r>
          </w:p>
        </w:tc>
        <w:tc>
          <w:tcPr>
            <w:tcW w:w="4002" w:type="dxa"/>
            <w:shd w:val="clear" w:color="auto" w:fill="auto"/>
            <w:vAlign w:val="center"/>
          </w:tcPr>
          <w:p w14:paraId="1A733AC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林业项目完成率90%</w:t>
            </w:r>
          </w:p>
        </w:tc>
        <w:tc>
          <w:tcPr>
            <w:tcW w:w="714" w:type="dxa"/>
            <w:shd w:val="clear" w:color="auto" w:fill="auto"/>
            <w:vAlign w:val="center"/>
          </w:tcPr>
          <w:p w14:paraId="0FEA24D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74F8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129CCAA2">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14" w:type="dxa"/>
            <w:shd w:val="clear" w:color="auto" w:fill="auto"/>
            <w:vAlign w:val="center"/>
          </w:tcPr>
          <w:p w14:paraId="26A9AB33">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26</w:t>
            </w:r>
          </w:p>
        </w:tc>
      </w:tr>
      <w:tr w14:paraId="70B0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112" w:type="dxa"/>
            <w:vMerge w:val="restart"/>
            <w:shd w:val="clear" w:color="auto" w:fill="auto"/>
            <w:vAlign w:val="center"/>
          </w:tcPr>
          <w:p w14:paraId="5B20F02C">
            <w:pPr>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1328" w:type="dxa"/>
            <w:shd w:val="clear" w:color="auto" w:fill="auto"/>
            <w:vAlign w:val="center"/>
          </w:tcPr>
          <w:p w14:paraId="7873F95E">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经济效益指标(5分)</w:t>
            </w:r>
          </w:p>
        </w:tc>
        <w:tc>
          <w:tcPr>
            <w:tcW w:w="2385" w:type="dxa"/>
            <w:shd w:val="clear" w:color="auto" w:fill="auto"/>
            <w:vAlign w:val="center"/>
          </w:tcPr>
          <w:p w14:paraId="6AA25A1E">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对农村经济发展的促进情况(5分)</w:t>
            </w:r>
          </w:p>
        </w:tc>
        <w:tc>
          <w:tcPr>
            <w:tcW w:w="4446" w:type="dxa"/>
            <w:shd w:val="clear" w:color="auto" w:fill="auto"/>
            <w:vAlign w:val="center"/>
          </w:tcPr>
          <w:p w14:paraId="108B4763">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从促进农村经济有序发展和减少经济损失两个方面进行考核。</w:t>
            </w:r>
          </w:p>
        </w:tc>
        <w:tc>
          <w:tcPr>
            <w:tcW w:w="4002" w:type="dxa"/>
            <w:shd w:val="clear" w:color="auto" w:fill="auto"/>
            <w:vAlign w:val="center"/>
          </w:tcPr>
          <w:p w14:paraId="312F5E41">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促进农村经济稳步增长，减少农民经济损失</w:t>
            </w:r>
          </w:p>
        </w:tc>
        <w:tc>
          <w:tcPr>
            <w:tcW w:w="714" w:type="dxa"/>
            <w:shd w:val="clear" w:color="auto" w:fill="auto"/>
            <w:vAlign w:val="center"/>
          </w:tcPr>
          <w:p w14:paraId="1C038309">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5506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12" w:type="dxa"/>
            <w:vMerge w:val="continue"/>
            <w:shd w:val="clear" w:color="auto" w:fill="auto"/>
            <w:vAlign w:val="center"/>
          </w:tcPr>
          <w:p w14:paraId="5B7E23D2">
            <w:pPr>
              <w:widowControl/>
              <w:jc w:val="center"/>
              <w:rPr>
                <w:rFonts w:ascii="楷体_GB2312" w:hAnsi="宋体" w:eastAsia="楷体_GB2312" w:cs="宋体"/>
                <w:color w:val="000000"/>
                <w:kern w:val="0"/>
                <w:sz w:val="22"/>
              </w:rPr>
            </w:pPr>
          </w:p>
        </w:tc>
        <w:tc>
          <w:tcPr>
            <w:tcW w:w="1328" w:type="dxa"/>
            <w:vMerge w:val="restart"/>
            <w:shd w:val="clear" w:color="auto" w:fill="auto"/>
            <w:vAlign w:val="center"/>
          </w:tcPr>
          <w:p w14:paraId="14F1F7C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社会效益指标（10分）</w:t>
            </w:r>
          </w:p>
        </w:tc>
        <w:tc>
          <w:tcPr>
            <w:tcW w:w="2385" w:type="dxa"/>
            <w:shd w:val="clear" w:color="auto" w:fill="auto"/>
            <w:vAlign w:val="center"/>
          </w:tcPr>
          <w:p w14:paraId="5467C65B">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改善群众生活质量的改善情况（5分）</w:t>
            </w:r>
          </w:p>
        </w:tc>
        <w:tc>
          <w:tcPr>
            <w:tcW w:w="4446" w:type="dxa"/>
            <w:shd w:val="clear" w:color="auto" w:fill="auto"/>
            <w:vAlign w:val="center"/>
          </w:tcPr>
          <w:p w14:paraId="78E17079">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从农产品安全进入市场和农产品质量提高两个方面进行考核。</w:t>
            </w:r>
          </w:p>
        </w:tc>
        <w:tc>
          <w:tcPr>
            <w:tcW w:w="4002" w:type="dxa"/>
            <w:shd w:val="clear" w:color="auto" w:fill="auto"/>
            <w:vAlign w:val="center"/>
          </w:tcPr>
          <w:p w14:paraId="06068291">
            <w:pPr>
              <w:widowControl/>
              <w:jc w:val="left"/>
              <w:rPr>
                <w:rFonts w:ascii="楷体_GB2312" w:hAnsi="宋体" w:eastAsia="楷体_GB2312" w:cs="宋体"/>
                <w:color w:val="000000"/>
                <w:kern w:val="0"/>
                <w:sz w:val="22"/>
              </w:rPr>
            </w:pPr>
            <w:r>
              <w:rPr>
                <w:rFonts w:ascii="楷体_GB2312" w:hAnsi="宋体" w:eastAsia="楷体_GB2312" w:cs="宋体"/>
                <w:color w:val="000000"/>
                <w:kern w:val="0"/>
                <w:sz w:val="22"/>
              </w:rPr>
              <w:t>居民的生活质量特别是健康状况随着农产品的质量和安全提高得到改善</w:t>
            </w:r>
            <w:r>
              <w:rPr>
                <w:rFonts w:hint="eastAsia" w:ascii="楷体_GB2312" w:hAnsi="宋体" w:eastAsia="楷体_GB2312" w:cs="宋体"/>
                <w:color w:val="000000"/>
                <w:kern w:val="0"/>
                <w:sz w:val="22"/>
              </w:rPr>
              <w:t>。</w:t>
            </w:r>
          </w:p>
        </w:tc>
        <w:tc>
          <w:tcPr>
            <w:tcW w:w="714" w:type="dxa"/>
            <w:shd w:val="clear" w:color="auto" w:fill="auto"/>
            <w:vAlign w:val="center"/>
          </w:tcPr>
          <w:p w14:paraId="3EA052A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5422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112" w:type="dxa"/>
            <w:vMerge w:val="continue"/>
            <w:shd w:val="clear" w:color="auto" w:fill="auto"/>
            <w:vAlign w:val="center"/>
          </w:tcPr>
          <w:p w14:paraId="21864DA9">
            <w:pPr>
              <w:widowControl/>
              <w:jc w:val="center"/>
              <w:rPr>
                <w:rFonts w:hint="eastAsia" w:ascii="楷体_GB2312" w:hAnsi="宋体" w:eastAsia="楷体_GB2312" w:cs="宋体"/>
                <w:color w:val="000000"/>
                <w:kern w:val="0"/>
                <w:sz w:val="22"/>
              </w:rPr>
            </w:pPr>
          </w:p>
        </w:tc>
        <w:tc>
          <w:tcPr>
            <w:tcW w:w="1328" w:type="dxa"/>
            <w:vMerge w:val="continue"/>
            <w:shd w:val="clear" w:color="auto" w:fill="auto"/>
            <w:vAlign w:val="center"/>
          </w:tcPr>
          <w:p w14:paraId="3BF043E9">
            <w:pPr>
              <w:widowControl/>
              <w:jc w:val="center"/>
              <w:rPr>
                <w:rFonts w:hint="eastAsia" w:ascii="楷体_GB2312" w:hAnsi="宋体" w:eastAsia="楷体_GB2312" w:cs="宋体"/>
                <w:color w:val="000000"/>
                <w:kern w:val="0"/>
                <w:sz w:val="22"/>
              </w:rPr>
            </w:pPr>
          </w:p>
        </w:tc>
        <w:tc>
          <w:tcPr>
            <w:tcW w:w="2385" w:type="dxa"/>
            <w:shd w:val="clear" w:color="auto" w:fill="auto"/>
            <w:vAlign w:val="center"/>
          </w:tcPr>
          <w:p w14:paraId="2149F95F">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居民人身和财产安全的保障情况（5分）</w:t>
            </w:r>
          </w:p>
        </w:tc>
        <w:tc>
          <w:tcPr>
            <w:tcW w:w="4446" w:type="dxa"/>
            <w:shd w:val="clear" w:color="auto" w:fill="auto"/>
            <w:vAlign w:val="center"/>
          </w:tcPr>
          <w:p w14:paraId="031FCCFB">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从预防效果和直接挽回经济损失比率两方面进行评价</w:t>
            </w:r>
          </w:p>
        </w:tc>
        <w:tc>
          <w:tcPr>
            <w:tcW w:w="4002" w:type="dxa"/>
            <w:shd w:val="clear" w:color="auto" w:fill="auto"/>
            <w:vAlign w:val="center"/>
          </w:tcPr>
          <w:p w14:paraId="70CF36F7">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控制重大动物疫病的发生和传播得到有效控制；控制已发火情，直接挽回经济损失60%</w:t>
            </w:r>
          </w:p>
        </w:tc>
        <w:tc>
          <w:tcPr>
            <w:tcW w:w="714" w:type="dxa"/>
            <w:shd w:val="clear" w:color="auto" w:fill="auto"/>
            <w:vAlign w:val="center"/>
          </w:tcPr>
          <w:p w14:paraId="0C55E38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195B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12" w:type="dxa"/>
            <w:vMerge w:val="continue"/>
            <w:shd w:val="clear" w:color="auto" w:fill="auto"/>
            <w:vAlign w:val="center"/>
          </w:tcPr>
          <w:p w14:paraId="2B5F07D6">
            <w:pPr>
              <w:widowControl/>
              <w:jc w:val="left"/>
              <w:rPr>
                <w:rFonts w:ascii="楷体_GB2312" w:hAnsi="宋体" w:eastAsia="楷体_GB2312" w:cs="宋体"/>
                <w:color w:val="000000"/>
                <w:kern w:val="0"/>
                <w:sz w:val="22"/>
              </w:rPr>
            </w:pPr>
          </w:p>
        </w:tc>
        <w:tc>
          <w:tcPr>
            <w:tcW w:w="1328" w:type="dxa"/>
            <w:shd w:val="clear" w:color="auto" w:fill="auto"/>
            <w:vAlign w:val="center"/>
          </w:tcPr>
          <w:p w14:paraId="3894BCFE">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环境效益指标(5分)</w:t>
            </w:r>
          </w:p>
        </w:tc>
        <w:tc>
          <w:tcPr>
            <w:tcW w:w="2385" w:type="dxa"/>
            <w:shd w:val="clear" w:color="auto" w:fill="auto"/>
            <w:vAlign w:val="center"/>
          </w:tcPr>
          <w:p w14:paraId="2F3097EE">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 xml:space="preserve"> 生态效益指标(5分)</w:t>
            </w:r>
          </w:p>
        </w:tc>
        <w:tc>
          <w:tcPr>
            <w:tcW w:w="4446" w:type="dxa"/>
            <w:shd w:val="clear" w:color="auto" w:fill="auto"/>
            <w:vAlign w:val="center"/>
          </w:tcPr>
          <w:p w14:paraId="5C7F5D39">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对农村生态环境的影响</w:t>
            </w:r>
          </w:p>
        </w:tc>
        <w:tc>
          <w:tcPr>
            <w:tcW w:w="4002" w:type="dxa"/>
            <w:shd w:val="clear" w:color="auto" w:fill="auto"/>
            <w:vAlign w:val="center"/>
          </w:tcPr>
          <w:p w14:paraId="22472C65">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促进无公害农产品发展，为生物的生存提供安全的环境，减少环境破坏。</w:t>
            </w:r>
          </w:p>
        </w:tc>
        <w:tc>
          <w:tcPr>
            <w:tcW w:w="714" w:type="dxa"/>
            <w:shd w:val="clear" w:color="auto" w:fill="auto"/>
            <w:vAlign w:val="center"/>
          </w:tcPr>
          <w:p w14:paraId="57D4B431">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7626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12" w:type="dxa"/>
            <w:vMerge w:val="continue"/>
            <w:shd w:val="clear" w:color="auto" w:fill="auto"/>
            <w:vAlign w:val="center"/>
          </w:tcPr>
          <w:p w14:paraId="00416B72">
            <w:pPr>
              <w:widowControl/>
              <w:jc w:val="left"/>
              <w:rPr>
                <w:rFonts w:ascii="楷体_GB2312" w:hAnsi="宋体" w:eastAsia="楷体_GB2312" w:cs="宋体"/>
                <w:color w:val="000000"/>
                <w:kern w:val="0"/>
                <w:sz w:val="22"/>
              </w:rPr>
            </w:pPr>
          </w:p>
        </w:tc>
        <w:tc>
          <w:tcPr>
            <w:tcW w:w="1328" w:type="dxa"/>
            <w:shd w:val="clear" w:color="auto" w:fill="auto"/>
            <w:vAlign w:val="center"/>
          </w:tcPr>
          <w:p w14:paraId="534A8B6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可持续影响指标(5分)</w:t>
            </w:r>
          </w:p>
        </w:tc>
        <w:tc>
          <w:tcPr>
            <w:tcW w:w="2385" w:type="dxa"/>
            <w:shd w:val="clear" w:color="auto" w:fill="auto"/>
            <w:vAlign w:val="center"/>
          </w:tcPr>
          <w:p w14:paraId="62F353E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可持续影响指标（5分）</w:t>
            </w:r>
          </w:p>
        </w:tc>
        <w:tc>
          <w:tcPr>
            <w:tcW w:w="4446" w:type="dxa"/>
            <w:shd w:val="clear" w:color="auto" w:fill="auto"/>
            <w:vAlign w:val="center"/>
          </w:tcPr>
          <w:p w14:paraId="0603C4B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项目持续发挥作用</w:t>
            </w:r>
          </w:p>
        </w:tc>
        <w:tc>
          <w:tcPr>
            <w:tcW w:w="4002" w:type="dxa"/>
            <w:shd w:val="clear" w:color="auto" w:fill="auto"/>
            <w:vAlign w:val="center"/>
          </w:tcPr>
          <w:p w14:paraId="1246725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保障畜禽养殖业健康发展，建立良好的耕种环境，避免和减少灾情损失，有利于农业可持续发展</w:t>
            </w:r>
          </w:p>
        </w:tc>
        <w:tc>
          <w:tcPr>
            <w:tcW w:w="714" w:type="dxa"/>
            <w:shd w:val="clear" w:color="auto" w:fill="auto"/>
            <w:vAlign w:val="center"/>
          </w:tcPr>
          <w:p w14:paraId="6E390BD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42A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2" w:type="dxa"/>
            <w:vMerge w:val="continue"/>
            <w:shd w:val="clear" w:color="auto" w:fill="auto"/>
            <w:vAlign w:val="center"/>
          </w:tcPr>
          <w:p w14:paraId="5E567374">
            <w:pPr>
              <w:widowControl/>
              <w:jc w:val="left"/>
              <w:rPr>
                <w:rFonts w:ascii="楷体_GB2312" w:hAnsi="宋体" w:eastAsia="楷体_GB2312" w:cs="宋体"/>
                <w:color w:val="000000"/>
                <w:kern w:val="0"/>
                <w:sz w:val="22"/>
              </w:rPr>
            </w:pPr>
          </w:p>
        </w:tc>
        <w:tc>
          <w:tcPr>
            <w:tcW w:w="1328" w:type="dxa"/>
            <w:shd w:val="clear" w:color="auto" w:fill="auto"/>
            <w:vAlign w:val="center"/>
          </w:tcPr>
          <w:p w14:paraId="7B8888F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服务对象满意度指标 （5分）</w:t>
            </w:r>
          </w:p>
        </w:tc>
        <w:tc>
          <w:tcPr>
            <w:tcW w:w="2385" w:type="dxa"/>
            <w:shd w:val="clear" w:color="auto" w:fill="auto"/>
            <w:vAlign w:val="center"/>
          </w:tcPr>
          <w:p w14:paraId="77B15B2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社会公众或服务对象满意度指标（5分）</w:t>
            </w:r>
          </w:p>
        </w:tc>
        <w:tc>
          <w:tcPr>
            <w:tcW w:w="4446" w:type="dxa"/>
            <w:shd w:val="clear" w:color="auto" w:fill="auto"/>
            <w:vAlign w:val="center"/>
          </w:tcPr>
          <w:p w14:paraId="4D28FBA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社会公众或服务对象满意度达到90%以上</w:t>
            </w:r>
          </w:p>
        </w:tc>
        <w:tc>
          <w:tcPr>
            <w:tcW w:w="4002" w:type="dxa"/>
            <w:shd w:val="clear" w:color="auto" w:fill="auto"/>
            <w:vAlign w:val="center"/>
          </w:tcPr>
          <w:p w14:paraId="75EC10A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 xml:space="preserve">社区居民满意度90%，林业主管部门满意度100% </w:t>
            </w:r>
          </w:p>
        </w:tc>
        <w:tc>
          <w:tcPr>
            <w:tcW w:w="714" w:type="dxa"/>
            <w:shd w:val="clear" w:color="auto" w:fill="auto"/>
            <w:vAlign w:val="center"/>
          </w:tcPr>
          <w:p w14:paraId="0ABDE9D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FA9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2B307A1C">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14" w:type="dxa"/>
            <w:shd w:val="clear" w:color="auto" w:fill="auto"/>
            <w:vAlign w:val="center"/>
          </w:tcPr>
          <w:p w14:paraId="2A193438">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25</w:t>
            </w:r>
          </w:p>
        </w:tc>
      </w:tr>
      <w:tr w14:paraId="49EC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47BB4545">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14" w:type="dxa"/>
            <w:shd w:val="clear" w:color="auto" w:fill="auto"/>
            <w:vAlign w:val="center"/>
          </w:tcPr>
          <w:p w14:paraId="1CB9C327">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89</w:t>
            </w:r>
          </w:p>
        </w:tc>
      </w:tr>
    </w:tbl>
    <w:p w14:paraId="708A4B99">
      <w:pPr>
        <w:spacing w:line="360" w:lineRule="auto"/>
        <w:rPr>
          <w:rFonts w:hint="eastAsia" w:ascii="楷体_GB2312" w:eastAsia="楷体_GB2312"/>
          <w:sz w:val="28"/>
        </w:rPr>
      </w:pPr>
    </w:p>
    <w:p w14:paraId="63C4B62B">
      <w:pPr>
        <w:spacing w:line="360" w:lineRule="auto"/>
        <w:ind w:firstLine="560" w:firstLineChars="200"/>
        <w:rPr>
          <w:sz w:val="28"/>
        </w:rPr>
        <w:sectPr>
          <w:pgSz w:w="16838" w:h="11906" w:orient="landscape"/>
          <w:pgMar w:top="1800" w:right="1440" w:bottom="1800" w:left="1440" w:header="851" w:footer="992" w:gutter="0"/>
          <w:cols w:space="425" w:num="1"/>
          <w:docGrid w:type="lines" w:linePitch="312" w:charSpace="0"/>
        </w:sectPr>
      </w:pPr>
    </w:p>
    <w:p w14:paraId="0A456103">
      <w:pPr>
        <w:spacing w:line="360" w:lineRule="auto"/>
        <w:ind w:firstLine="560" w:firstLineChars="200"/>
        <w:rPr>
          <w:sz w:val="28"/>
        </w:rPr>
      </w:pPr>
      <w:r>
        <w:rPr>
          <w:rFonts w:hint="eastAsia"/>
          <w:sz w:val="28"/>
        </w:rPr>
        <w:t>1．产出目标</w:t>
      </w:r>
    </w:p>
    <w:p w14:paraId="0AFB0DDB">
      <w:pPr>
        <w:spacing w:line="360" w:lineRule="auto"/>
        <w:ind w:firstLine="560" w:firstLineChars="200"/>
        <w:rPr>
          <w:rFonts w:hint="eastAsia"/>
          <w:sz w:val="28"/>
        </w:rPr>
      </w:pPr>
      <w:r>
        <w:rPr>
          <w:rFonts w:hint="eastAsia"/>
          <w:sz w:val="28"/>
        </w:rPr>
        <w:t>（1）数量指标</w:t>
      </w:r>
    </w:p>
    <w:p w14:paraId="3866340B">
      <w:pPr>
        <w:spacing w:line="360" w:lineRule="auto"/>
        <w:ind w:firstLine="560" w:firstLineChars="200"/>
        <w:rPr>
          <w:rFonts w:hint="eastAsia"/>
          <w:sz w:val="28"/>
        </w:rPr>
      </w:pPr>
      <w:r>
        <w:rPr>
          <w:rFonts w:hint="eastAsia"/>
          <w:sz w:val="28"/>
        </w:rPr>
        <w:t>数量指标中，农林水专项工作各项基础管理项目完成率达到了100%，包括护林员巡视天数、无公害处置病虫害树木棵数、森林火灾过火面积和抽检次数等；在宣传活动次数方面，防火宣传活动次数3次，未达到一年4次的要求，建议增加宣传活动次数，提高居民防火防灾意识，更有利于林业防火工作的开展。</w:t>
      </w:r>
    </w:p>
    <w:p w14:paraId="671FEE7D">
      <w:pPr>
        <w:spacing w:line="360" w:lineRule="auto"/>
        <w:ind w:firstLine="560" w:firstLineChars="200"/>
        <w:rPr>
          <w:rFonts w:hint="eastAsia"/>
          <w:sz w:val="28"/>
        </w:rPr>
      </w:pPr>
      <w:r>
        <w:rPr>
          <w:rFonts w:hint="eastAsia"/>
          <w:sz w:val="28"/>
        </w:rPr>
        <w:t>（2）质量指标</w:t>
      </w:r>
    </w:p>
    <w:p w14:paraId="47E14F86">
      <w:pPr>
        <w:spacing w:line="360" w:lineRule="auto"/>
        <w:ind w:firstLine="560" w:firstLineChars="200"/>
        <w:rPr>
          <w:rFonts w:hint="eastAsia"/>
          <w:sz w:val="28"/>
        </w:rPr>
      </w:pPr>
      <w:r>
        <w:rPr>
          <w:rFonts w:hint="eastAsia"/>
          <w:sz w:val="28"/>
        </w:rPr>
        <w:t>管理覆盖率（按实际管理对象数量/计划管理对象数量×</w:t>
      </w:r>
      <w:r>
        <w:rPr>
          <w:sz w:val="28"/>
        </w:rPr>
        <w:t>100%</w:t>
      </w:r>
      <w:r>
        <w:rPr>
          <w:rFonts w:hint="eastAsia"/>
          <w:sz w:val="28"/>
        </w:rPr>
        <w:t>）、案情处置率（按实际案情处置数/本年度案情发生数×</w:t>
      </w:r>
      <w:r>
        <w:rPr>
          <w:sz w:val="28"/>
        </w:rPr>
        <w:t>100%</w:t>
      </w:r>
      <w:r>
        <w:rPr>
          <w:rFonts w:hint="eastAsia"/>
          <w:sz w:val="28"/>
        </w:rPr>
        <w:t>）均达到100%，覆盖了所有计划管理服务的对象，处置了本年度发生的所有案情；但抽查合格率（按抽检合格数/抽查总数×</w:t>
      </w:r>
      <w:r>
        <w:rPr>
          <w:sz w:val="28"/>
        </w:rPr>
        <w:t>100%</w:t>
      </w:r>
      <w:r>
        <w:rPr>
          <w:rFonts w:hint="eastAsia"/>
          <w:sz w:val="28"/>
        </w:rPr>
        <w:t>）仅90%，表现为瓜果菜合格率，说明农产品质量和安全水平仍有进步空间。</w:t>
      </w:r>
    </w:p>
    <w:p w14:paraId="042B2DAA">
      <w:pPr>
        <w:spacing w:line="360" w:lineRule="auto"/>
        <w:ind w:firstLine="560" w:firstLineChars="200"/>
        <w:rPr>
          <w:rFonts w:hint="eastAsia"/>
          <w:sz w:val="28"/>
        </w:rPr>
      </w:pPr>
      <w:r>
        <w:rPr>
          <w:rFonts w:hint="eastAsia"/>
          <w:sz w:val="28"/>
        </w:rPr>
        <w:t>（3）时效指标</w:t>
      </w:r>
    </w:p>
    <w:p w14:paraId="1A6088FC">
      <w:pPr>
        <w:spacing w:line="360" w:lineRule="auto"/>
        <w:ind w:firstLine="560" w:firstLineChars="200"/>
        <w:rPr>
          <w:rFonts w:hint="eastAsia"/>
          <w:sz w:val="28"/>
        </w:rPr>
      </w:pPr>
      <w:r>
        <w:rPr>
          <w:rFonts w:hint="eastAsia"/>
          <w:sz w:val="28"/>
        </w:rPr>
        <w:t>通过查看活动举办记录，防火宣传活动举办频次较均匀；通过访谈部分农户，对困难农户的帮扶较为及时，但林业项目计划进度完成率项仅90% 。</w:t>
      </w:r>
    </w:p>
    <w:p w14:paraId="70C5800E">
      <w:pPr>
        <w:spacing w:line="360" w:lineRule="auto"/>
        <w:ind w:firstLine="560" w:firstLineChars="200"/>
        <w:rPr>
          <w:sz w:val="28"/>
        </w:rPr>
      </w:pPr>
      <w:r>
        <w:rPr>
          <w:rFonts w:hint="eastAsia"/>
          <w:sz w:val="28"/>
        </w:rPr>
        <w:t>2．效果目标</w:t>
      </w:r>
    </w:p>
    <w:p w14:paraId="21716B81">
      <w:pPr>
        <w:spacing w:line="360" w:lineRule="auto"/>
        <w:ind w:firstLine="560" w:firstLineChars="200"/>
        <w:rPr>
          <w:rFonts w:hint="eastAsia"/>
          <w:sz w:val="28"/>
        </w:rPr>
      </w:pPr>
      <w:r>
        <w:rPr>
          <w:rFonts w:hint="eastAsia"/>
          <w:sz w:val="28"/>
        </w:rPr>
        <w:t>（1）经济效益指标</w:t>
      </w:r>
    </w:p>
    <w:p w14:paraId="43ACF72C">
      <w:pPr>
        <w:spacing w:line="360" w:lineRule="auto"/>
        <w:ind w:firstLine="560" w:firstLineChars="200"/>
        <w:rPr>
          <w:rFonts w:hint="eastAsia"/>
          <w:sz w:val="28"/>
        </w:rPr>
      </w:pPr>
      <w:r>
        <w:rPr>
          <w:rFonts w:hint="eastAsia"/>
          <w:sz w:val="28"/>
        </w:rPr>
        <w:t>经济效益的总体指标是促进农村经济有序发展和减少农户、居民直接经济损失，通过分析该指标基本完成，但农村经济发展的相关指标需要进行长期的记录和跟踪才能更好反映该专项工作的经济效益。</w:t>
      </w:r>
    </w:p>
    <w:p w14:paraId="6F8205AC">
      <w:pPr>
        <w:spacing w:line="360" w:lineRule="auto"/>
        <w:ind w:firstLine="560" w:firstLineChars="200"/>
        <w:rPr>
          <w:rFonts w:hint="eastAsia"/>
          <w:sz w:val="28"/>
        </w:rPr>
      </w:pPr>
      <w:r>
        <w:rPr>
          <w:rFonts w:hint="eastAsia"/>
          <w:sz w:val="28"/>
        </w:rPr>
        <w:t>（2）社会效益指标</w:t>
      </w:r>
    </w:p>
    <w:p w14:paraId="0A60E10C">
      <w:pPr>
        <w:spacing w:line="360" w:lineRule="auto"/>
        <w:ind w:firstLine="560" w:firstLineChars="200"/>
        <w:rPr>
          <w:rFonts w:hint="eastAsia"/>
          <w:sz w:val="28"/>
        </w:rPr>
      </w:pPr>
      <w:r>
        <w:rPr>
          <w:rFonts w:hint="eastAsia"/>
          <w:sz w:val="28"/>
        </w:rPr>
        <w:t>总体来看，项目产生了良好的社会效益，提升了农户的幸福感，有利于农村“三个文明”的建设。一是通过保障农产品的质量和安全，提高了社区居民的生活质量特别是健康水平；二是通过对动物疫情和病虫害的防控、林区火情的控制和防汛抗旱工作的落实，保障了居民的人身安全和财产安全，尤其是农户的农业财产安全和国家的林业资源安全。</w:t>
      </w:r>
    </w:p>
    <w:p w14:paraId="0E99E5E9">
      <w:pPr>
        <w:spacing w:line="360" w:lineRule="auto"/>
        <w:ind w:firstLine="560" w:firstLineChars="200"/>
        <w:rPr>
          <w:rFonts w:hint="eastAsia"/>
          <w:sz w:val="28"/>
        </w:rPr>
      </w:pPr>
      <w:r>
        <w:rPr>
          <w:rFonts w:hint="eastAsia"/>
          <w:sz w:val="28"/>
        </w:rPr>
        <w:t>（3）环境效益指标</w:t>
      </w:r>
    </w:p>
    <w:p w14:paraId="7981FFE5">
      <w:pPr>
        <w:spacing w:line="360" w:lineRule="auto"/>
        <w:ind w:firstLine="560" w:firstLineChars="200"/>
        <w:rPr>
          <w:rFonts w:hint="eastAsia"/>
          <w:sz w:val="28"/>
        </w:rPr>
      </w:pPr>
      <w:r>
        <w:rPr>
          <w:rFonts w:hint="eastAsia"/>
          <w:sz w:val="28"/>
        </w:rPr>
        <w:t>农林水专项工作对环境带来的效益主要体现在生态环境上，一方面是农业生态环境的改善，控制重大动物疫病的发生和传播；另一方面是林业生态环境的改善，无公害处置病虫害树木，预防并减少森林火灾。</w:t>
      </w:r>
    </w:p>
    <w:p w14:paraId="0E131873">
      <w:pPr>
        <w:spacing w:line="360" w:lineRule="auto"/>
        <w:ind w:firstLine="560" w:firstLineChars="200"/>
        <w:rPr>
          <w:rFonts w:hint="eastAsia"/>
          <w:sz w:val="28"/>
        </w:rPr>
      </w:pPr>
      <w:r>
        <w:rPr>
          <w:rFonts w:hint="eastAsia"/>
          <w:sz w:val="28"/>
        </w:rPr>
        <w:t>（4）可持续影响指标</w:t>
      </w:r>
    </w:p>
    <w:p w14:paraId="7660B152">
      <w:pPr>
        <w:spacing w:line="360" w:lineRule="auto"/>
        <w:ind w:firstLine="560" w:firstLineChars="200"/>
        <w:rPr>
          <w:rFonts w:hint="eastAsia"/>
          <w:sz w:val="28"/>
        </w:rPr>
      </w:pPr>
      <w:r>
        <w:rPr>
          <w:rFonts w:hint="eastAsia"/>
          <w:sz w:val="28"/>
        </w:rPr>
        <w:t>从群众的反馈情况来看，项目宣传和治理工作方面取得了一定成效，例如对农业技术的推广使受益人群更加广泛，林业防火减灾宣传提高了居民和农户的防护意识，使农业生产得以有序进行。农林水专项工作应以持续不断地完善农林水专项工作体系为目标。</w:t>
      </w:r>
    </w:p>
    <w:p w14:paraId="55CAFB56">
      <w:pPr>
        <w:spacing w:line="360" w:lineRule="auto"/>
        <w:ind w:firstLine="560" w:firstLineChars="200"/>
        <w:rPr>
          <w:rFonts w:hint="eastAsia"/>
          <w:sz w:val="28"/>
        </w:rPr>
      </w:pPr>
      <w:r>
        <w:rPr>
          <w:rFonts w:hint="eastAsia"/>
          <w:sz w:val="28"/>
        </w:rPr>
        <w:t>（5）社会公众或服务对象满意度指标</w:t>
      </w:r>
    </w:p>
    <w:p w14:paraId="22E2222D">
      <w:pPr>
        <w:spacing w:line="360" w:lineRule="auto"/>
        <w:ind w:firstLine="560" w:firstLineChars="200"/>
        <w:rPr>
          <w:rFonts w:hint="eastAsia"/>
          <w:sz w:val="28"/>
        </w:rPr>
      </w:pPr>
      <w:r>
        <w:rPr>
          <w:rFonts w:hint="eastAsia"/>
          <w:sz w:val="28"/>
        </w:rPr>
        <w:t>通过调查问卷统计，社会公众或服务对象满意度为90%，少数居民对农林水专项工作了解不足；根据上级工作反馈，上级主管林业部门满意度为100% 。</w:t>
      </w:r>
    </w:p>
    <w:p w14:paraId="03F52227">
      <w:pPr>
        <w:spacing w:line="360" w:lineRule="auto"/>
        <w:ind w:firstLine="560" w:firstLineChars="200"/>
        <w:rPr>
          <w:rFonts w:hint="eastAsia"/>
          <w:sz w:val="28"/>
        </w:rPr>
      </w:pPr>
    </w:p>
    <w:p w14:paraId="009299CB">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0E2CBFAE">
      <w:pPr>
        <w:spacing w:line="360" w:lineRule="auto"/>
        <w:ind w:firstLine="560" w:firstLineChars="200"/>
        <w:rPr>
          <w:sz w:val="28"/>
        </w:rPr>
      </w:pPr>
      <w:r>
        <w:rPr>
          <w:rFonts w:hint="eastAsia" w:ascii="楷体_GB2312" w:eastAsia="楷体_GB2312"/>
          <w:sz w:val="28"/>
        </w:rPr>
        <w:t>（一）自评结论</w:t>
      </w:r>
    </w:p>
    <w:p w14:paraId="5659B6C5">
      <w:pPr>
        <w:spacing w:line="360" w:lineRule="auto"/>
        <w:ind w:firstLine="560" w:firstLineChars="200"/>
        <w:rPr>
          <w:rFonts w:hint="eastAsia"/>
          <w:sz w:val="28"/>
        </w:rPr>
      </w:pPr>
      <w:r>
        <w:rPr>
          <w:rFonts w:hint="eastAsia"/>
          <w:sz w:val="28"/>
        </w:rPr>
        <w:t>“项目投入”方面，作为农林水专项经费，为确保九峰街道办事处经发办工作经费有保障，预算在2016年度基础上稍作调整，2017年预算批复金额91万元，与预算申报金额一致，实际支出金额为86.88万元，2017年实际预算执行率为95.47%，预算执行率欠佳。其中，农业项目经费中的 “农产品质量安全”经费预算批复金额为8万元，实际支出净额为3.89万元，单项预算执行率为48.63%，故“项目决投入”扣2分，得18分。</w:t>
      </w:r>
    </w:p>
    <w:p w14:paraId="1FD7C75E">
      <w:pPr>
        <w:spacing w:line="360" w:lineRule="auto"/>
        <w:ind w:firstLine="560" w:firstLineChars="200"/>
        <w:rPr>
          <w:rFonts w:hint="eastAsia"/>
          <w:sz w:val="28"/>
        </w:rPr>
      </w:pPr>
      <w:r>
        <w:rPr>
          <w:rFonts w:hint="eastAsia"/>
          <w:sz w:val="28"/>
        </w:rPr>
        <w:t>“过程管理”方面，农林水专项工作的其他基础资料完整，农林水专项工作的阶段性质量控制、工作总结、自我评价等文件齐全。在经费财务管理方面，支出内容合理，支付手续齐全，会计核算规范。因此，“过程管理”获满分20分。</w:t>
      </w:r>
    </w:p>
    <w:p w14:paraId="36954EAD">
      <w:pPr>
        <w:spacing w:line="360" w:lineRule="auto"/>
        <w:ind w:firstLine="560" w:firstLineChars="200"/>
        <w:rPr>
          <w:rFonts w:hint="eastAsia"/>
          <w:sz w:val="28"/>
        </w:rPr>
      </w:pPr>
      <w:r>
        <w:rPr>
          <w:rFonts w:hint="eastAsia"/>
          <w:sz w:val="28"/>
        </w:rPr>
        <w:t>“项目产出”方面，经发办在管理工作完成率、管理覆盖率、案情处置率上完成情况良好，均获得了5分，但在宣传活动次数和抽查合格率方面有待提高，接近目标值；在项目完成及时率方面，林业项目经费在预算批复数和决算中占农林水专项总经费比率均达到了70%以上，但林业项目经费完成率仅在90%左右，明显低于其他项目完成率，时效指标扣2分。故“项目产出”扣4分，得26分。</w:t>
      </w:r>
    </w:p>
    <w:p w14:paraId="7B5D33BE">
      <w:pPr>
        <w:spacing w:line="360" w:lineRule="auto"/>
        <w:ind w:firstLine="560" w:firstLineChars="200"/>
        <w:rPr>
          <w:rFonts w:hint="eastAsia"/>
          <w:sz w:val="28"/>
        </w:rPr>
      </w:pPr>
      <w:r>
        <w:rPr>
          <w:rFonts w:hint="eastAsia"/>
          <w:sz w:val="28"/>
        </w:rPr>
        <w:t>“项目效果”方面，经发办开展的一系列农林水专项工作均取得了良好的影响，社会公众或服务对象满意度方面最为突出，居民满意度和上级主管部门满意度均达标，得5分；受客观因素限制，经济效益指标、社会效益指标（改善群众生活质量的改善情况和居民人身和财产安全的保障情况）、环境效益指标和可持续影响指标在衡量上均缺少长期的数据统计和积累，暂无有效的短期指标进行更充分的判断，均有扣分，“项目产出”得25分。</w:t>
      </w:r>
    </w:p>
    <w:p w14:paraId="28539C31">
      <w:pPr>
        <w:spacing w:line="360" w:lineRule="auto"/>
        <w:ind w:firstLine="560" w:firstLineChars="200"/>
        <w:rPr>
          <w:rFonts w:hint="eastAsia"/>
          <w:sz w:val="28"/>
        </w:rPr>
      </w:pPr>
      <w:r>
        <w:rPr>
          <w:rFonts w:hint="eastAsia"/>
          <w:sz w:val="28"/>
        </w:rPr>
        <w:t>综上，九峰街道办事处经济发展办公室2017年“农林水专项经费”绩效自评综合得分89分，绩效评价结果为“良好”。</w:t>
      </w:r>
    </w:p>
    <w:p w14:paraId="0FE1D0F6">
      <w:pPr>
        <w:spacing w:line="360" w:lineRule="auto"/>
        <w:ind w:firstLine="560" w:firstLineChars="200"/>
        <w:rPr>
          <w:rFonts w:ascii="楷体_GB2312" w:eastAsia="楷体_GB2312"/>
          <w:sz w:val="28"/>
        </w:rPr>
      </w:pPr>
      <w:r>
        <w:rPr>
          <w:rFonts w:hint="eastAsia" w:ascii="楷体_GB2312" w:eastAsia="楷体_GB2312"/>
          <w:sz w:val="28"/>
        </w:rPr>
        <w:t>（二）主要经验，存在的问题和改进措施</w:t>
      </w:r>
    </w:p>
    <w:p w14:paraId="03508025">
      <w:pPr>
        <w:spacing w:line="360" w:lineRule="auto"/>
        <w:ind w:firstLine="560" w:firstLineChars="200"/>
        <w:rPr>
          <w:rFonts w:hint="eastAsia"/>
          <w:sz w:val="28"/>
        </w:rPr>
      </w:pPr>
      <w:r>
        <w:rPr>
          <w:rFonts w:hint="eastAsia"/>
          <w:sz w:val="28"/>
        </w:rPr>
        <w:t>1.主要经验</w:t>
      </w:r>
    </w:p>
    <w:p w14:paraId="76A94EE2">
      <w:pPr>
        <w:spacing w:line="360" w:lineRule="auto"/>
        <w:ind w:firstLine="560" w:firstLineChars="200"/>
        <w:rPr>
          <w:rFonts w:hint="eastAsia"/>
          <w:sz w:val="28"/>
        </w:rPr>
      </w:pPr>
      <w:r>
        <w:rPr>
          <w:rFonts w:hint="eastAsia"/>
          <w:sz w:val="28"/>
        </w:rPr>
        <w:t>（1）贯彻落实《农业科技成果转化与技术推广服务补助资金管理办法实施细则》，包括：提高农产品生产能力的农作物、畜禽、水产良种的繁育、改良、种植、养殖的成果与技术，提高农产品附加值的收获、初加工、保鲜、贮藏、包装的成果与技术，提高农产品质量安全、促进农业资源高效利用、减少农业生产投入品面源污染的成果与技术，提升现代农业装备和机械化水平的成果与技术等。通过投建示范性基地，以点带面，推动和推广农业科技成果的转化，真正做到发展科技创新型农业。</w:t>
      </w:r>
    </w:p>
    <w:p w14:paraId="2EEE91D1">
      <w:pPr>
        <w:spacing w:line="360" w:lineRule="auto"/>
        <w:ind w:firstLine="560" w:firstLineChars="200"/>
        <w:rPr>
          <w:rFonts w:hint="eastAsia"/>
          <w:sz w:val="28"/>
        </w:rPr>
      </w:pPr>
      <w:r>
        <w:rPr>
          <w:rFonts w:hint="eastAsia"/>
          <w:sz w:val="28"/>
        </w:rPr>
        <w:t>（2）加强防火，扫除疫害，建立健全林业保护工作责任制。森林防灾减灾方面，精心部署、狠抓落实，安排松材线虫病除治专项经费5万元，全面完成上级下达的疫木除治目标，强化疫区封锁和无害化处理，无公害处置病虫害树木棵数100棵。防火方面，一是明确责任，加强宣传。清明期间，街道共设置固定标语25面、横幅25条、宣传栏10处、出动宣传车辆15架次，与各社区都签订了防火责任状；二是强化防火设施建设，根据《森林防火条例》相关规定，购置防火器材，对森林防火通道进行修复，对森林监控室进行定期维护保养；护林员30人，每人每年补助6000元，保障补助的及时发放有助于提高护林人员工作积极性，保障护林工作顺利进行；加大对信息化监控防御系统的投入，防火实时监控系统维护管理费及时拨付。</w:t>
      </w:r>
    </w:p>
    <w:p w14:paraId="7236210B">
      <w:pPr>
        <w:spacing w:line="360" w:lineRule="auto"/>
        <w:ind w:firstLine="560" w:firstLineChars="200"/>
        <w:rPr>
          <w:rFonts w:hint="eastAsia"/>
          <w:sz w:val="28"/>
        </w:rPr>
      </w:pPr>
      <w:r>
        <w:rPr>
          <w:rFonts w:hint="eastAsia"/>
          <w:sz w:val="28"/>
        </w:rPr>
        <w:t>（3）做好日常养护和维修，对水利工程设施进行安全检查。结合地处长江中下游平原的实际情况，街道水利工作的重点在防汛抗旱上，对农田水利渠道进行清淤次数及河道泵站管养维护次数进行监督，对区管防洪堤、水闸进行除险加固，确保安全防洪度汛安全</w:t>
      </w:r>
    </w:p>
    <w:p w14:paraId="19B726F2">
      <w:pPr>
        <w:spacing w:line="360" w:lineRule="auto"/>
        <w:ind w:firstLine="560" w:firstLineChars="200"/>
        <w:rPr>
          <w:rFonts w:hint="eastAsia"/>
          <w:sz w:val="28"/>
        </w:rPr>
      </w:pPr>
      <w:r>
        <w:rPr>
          <w:rFonts w:hint="eastAsia"/>
          <w:sz w:val="28"/>
        </w:rPr>
        <w:t>2.存在的问题</w:t>
      </w:r>
    </w:p>
    <w:p w14:paraId="0BC69649">
      <w:pPr>
        <w:spacing w:line="360" w:lineRule="auto"/>
        <w:ind w:firstLine="560" w:firstLineChars="200"/>
        <w:rPr>
          <w:rFonts w:hint="eastAsia"/>
          <w:sz w:val="28"/>
        </w:rPr>
      </w:pPr>
      <w:r>
        <w:rPr>
          <w:rFonts w:hint="eastAsia"/>
          <w:sz w:val="28"/>
        </w:rPr>
        <w:t>（1）人员的欠缺。街道各类防火队伍人员欠缺，虽然有固定数量的专业森林消防队员、护林员，但是后备森林消防队员和群众性森林消防队员欠缺，使得消防巡逻工作的开展范围受到限制，且一旦发生大规模火情，无法实现多方位调度管理。防汛抗旱指挥和应急抢险过程中，同样面临调度员和抢险员欠缺的问题，一定程度上影响了工作响应效率。</w:t>
      </w:r>
    </w:p>
    <w:p w14:paraId="32C90836">
      <w:pPr>
        <w:spacing w:line="360" w:lineRule="auto"/>
        <w:ind w:firstLine="560" w:firstLineChars="200"/>
        <w:rPr>
          <w:rFonts w:hint="eastAsia"/>
          <w:sz w:val="28"/>
        </w:rPr>
      </w:pPr>
      <w:r>
        <w:rPr>
          <w:rFonts w:hint="eastAsia"/>
          <w:sz w:val="28"/>
        </w:rPr>
        <w:t>（2）农产品可追溯体系建设有待加强。目前，经发办对农产品质量和安全的管理精力还主要集中在抽检和严格把控市场准入门槛上，忽视了农产品可追溯体系的建设。应当按照立足当前，规划长远，本着“标本兼治，着力治本”的工作思路，引入信息化技术，通过建立健全农产品可追溯体系，对农产品的质量和安全问题从源头上进行把控。</w:t>
      </w:r>
    </w:p>
    <w:p w14:paraId="0AAB7728">
      <w:pPr>
        <w:spacing w:line="360" w:lineRule="auto"/>
        <w:ind w:firstLine="560" w:firstLineChars="200"/>
        <w:rPr>
          <w:rFonts w:hint="eastAsia"/>
          <w:sz w:val="28"/>
        </w:rPr>
      </w:pPr>
      <w:r>
        <w:rPr>
          <w:rFonts w:hint="eastAsia"/>
          <w:sz w:val="28"/>
        </w:rPr>
        <w:t>3.改进措施</w:t>
      </w:r>
    </w:p>
    <w:p w14:paraId="6E0D8DC3">
      <w:pPr>
        <w:spacing w:line="360" w:lineRule="auto"/>
        <w:ind w:firstLine="560" w:firstLineChars="200"/>
        <w:rPr>
          <w:rFonts w:hint="eastAsia"/>
          <w:sz w:val="28"/>
        </w:rPr>
      </w:pPr>
      <w:r>
        <w:rPr>
          <w:rFonts w:hint="eastAsia"/>
          <w:sz w:val="28"/>
        </w:rPr>
        <w:t>（1）加强农林水专项工作人员的数量和质量。一方面，通过招募群众志愿者的方式，协助农林水工作的开展，并借此扩大宣传影响范围，提升居民对自然灾害的防范意识；另一方面加强对现有农林水专项工作的骨干人员的培训，制定严格的学习和考核指标，提高对紧急情况的反映速度和对突发案情的准确处理，提高工作效率。</w:t>
      </w:r>
    </w:p>
    <w:p w14:paraId="6D3427AC">
      <w:pPr>
        <w:spacing w:line="360" w:lineRule="auto"/>
        <w:ind w:firstLine="560" w:firstLineChars="200"/>
        <w:rPr>
          <w:rFonts w:hint="eastAsia"/>
          <w:sz w:val="28"/>
        </w:rPr>
      </w:pPr>
      <w:r>
        <w:rPr>
          <w:rFonts w:hint="eastAsia"/>
          <w:sz w:val="28"/>
        </w:rPr>
        <w:t>（2）抓好生态建设工作，注重改善资源管理方式。持续继续做好森林防火和病虫害御工作，选择性采取对人体和环境上海更小的方式，在消除病虫害的同时认真总结工作经验，鼓励研究，探索从源头上治理病虫害的科学工作方法；引入信息化手段监控森林资源管理情况，提高森林综合保险参保率。</w:t>
      </w:r>
    </w:p>
    <w:p w14:paraId="42719353">
      <w:pPr>
        <w:spacing w:line="360" w:lineRule="auto"/>
        <w:ind w:firstLine="560" w:firstLineChars="200"/>
        <w:rPr>
          <w:rFonts w:hint="eastAsia"/>
          <w:sz w:val="28"/>
        </w:rPr>
      </w:pPr>
      <w:r>
        <w:rPr>
          <w:rFonts w:hint="eastAsia"/>
          <w:sz w:val="28"/>
        </w:rPr>
        <w:t>（3）落实科技惠农政策。总结示范性基地的经验成果，对率先接受新技术成果的农户进行适当补贴，调动农户采用高质量品种和先进科学种植技术的积极性。对困难农户进行对口帮扶，结合实际情况，对其进行免费培训，提高农户整体素质。</w:t>
      </w:r>
    </w:p>
    <w:p w14:paraId="445AA7B5">
      <w:pPr>
        <w:pStyle w:val="9"/>
        <w:widowControl w:val="0"/>
        <w:numPr>
          <w:ilvl w:val="0"/>
          <w:numId w:val="0"/>
        </w:numPr>
        <w:tabs>
          <w:tab w:val="left" w:pos="993"/>
          <w:tab w:val="left" w:pos="1418"/>
        </w:tabs>
        <w:spacing w:line="600" w:lineRule="exact"/>
        <w:jc w:val="left"/>
        <w:rPr>
          <w:rFonts w:hint="eastAsia"/>
          <w:sz w:val="28"/>
        </w:rPr>
      </w:pPr>
    </w:p>
    <w:p w14:paraId="7DDEA24D">
      <w:pPr>
        <w:pStyle w:val="9"/>
        <w:widowControl w:val="0"/>
        <w:numPr>
          <w:ilvl w:val="0"/>
          <w:numId w:val="0"/>
        </w:numPr>
        <w:tabs>
          <w:tab w:val="left" w:pos="993"/>
          <w:tab w:val="left" w:pos="1418"/>
        </w:tabs>
        <w:spacing w:line="600" w:lineRule="exact"/>
        <w:jc w:val="left"/>
        <w:rPr>
          <w:rFonts w:hint="eastAsia"/>
          <w:sz w:val="28"/>
        </w:rPr>
      </w:pPr>
    </w:p>
    <w:p w14:paraId="456A346D">
      <w:pPr>
        <w:pStyle w:val="9"/>
        <w:widowControl w:val="0"/>
        <w:numPr>
          <w:ilvl w:val="0"/>
          <w:numId w:val="0"/>
        </w:numPr>
        <w:tabs>
          <w:tab w:val="left" w:pos="993"/>
          <w:tab w:val="left" w:pos="1418"/>
        </w:tabs>
        <w:spacing w:line="600" w:lineRule="exact"/>
        <w:jc w:val="left"/>
        <w:rPr>
          <w:rFonts w:hint="eastAsia"/>
          <w:sz w:val="28"/>
        </w:rPr>
      </w:pPr>
    </w:p>
    <w:p w14:paraId="59D72282">
      <w:pPr>
        <w:pStyle w:val="9"/>
        <w:widowControl w:val="0"/>
        <w:numPr>
          <w:ilvl w:val="0"/>
          <w:numId w:val="0"/>
        </w:numPr>
        <w:tabs>
          <w:tab w:val="left" w:pos="993"/>
          <w:tab w:val="left" w:pos="1418"/>
        </w:tabs>
        <w:spacing w:line="600" w:lineRule="exact"/>
        <w:jc w:val="left"/>
        <w:rPr>
          <w:rFonts w:hint="eastAsia"/>
          <w:sz w:val="28"/>
        </w:rPr>
      </w:pPr>
    </w:p>
    <w:p w14:paraId="6D955926">
      <w:pPr>
        <w:pStyle w:val="9"/>
        <w:widowControl w:val="0"/>
        <w:numPr>
          <w:ilvl w:val="0"/>
          <w:numId w:val="0"/>
        </w:numPr>
        <w:tabs>
          <w:tab w:val="left" w:pos="993"/>
          <w:tab w:val="left" w:pos="1418"/>
        </w:tabs>
        <w:spacing w:line="600" w:lineRule="exact"/>
        <w:jc w:val="left"/>
        <w:rPr>
          <w:rFonts w:hint="eastAsia"/>
          <w:sz w:val="28"/>
        </w:rPr>
      </w:pPr>
    </w:p>
    <w:p w14:paraId="3C86134F">
      <w:pPr>
        <w:pStyle w:val="9"/>
        <w:widowControl w:val="0"/>
        <w:numPr>
          <w:ilvl w:val="0"/>
          <w:numId w:val="0"/>
        </w:numPr>
        <w:tabs>
          <w:tab w:val="left" w:pos="993"/>
          <w:tab w:val="left" w:pos="1418"/>
        </w:tabs>
        <w:spacing w:line="600" w:lineRule="exact"/>
        <w:jc w:val="left"/>
        <w:rPr>
          <w:rFonts w:hint="eastAsia"/>
          <w:sz w:val="28"/>
        </w:rPr>
      </w:pPr>
    </w:p>
    <w:p w14:paraId="02F7AD8D">
      <w:pPr>
        <w:pStyle w:val="9"/>
        <w:widowControl w:val="0"/>
        <w:numPr>
          <w:ilvl w:val="0"/>
          <w:numId w:val="0"/>
        </w:numPr>
        <w:tabs>
          <w:tab w:val="left" w:pos="993"/>
          <w:tab w:val="left" w:pos="1418"/>
        </w:tabs>
        <w:spacing w:line="600" w:lineRule="exact"/>
        <w:jc w:val="left"/>
        <w:rPr>
          <w:rFonts w:hint="eastAsia"/>
          <w:sz w:val="28"/>
        </w:rPr>
      </w:pPr>
    </w:p>
    <w:p w14:paraId="67BAE1B8">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1E03C333">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256ABCC0">
      <w:pPr>
        <w:rPr>
          <w:rFonts w:hint="eastAsia"/>
          <w:sz w:val="32"/>
          <w:szCs w:val="32"/>
        </w:rPr>
      </w:pPr>
    </w:p>
    <w:p w14:paraId="738EF9A0">
      <w:pPr>
        <w:rPr>
          <w:rFonts w:hint="eastAsia"/>
          <w:sz w:val="32"/>
          <w:szCs w:val="32"/>
        </w:rPr>
      </w:pPr>
    </w:p>
    <w:p w14:paraId="586862D1">
      <w:pPr>
        <w:rPr>
          <w:rFonts w:hint="eastAsia"/>
          <w:sz w:val="32"/>
          <w:szCs w:val="32"/>
        </w:rPr>
      </w:pPr>
    </w:p>
    <w:p w14:paraId="3F842859">
      <w:pPr>
        <w:rPr>
          <w:rFonts w:hint="eastAsia"/>
          <w:sz w:val="32"/>
          <w:szCs w:val="32"/>
        </w:rPr>
      </w:pPr>
    </w:p>
    <w:p w14:paraId="7A0D99DE">
      <w:pPr>
        <w:rPr>
          <w:sz w:val="32"/>
          <w:szCs w:val="32"/>
        </w:rPr>
      </w:pPr>
    </w:p>
    <w:p w14:paraId="42AAA219">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     农民社区管理补助经费       </w:t>
      </w:r>
      <w:r>
        <w:rPr>
          <w:sz w:val="32"/>
          <w:szCs w:val="32"/>
          <w:u w:val="single"/>
        </w:rPr>
        <w:t xml:space="preserve">  </w:t>
      </w:r>
      <w:r>
        <w:rPr>
          <w:rFonts w:hint="eastAsia"/>
          <w:sz w:val="32"/>
          <w:szCs w:val="32"/>
          <w:u w:val="single"/>
        </w:rPr>
        <w:t xml:space="preserve">  </w:t>
      </w:r>
    </w:p>
    <w:p w14:paraId="047A5D9C">
      <w:pPr>
        <w:ind w:left="420" w:leftChars="200"/>
        <w:rPr>
          <w:sz w:val="32"/>
          <w:szCs w:val="32"/>
        </w:rPr>
      </w:pPr>
      <w:r>
        <w:rPr>
          <w:rFonts w:hint="eastAsia"/>
          <w:sz w:val="32"/>
          <w:szCs w:val="32"/>
        </w:rPr>
        <w:t>项目单位：</w:t>
      </w:r>
      <w:r>
        <w:rPr>
          <w:rFonts w:hint="eastAsia"/>
          <w:sz w:val="32"/>
          <w:szCs w:val="32"/>
          <w:u w:val="single"/>
        </w:rPr>
        <w:t xml:space="preserve"> 武汉东湖新技术开发区九峰街道办事处 </w:t>
      </w:r>
    </w:p>
    <w:p w14:paraId="43FF5EB4">
      <w:pPr>
        <w:ind w:left="420" w:leftChars="200"/>
        <w:rPr>
          <w:sz w:val="32"/>
          <w:szCs w:val="32"/>
          <w:u w:val="single"/>
        </w:rPr>
      </w:pPr>
      <w:r>
        <w:rPr>
          <w:rFonts w:hint="eastAsia"/>
          <w:sz w:val="32"/>
          <w:szCs w:val="32"/>
        </w:rPr>
        <w:t>区财政局主管业务科室；</w:t>
      </w:r>
      <w:r>
        <w:rPr>
          <w:rFonts w:hint="eastAsia"/>
          <w:sz w:val="32"/>
          <w:szCs w:val="32"/>
          <w:u w:val="single"/>
        </w:rPr>
        <w:t xml:space="preserve">       （盖章）      </w:t>
      </w:r>
      <w:r>
        <w:rPr>
          <w:sz w:val="32"/>
          <w:szCs w:val="32"/>
          <w:u w:val="single"/>
        </w:rPr>
        <w:t xml:space="preserve">  </w:t>
      </w:r>
      <w:r>
        <w:rPr>
          <w:rFonts w:hint="eastAsia"/>
          <w:sz w:val="32"/>
          <w:szCs w:val="32"/>
          <w:u w:val="single"/>
        </w:rPr>
        <w:t xml:space="preserve"> </w:t>
      </w:r>
    </w:p>
    <w:p w14:paraId="6708AD15">
      <w:pPr>
        <w:ind w:left="420" w:leftChars="200"/>
        <w:rPr>
          <w:rFonts w:hint="eastAsia"/>
          <w:sz w:val="32"/>
          <w:szCs w:val="32"/>
        </w:rPr>
      </w:pPr>
      <w:r>
        <w:rPr>
          <w:rFonts w:hint="eastAsia"/>
          <w:sz w:val="32"/>
          <w:szCs w:val="32"/>
        </w:rPr>
        <w:t>评价机构：</w:t>
      </w:r>
      <w:r>
        <w:rPr>
          <w:rFonts w:hint="eastAsia"/>
          <w:sz w:val="32"/>
          <w:szCs w:val="32"/>
          <w:u w:val="single"/>
        </w:rPr>
        <w:t xml:space="preserve">武汉康力会计师事务有限责任公司 </w:t>
      </w:r>
      <w:r>
        <w:rPr>
          <w:sz w:val="32"/>
          <w:szCs w:val="32"/>
          <w:u w:val="single"/>
        </w:rPr>
        <w:t xml:space="preserve">     </w:t>
      </w:r>
    </w:p>
    <w:p w14:paraId="03E147E6">
      <w:pPr>
        <w:rPr>
          <w:sz w:val="32"/>
          <w:szCs w:val="32"/>
        </w:rPr>
      </w:pPr>
    </w:p>
    <w:p w14:paraId="3B3AF333">
      <w:pPr>
        <w:rPr>
          <w:rFonts w:hint="eastAsia"/>
          <w:sz w:val="32"/>
          <w:szCs w:val="32"/>
        </w:rPr>
      </w:pPr>
    </w:p>
    <w:p w14:paraId="3D8C9BE3">
      <w:pPr>
        <w:rPr>
          <w:rFonts w:hint="eastAsia"/>
          <w:sz w:val="32"/>
          <w:szCs w:val="32"/>
        </w:rPr>
      </w:pPr>
    </w:p>
    <w:p w14:paraId="2105CC50">
      <w:pPr>
        <w:rPr>
          <w:rFonts w:hint="eastAsia"/>
          <w:sz w:val="32"/>
          <w:szCs w:val="32"/>
        </w:rPr>
      </w:pPr>
    </w:p>
    <w:p w14:paraId="497E8B6B">
      <w:pPr>
        <w:rPr>
          <w:sz w:val="32"/>
          <w:szCs w:val="32"/>
        </w:rPr>
      </w:pPr>
    </w:p>
    <w:p w14:paraId="7432979F">
      <w:pPr>
        <w:rPr>
          <w:rFonts w:hint="eastAsia"/>
          <w:sz w:val="32"/>
          <w:szCs w:val="32"/>
        </w:rPr>
      </w:pPr>
    </w:p>
    <w:p w14:paraId="4C05D7BA">
      <w:pPr>
        <w:jc w:val="center"/>
        <w:rPr>
          <w:sz w:val="32"/>
          <w:szCs w:val="32"/>
        </w:rPr>
      </w:pPr>
      <w:r>
        <w:rPr>
          <w:rFonts w:hint="eastAsia"/>
          <w:sz w:val="32"/>
          <w:szCs w:val="32"/>
        </w:rPr>
        <w:t>2018年</w:t>
      </w:r>
      <w:r>
        <w:rPr>
          <w:sz w:val="32"/>
          <w:szCs w:val="32"/>
        </w:rPr>
        <w:t>5</w:t>
      </w:r>
      <w:r>
        <w:rPr>
          <w:rFonts w:hint="eastAsia"/>
          <w:sz w:val="32"/>
          <w:szCs w:val="32"/>
        </w:rPr>
        <w:t>月</w:t>
      </w:r>
    </w:p>
    <w:p w14:paraId="17296182">
      <w:pPr>
        <w:widowControl/>
        <w:ind w:right="640"/>
        <w:jc w:val="center"/>
        <w:rPr>
          <w:rFonts w:ascii="方正宋黑简体" w:eastAsia="方正宋黑简体"/>
          <w:b/>
          <w:sz w:val="44"/>
          <w:szCs w:val="44"/>
        </w:rPr>
      </w:pPr>
      <w:r>
        <w:rPr>
          <w:sz w:val="32"/>
          <w:szCs w:val="32"/>
        </w:rPr>
        <w:br w:type="page"/>
      </w:r>
      <w:r>
        <w:rPr>
          <w:rFonts w:hint="eastAsia" w:ascii="方正宋黑简体" w:eastAsia="方正宋黑简体"/>
          <w:b/>
          <w:sz w:val="44"/>
          <w:szCs w:val="44"/>
        </w:rPr>
        <w:t>报 告 正 文</w:t>
      </w:r>
    </w:p>
    <w:p w14:paraId="1C9E14F5">
      <w:pPr>
        <w:widowControl/>
        <w:spacing w:line="600" w:lineRule="exact"/>
        <w:ind w:firstLine="640" w:firstLineChars="200"/>
        <w:jc w:val="left"/>
        <w:rPr>
          <w:rFonts w:ascii="宋体" w:hAnsi="宋体" w:cs="宋体"/>
          <w:sz w:val="32"/>
          <w:szCs w:val="32"/>
        </w:rPr>
      </w:pPr>
    </w:p>
    <w:p w14:paraId="66FB6542">
      <w:pPr>
        <w:spacing w:line="360" w:lineRule="auto"/>
        <w:ind w:firstLine="562" w:firstLineChars="200"/>
        <w:rPr>
          <w:rFonts w:hint="eastAsia" w:ascii="宋体" w:hAnsi="宋体"/>
          <w:b/>
          <w:sz w:val="28"/>
          <w:szCs w:val="28"/>
        </w:rPr>
      </w:pPr>
      <w:r>
        <w:rPr>
          <w:rFonts w:hint="eastAsia" w:ascii="宋体" w:hAnsi="宋体"/>
          <w:b/>
          <w:sz w:val="28"/>
          <w:szCs w:val="28"/>
        </w:rPr>
        <w:t>一、项目基本情况</w:t>
      </w:r>
    </w:p>
    <w:p w14:paraId="3A4D964C">
      <w:pPr>
        <w:spacing w:line="360" w:lineRule="auto"/>
        <w:ind w:firstLine="560" w:firstLineChars="200"/>
        <w:rPr>
          <w:rFonts w:ascii="宋体" w:hAnsi="宋体"/>
          <w:sz w:val="28"/>
          <w:szCs w:val="28"/>
        </w:rPr>
      </w:pPr>
      <w:r>
        <w:rPr>
          <w:rFonts w:hint="eastAsia" w:ascii="宋体" w:hAnsi="宋体"/>
          <w:sz w:val="28"/>
          <w:szCs w:val="28"/>
        </w:rPr>
        <w:t>（一）项目概况</w:t>
      </w:r>
    </w:p>
    <w:p w14:paraId="3BAF1257">
      <w:pPr>
        <w:pStyle w:val="12"/>
        <w:ind w:firstLine="504" w:firstLineChars="180"/>
        <w:rPr>
          <w:rFonts w:ascii="宋体" w:hAnsi="宋体" w:cs="宋体"/>
          <w:sz w:val="28"/>
          <w:szCs w:val="28"/>
        </w:rPr>
      </w:pPr>
      <w:r>
        <w:rPr>
          <w:rFonts w:hint="eastAsia" w:ascii="宋体" w:hAnsi="宋体" w:cs="宋体"/>
          <w:sz w:val="28"/>
          <w:szCs w:val="28"/>
        </w:rPr>
        <w:t>武汉东湖新技术开发区九峰街道办事处隶属武汉东湖新技术开发区管委会，包括1个行政单位，9个“以钱养事”服务中心，5个事业单位；下设10个行政村，共83个小组，5个社区。</w:t>
      </w:r>
    </w:p>
    <w:p w14:paraId="236F4D3F">
      <w:pPr>
        <w:pStyle w:val="12"/>
        <w:ind w:firstLine="504" w:firstLineChars="180"/>
        <w:rPr>
          <w:rFonts w:hint="eastAsia" w:ascii="宋体" w:hAnsi="宋体" w:cs="宋体"/>
          <w:sz w:val="28"/>
          <w:szCs w:val="28"/>
        </w:rPr>
      </w:pPr>
      <w:r>
        <w:rPr>
          <w:rFonts w:hint="eastAsia" w:ascii="宋体" w:hAnsi="宋体" w:cs="宋体"/>
          <w:sz w:val="28"/>
          <w:szCs w:val="28"/>
        </w:rPr>
        <w:t>1、项目立项</w:t>
      </w:r>
    </w:p>
    <w:p w14:paraId="445E092A">
      <w:pPr>
        <w:pStyle w:val="12"/>
        <w:ind w:firstLine="504" w:firstLineChars="180"/>
        <w:rPr>
          <w:rFonts w:hint="eastAsia" w:ascii="宋体" w:hAnsi="宋体" w:cs="宋体"/>
          <w:sz w:val="28"/>
          <w:szCs w:val="28"/>
        </w:rPr>
      </w:pPr>
      <w:r>
        <w:rPr>
          <w:rFonts w:hint="eastAsia" w:ascii="宋体" w:hAnsi="宋体" w:cs="宋体"/>
          <w:sz w:val="28"/>
          <w:szCs w:val="28"/>
        </w:rPr>
        <w:t>农民社区管理补助经费80.00万元，用于：</w:t>
      </w:r>
    </w:p>
    <w:p w14:paraId="038F8C70">
      <w:pPr>
        <w:pStyle w:val="12"/>
        <w:ind w:firstLine="504" w:firstLineChars="180"/>
        <w:rPr>
          <w:rFonts w:hint="eastAsia" w:ascii="宋体" w:hAnsi="宋体" w:cs="宋体"/>
          <w:sz w:val="28"/>
          <w:szCs w:val="28"/>
        </w:rPr>
      </w:pPr>
      <w:r>
        <w:rPr>
          <w:rFonts w:hint="eastAsia" w:ascii="宋体" w:hAnsi="宋体" w:cs="宋体"/>
          <w:sz w:val="28"/>
          <w:szCs w:val="28"/>
        </w:rPr>
        <w:t>（1）根据社区及居民需要，为明畅里社区增设户外双面彩色显示屏1个，提供补助资金30.00万元；为景源里社区、德欣里社区、同安里社区等社区增设生活、出行、环保、绿化、节能、文体、宣传、教育等方面配套设施40.00万元，以上两项合计70.00万元。</w:t>
      </w:r>
    </w:p>
    <w:p w14:paraId="3479B068">
      <w:pPr>
        <w:pStyle w:val="12"/>
        <w:ind w:firstLine="504" w:firstLineChars="180"/>
        <w:rPr>
          <w:rFonts w:hint="eastAsia" w:ascii="宋体" w:hAnsi="宋体" w:cs="宋体"/>
          <w:sz w:val="28"/>
          <w:szCs w:val="28"/>
        </w:rPr>
      </w:pPr>
      <w:r>
        <w:rPr>
          <w:rFonts w:hint="eastAsia" w:ascii="宋体" w:hAnsi="宋体" w:cs="宋体"/>
          <w:sz w:val="28"/>
          <w:szCs w:val="28"/>
        </w:rPr>
        <w:t>（2）提供工作经费10.00万元满足九峰街政务服务分中心工作协调辖区农民社区正常运转（其中：“九峰新社区”微信平台服务费用1.80万元；10M光纤网络服务费1.28万元；28台电脑、外设及局域网维护1.04万元；水、电、电话费3.50万元；其它办公费用2.38万元）。</w:t>
      </w:r>
    </w:p>
    <w:p w14:paraId="216DC1F9">
      <w:pPr>
        <w:pStyle w:val="12"/>
        <w:ind w:firstLine="504" w:firstLineChars="180"/>
        <w:rPr>
          <w:rFonts w:ascii="宋体" w:hAnsi="宋体" w:cs="宋体"/>
          <w:sz w:val="28"/>
          <w:szCs w:val="28"/>
        </w:rPr>
      </w:pPr>
      <w:r>
        <w:rPr>
          <w:rFonts w:hint="eastAsia" w:ascii="宋体" w:hAnsi="宋体" w:cs="宋体"/>
          <w:sz w:val="28"/>
          <w:szCs w:val="28"/>
        </w:rPr>
        <w:t>2、项目完成概况</w:t>
      </w:r>
    </w:p>
    <w:p w14:paraId="341DBE0A">
      <w:pPr>
        <w:pStyle w:val="12"/>
        <w:ind w:firstLine="504" w:firstLineChars="180"/>
        <w:rPr>
          <w:rFonts w:hint="eastAsia" w:ascii="宋体" w:hAnsi="宋体" w:cs="宋体"/>
          <w:sz w:val="28"/>
          <w:szCs w:val="28"/>
        </w:rPr>
      </w:pPr>
      <w:r>
        <w:rPr>
          <w:rFonts w:hint="eastAsia" w:ascii="宋体" w:hAnsi="宋体" w:cs="宋体"/>
          <w:sz w:val="28"/>
          <w:szCs w:val="28"/>
        </w:rPr>
        <w:t>项目经费预算80.00万元，其中：为明畅里社区增设户外双面彩色显示屏1个，提供补助资金30.00万元；为景源里社区、德欣里社区、同安里社区等社区增设生活、出行、环保、绿化、节能、文体、宣传、教育等方面配套设施40.00万元；九峰街政务服务分中心工作经费10.00万元。</w:t>
      </w:r>
    </w:p>
    <w:p w14:paraId="5D80B687">
      <w:pPr>
        <w:pStyle w:val="12"/>
        <w:ind w:firstLine="504" w:firstLineChars="180"/>
        <w:rPr>
          <w:rFonts w:hint="eastAsia" w:ascii="宋体" w:hAnsi="宋体" w:cs="宋体"/>
          <w:sz w:val="28"/>
          <w:szCs w:val="28"/>
        </w:rPr>
      </w:pPr>
      <w:r>
        <w:rPr>
          <w:rFonts w:hint="eastAsia" w:ascii="宋体" w:hAnsi="宋体" w:cs="宋体"/>
          <w:sz w:val="28"/>
          <w:szCs w:val="28"/>
        </w:rPr>
        <w:t>截止2017年12月31日，为明畅里社区增设户外双面彩色显示屏1个，提供补助资金30.00万元；为景源里社区、德欣里社区、同安里社区等社区增设生活、出行、环保、绿化、节能、文体、宣传、教育等方面配套设施40.00万元；九峰街政务服务分中心工作经费10.00万元。</w:t>
      </w:r>
    </w:p>
    <w:p w14:paraId="78A79AF4">
      <w:pPr>
        <w:pStyle w:val="12"/>
        <w:ind w:firstLine="504" w:firstLineChars="180"/>
        <w:rPr>
          <w:rFonts w:ascii="宋体" w:hAnsi="宋体" w:cs="宋体"/>
          <w:sz w:val="28"/>
          <w:szCs w:val="28"/>
        </w:rPr>
      </w:pPr>
      <w:r>
        <w:rPr>
          <w:rFonts w:hint="eastAsia" w:ascii="宋体" w:hAnsi="宋体" w:cs="宋体"/>
          <w:sz w:val="28"/>
          <w:szCs w:val="28"/>
        </w:rPr>
        <w:t>项目各项工作基本达成，产生了较好的社会效益及可持续影响，社会公众满意度较高，投诉率较低。</w:t>
      </w:r>
    </w:p>
    <w:p w14:paraId="0A9A0A31">
      <w:pPr>
        <w:spacing w:line="360" w:lineRule="auto"/>
        <w:ind w:firstLine="560" w:firstLineChars="200"/>
        <w:rPr>
          <w:rFonts w:hint="eastAsia" w:ascii="宋体" w:hAnsi="宋体"/>
          <w:sz w:val="28"/>
          <w:szCs w:val="28"/>
        </w:rPr>
      </w:pPr>
      <w:r>
        <w:rPr>
          <w:rFonts w:hint="eastAsia" w:ascii="宋体" w:hAnsi="宋体"/>
          <w:sz w:val="28"/>
          <w:szCs w:val="28"/>
        </w:rPr>
        <w:t>（二）项目预算绩效目标</w:t>
      </w:r>
    </w:p>
    <w:p w14:paraId="4C045943">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．产出目标</w:t>
      </w:r>
    </w:p>
    <w:p w14:paraId="56A92AF9">
      <w:pPr>
        <w:spacing w:line="360" w:lineRule="auto"/>
        <w:ind w:firstLine="560" w:firstLineChars="200"/>
        <w:rPr>
          <w:rFonts w:hint="eastAsia" w:ascii="宋体" w:hAnsi="宋体"/>
          <w:sz w:val="28"/>
          <w:szCs w:val="28"/>
        </w:rPr>
      </w:pPr>
      <w:r>
        <w:rPr>
          <w:rFonts w:hint="eastAsia" w:ascii="宋体" w:hAnsi="宋体"/>
          <w:sz w:val="28"/>
          <w:szCs w:val="28"/>
        </w:rPr>
        <w:t>（1）数量指标：</w:t>
      </w:r>
    </w:p>
    <w:p w14:paraId="17FEB40A">
      <w:pPr>
        <w:spacing w:line="360" w:lineRule="auto"/>
        <w:ind w:firstLine="700" w:firstLineChars="250"/>
        <w:rPr>
          <w:rFonts w:hint="eastAsia" w:ascii="宋体" w:hAnsi="宋体" w:cs="宋体"/>
          <w:sz w:val="28"/>
          <w:szCs w:val="28"/>
        </w:rPr>
      </w:pPr>
      <w:r>
        <w:rPr>
          <w:rFonts w:hint="eastAsia" w:ascii="宋体" w:hAnsi="宋体"/>
          <w:sz w:val="28"/>
          <w:szCs w:val="28"/>
        </w:rPr>
        <w:t>1）数量指标1：</w:t>
      </w:r>
      <w:r>
        <w:rPr>
          <w:rFonts w:hint="eastAsia" w:ascii="宋体" w:hAnsi="宋体" w:cs="宋体"/>
          <w:sz w:val="28"/>
          <w:szCs w:val="28"/>
        </w:rPr>
        <w:t>为明畅里社区增设户外双面彩色显示屏1个，30.00万元。</w:t>
      </w:r>
    </w:p>
    <w:p w14:paraId="0BFAD8D4">
      <w:pPr>
        <w:spacing w:line="360" w:lineRule="auto"/>
        <w:ind w:firstLine="700" w:firstLineChars="250"/>
        <w:rPr>
          <w:rFonts w:hint="eastAsia"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数量指标2：为景源里社区、德欣里社区、同安里社区等社区增设生活、出行、环保、绿化、节能、文体、宣传、教育等方面配套设施40.00万元。</w:t>
      </w:r>
    </w:p>
    <w:p w14:paraId="57DBFD35">
      <w:pPr>
        <w:spacing w:line="360" w:lineRule="auto"/>
        <w:ind w:firstLine="560" w:firstLineChars="200"/>
        <w:rPr>
          <w:rFonts w:hint="eastAsia" w:ascii="宋体" w:hAnsi="宋体"/>
          <w:sz w:val="28"/>
          <w:szCs w:val="28"/>
        </w:rPr>
      </w:pPr>
      <w:r>
        <w:rPr>
          <w:rFonts w:hint="eastAsia" w:ascii="宋体" w:hAnsi="宋体"/>
          <w:sz w:val="28"/>
          <w:szCs w:val="28"/>
        </w:rPr>
        <w:t>（2）质量指标：社区居民对当前生活水平的满意度，指标值：95.00</w:t>
      </w:r>
      <w:r>
        <w:rPr>
          <w:rFonts w:ascii="宋体" w:hAnsi="宋体"/>
          <w:sz w:val="28"/>
          <w:szCs w:val="28"/>
        </w:rPr>
        <w:t>%</w:t>
      </w:r>
      <w:r>
        <w:rPr>
          <w:rFonts w:hint="eastAsia" w:ascii="宋体" w:hAnsi="宋体"/>
          <w:sz w:val="28"/>
          <w:szCs w:val="28"/>
        </w:rPr>
        <w:t>。</w:t>
      </w:r>
    </w:p>
    <w:p w14:paraId="54645CEF">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时效指标：</w:t>
      </w:r>
    </w:p>
    <w:p w14:paraId="69680DBA">
      <w:pPr>
        <w:spacing w:line="360" w:lineRule="auto"/>
        <w:ind w:firstLine="560" w:firstLineChars="200"/>
        <w:rPr>
          <w:rFonts w:ascii="宋体" w:hAnsi="宋体"/>
          <w:sz w:val="28"/>
          <w:szCs w:val="28"/>
        </w:rPr>
      </w:pPr>
      <w:r>
        <w:rPr>
          <w:rFonts w:hint="eastAsia" w:ascii="宋体" w:hAnsi="宋体"/>
          <w:sz w:val="28"/>
          <w:szCs w:val="28"/>
        </w:rPr>
        <w:t>指标内容：完成及时率，指标值：</w:t>
      </w:r>
      <w:r>
        <w:rPr>
          <w:rFonts w:ascii="宋体" w:hAnsi="宋体"/>
          <w:sz w:val="28"/>
          <w:szCs w:val="28"/>
        </w:rPr>
        <w:t>100</w:t>
      </w:r>
      <w:r>
        <w:rPr>
          <w:rFonts w:hint="eastAsia" w:ascii="宋体" w:hAnsi="宋体"/>
          <w:sz w:val="28"/>
          <w:szCs w:val="28"/>
        </w:rPr>
        <w:t>.00</w:t>
      </w:r>
      <w:r>
        <w:rPr>
          <w:rFonts w:ascii="宋体" w:hAnsi="宋体"/>
          <w:sz w:val="28"/>
          <w:szCs w:val="28"/>
        </w:rPr>
        <w:t>%</w:t>
      </w:r>
      <w:r>
        <w:rPr>
          <w:rFonts w:hint="eastAsia" w:ascii="宋体" w:hAnsi="宋体"/>
          <w:sz w:val="28"/>
          <w:szCs w:val="28"/>
        </w:rPr>
        <w:t>。</w:t>
      </w:r>
    </w:p>
    <w:p w14:paraId="208AEDB3">
      <w:pPr>
        <w:spacing w:line="360" w:lineRule="auto"/>
        <w:ind w:firstLine="560" w:firstLineChars="200"/>
        <w:rPr>
          <w:rFonts w:ascii="宋体" w:hAnsi="宋体"/>
          <w:sz w:val="28"/>
          <w:szCs w:val="28"/>
        </w:rPr>
      </w:pPr>
      <w:r>
        <w:rPr>
          <w:rFonts w:hint="eastAsia" w:ascii="宋体" w:hAnsi="宋体"/>
          <w:sz w:val="28"/>
          <w:szCs w:val="28"/>
        </w:rPr>
        <w:t>（4）成本指标：80</w:t>
      </w:r>
      <w:r>
        <w:rPr>
          <w:rFonts w:ascii="宋体" w:hAnsi="宋体"/>
          <w:sz w:val="28"/>
          <w:szCs w:val="28"/>
        </w:rPr>
        <w:t>.</w:t>
      </w:r>
      <w:r>
        <w:rPr>
          <w:rFonts w:hint="eastAsia" w:ascii="宋体" w:hAnsi="宋体"/>
          <w:sz w:val="28"/>
          <w:szCs w:val="28"/>
        </w:rPr>
        <w:t>00万元</w:t>
      </w:r>
    </w:p>
    <w:p w14:paraId="7E6FC577">
      <w:pPr>
        <w:spacing w:line="360" w:lineRule="auto"/>
        <w:ind w:firstLine="560" w:firstLineChars="200"/>
        <w:rPr>
          <w:rFonts w:hint="eastAsia" w:ascii="宋体" w:hAnsi="宋体"/>
          <w:sz w:val="28"/>
          <w:szCs w:val="28"/>
        </w:rPr>
      </w:pPr>
      <w:r>
        <w:rPr>
          <w:rFonts w:hint="eastAsia" w:ascii="宋体" w:hAnsi="宋体"/>
          <w:sz w:val="28"/>
          <w:szCs w:val="28"/>
        </w:rPr>
        <w:t>2．效果目标（包括经济效益、社会效益、生态效益和可持续影响指标）</w:t>
      </w:r>
    </w:p>
    <w:p w14:paraId="5B66C22D">
      <w:pPr>
        <w:spacing w:line="360" w:lineRule="auto"/>
        <w:ind w:firstLine="560" w:firstLineChars="200"/>
        <w:rPr>
          <w:rFonts w:ascii="宋体" w:hAnsi="宋体"/>
          <w:sz w:val="28"/>
          <w:szCs w:val="28"/>
        </w:rPr>
      </w:pPr>
      <w:r>
        <w:rPr>
          <w:rFonts w:hint="eastAsia" w:ascii="宋体" w:hAnsi="宋体" w:cs="宋体"/>
          <w:sz w:val="28"/>
          <w:szCs w:val="28"/>
        </w:rPr>
        <w:t>（1）经济效益指标：不适用经济效益指标。</w:t>
      </w:r>
    </w:p>
    <w:p w14:paraId="59A63D15">
      <w:pPr>
        <w:spacing w:line="360" w:lineRule="auto"/>
        <w:ind w:firstLine="560" w:firstLineChars="200"/>
        <w:rPr>
          <w:rFonts w:hint="eastAsia" w:ascii="宋体" w:hAnsi="宋体" w:cs="宋体"/>
          <w:sz w:val="28"/>
          <w:szCs w:val="28"/>
        </w:rPr>
      </w:pPr>
      <w:r>
        <w:rPr>
          <w:rFonts w:hint="eastAsia" w:ascii="宋体" w:hAnsi="宋体" w:cs="宋体"/>
          <w:sz w:val="28"/>
          <w:szCs w:val="28"/>
        </w:rPr>
        <w:t>（2）社会效益指标：提升居民生活质量。</w:t>
      </w:r>
    </w:p>
    <w:p w14:paraId="0857DCFB">
      <w:pPr>
        <w:spacing w:line="360" w:lineRule="auto"/>
        <w:ind w:firstLine="560" w:firstLineChars="200"/>
        <w:rPr>
          <w:rFonts w:ascii="宋体" w:hAnsi="宋体" w:cs="宋体"/>
          <w:sz w:val="28"/>
          <w:szCs w:val="28"/>
        </w:rPr>
      </w:pPr>
      <w:r>
        <w:rPr>
          <w:rFonts w:hint="eastAsia" w:ascii="宋体" w:hAnsi="宋体" w:cs="宋体"/>
          <w:sz w:val="28"/>
          <w:szCs w:val="28"/>
        </w:rPr>
        <w:t>（3）可持续影响指标: 建立长效机制，确保可持续影响</w:t>
      </w:r>
    </w:p>
    <w:p w14:paraId="5C86D6F0">
      <w:pPr>
        <w:spacing w:line="360" w:lineRule="auto"/>
        <w:ind w:firstLine="560" w:firstLineChars="200"/>
        <w:rPr>
          <w:rFonts w:ascii="宋体" w:hAnsi="宋体" w:cs="宋体"/>
          <w:sz w:val="28"/>
          <w:szCs w:val="28"/>
        </w:rPr>
      </w:pPr>
      <w:r>
        <w:rPr>
          <w:rFonts w:hint="eastAsia" w:ascii="宋体" w:hAnsi="宋体" w:cs="宋体"/>
          <w:sz w:val="28"/>
          <w:szCs w:val="28"/>
        </w:rPr>
        <w:t>（4）社会公众或服务对象满意度指标：工作及服务质量投诉率为5%。</w:t>
      </w:r>
    </w:p>
    <w:p w14:paraId="707398F3">
      <w:pPr>
        <w:spacing w:line="360" w:lineRule="auto"/>
        <w:ind w:firstLine="562" w:firstLineChars="200"/>
        <w:rPr>
          <w:rFonts w:hint="eastAsia" w:ascii="宋体" w:hAnsi="宋体"/>
          <w:b/>
          <w:sz w:val="28"/>
          <w:szCs w:val="28"/>
        </w:rPr>
      </w:pPr>
      <w:r>
        <w:rPr>
          <w:rFonts w:hint="eastAsia" w:ascii="宋体" w:hAnsi="宋体"/>
          <w:b/>
          <w:sz w:val="28"/>
          <w:szCs w:val="28"/>
        </w:rPr>
        <w:t>二、项目绩效分析</w:t>
      </w:r>
    </w:p>
    <w:p w14:paraId="3D9FB8DA">
      <w:pPr>
        <w:spacing w:line="360" w:lineRule="auto"/>
        <w:ind w:firstLine="560" w:firstLineChars="200"/>
        <w:rPr>
          <w:rFonts w:hint="eastAsia" w:ascii="宋体" w:hAnsi="宋体"/>
          <w:sz w:val="28"/>
          <w:szCs w:val="28"/>
        </w:rPr>
      </w:pPr>
      <w:r>
        <w:rPr>
          <w:rFonts w:hint="eastAsia" w:ascii="宋体" w:hAnsi="宋体"/>
          <w:sz w:val="28"/>
          <w:szCs w:val="28"/>
        </w:rPr>
        <w:t>（一）项目管理情况</w:t>
      </w:r>
    </w:p>
    <w:p w14:paraId="57591E0B">
      <w:pPr>
        <w:spacing w:line="360" w:lineRule="auto"/>
        <w:ind w:firstLine="560" w:firstLineChars="200"/>
        <w:rPr>
          <w:rFonts w:ascii="宋体" w:hAnsi="宋体"/>
          <w:sz w:val="28"/>
          <w:szCs w:val="28"/>
        </w:rPr>
      </w:pPr>
      <w:r>
        <w:rPr>
          <w:rFonts w:hint="eastAsia" w:ascii="宋体" w:hAnsi="宋体"/>
          <w:sz w:val="28"/>
          <w:szCs w:val="28"/>
        </w:rPr>
        <w:t>l．业务管理情况</w:t>
      </w:r>
    </w:p>
    <w:p w14:paraId="2DDB851E">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（1）项目基础资料齐备</w:t>
      </w:r>
    </w:p>
    <w:p w14:paraId="1A5BFA40">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项目各阶段、各环节资料均保存完好，包括预算计划资料、经费分配资料、资金划拨资料及资产入库资料等，均妥善整理归档。</w:t>
      </w:r>
    </w:p>
    <w:p w14:paraId="0598DA50">
      <w:pPr>
        <w:widowControl/>
        <w:numPr>
          <w:ilvl w:val="0"/>
          <w:numId w:val="10"/>
        </w:numPr>
        <w:spacing w:line="600" w:lineRule="exact"/>
        <w:ind w:firstLine="560" w:firstLineChars="200"/>
        <w:jc w:val="left"/>
        <w:rPr>
          <w:rFonts w:ascii="宋体" w:hAnsi="宋体" w:cs="宋体"/>
          <w:sz w:val="28"/>
          <w:szCs w:val="28"/>
        </w:rPr>
      </w:pPr>
      <w:r>
        <w:rPr>
          <w:rFonts w:hint="eastAsia" w:ascii="宋体" w:hAnsi="宋体" w:cs="宋体"/>
          <w:sz w:val="28"/>
          <w:szCs w:val="28"/>
        </w:rPr>
        <w:t>项目质量控制较为严格</w:t>
      </w:r>
    </w:p>
    <w:p w14:paraId="575DF572">
      <w:pPr>
        <w:pStyle w:val="10"/>
        <w:spacing w:line="600" w:lineRule="exact"/>
        <w:ind w:firstLine="560"/>
        <w:rPr>
          <w:rFonts w:ascii="宋体" w:hAnsi="宋体" w:cs="宋体"/>
          <w:sz w:val="28"/>
          <w:szCs w:val="28"/>
        </w:rPr>
      </w:pPr>
      <w:r>
        <w:rPr>
          <w:rFonts w:hint="eastAsia" w:ascii="宋体" w:hAnsi="宋体" w:cs="宋体"/>
          <w:sz w:val="28"/>
          <w:szCs w:val="28"/>
        </w:rPr>
        <w:t>项目执行部门建立了良好的工作机制和工作流程并得以有效执行，确保公开、公平、公正，经费支出即保证正常工作需要，又不造成浪费，并形成有效记录和档案，便于追溯可查。</w:t>
      </w:r>
    </w:p>
    <w:p w14:paraId="014C0D7E">
      <w:pPr>
        <w:widowControl/>
        <w:numPr>
          <w:ilvl w:val="0"/>
          <w:numId w:val="10"/>
        </w:numPr>
        <w:spacing w:line="600" w:lineRule="exact"/>
        <w:ind w:firstLine="560" w:firstLineChars="200"/>
        <w:jc w:val="left"/>
        <w:rPr>
          <w:rFonts w:ascii="宋体" w:hAnsi="宋体" w:cs="宋体"/>
          <w:sz w:val="28"/>
          <w:szCs w:val="28"/>
        </w:rPr>
      </w:pPr>
      <w:r>
        <w:rPr>
          <w:rFonts w:hint="eastAsia" w:ascii="宋体" w:hAnsi="宋体" w:cs="宋体"/>
          <w:sz w:val="28"/>
          <w:szCs w:val="28"/>
        </w:rPr>
        <w:t>建立项目监督和考核机制</w:t>
      </w:r>
    </w:p>
    <w:p w14:paraId="11C2D2E7">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该经费既有效支持了社区管理相关事务的正常开展，又丰富了社区群众的生活内容，因此街道建立了项目监督机制和项目考核机制，用于支撑项目顺利实施。</w:t>
      </w:r>
    </w:p>
    <w:p w14:paraId="02567888">
      <w:pPr>
        <w:widowControl/>
        <w:spacing w:line="600" w:lineRule="exact"/>
        <w:ind w:left="560"/>
        <w:jc w:val="left"/>
        <w:rPr>
          <w:rFonts w:hint="eastAsia" w:ascii="宋体" w:hAnsi="宋体" w:cs="宋体"/>
          <w:sz w:val="28"/>
          <w:szCs w:val="28"/>
        </w:rPr>
      </w:pPr>
      <w:r>
        <w:rPr>
          <w:rFonts w:hint="eastAsia" w:ascii="宋体" w:hAnsi="宋体" w:cs="宋体"/>
          <w:sz w:val="28"/>
          <w:szCs w:val="28"/>
        </w:rPr>
        <w:t>（4）项目验收</w:t>
      </w:r>
    </w:p>
    <w:p w14:paraId="5892C78D">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项目执行部门组织了专业的</w:t>
      </w:r>
      <w:r>
        <w:rPr>
          <w:rFonts w:ascii="宋体" w:hAnsi="宋体" w:cs="宋体"/>
          <w:sz w:val="28"/>
          <w:szCs w:val="28"/>
        </w:rPr>
        <w:t>验收组</w:t>
      </w:r>
      <w:r>
        <w:rPr>
          <w:rFonts w:hint="eastAsia" w:ascii="宋体" w:hAnsi="宋体" w:cs="宋体"/>
          <w:sz w:val="28"/>
          <w:szCs w:val="28"/>
        </w:rPr>
        <w:t>，</w:t>
      </w:r>
      <w:r>
        <w:rPr>
          <w:rFonts w:ascii="宋体" w:hAnsi="宋体" w:cs="宋体"/>
          <w:sz w:val="28"/>
          <w:szCs w:val="28"/>
        </w:rPr>
        <w:t>通过采取“听、查、看、访”的方法，对201</w:t>
      </w:r>
      <w:r>
        <w:rPr>
          <w:rFonts w:hint="eastAsia" w:ascii="宋体" w:hAnsi="宋体" w:cs="宋体"/>
          <w:sz w:val="28"/>
          <w:szCs w:val="28"/>
        </w:rPr>
        <w:t>7</w:t>
      </w:r>
      <w:r>
        <w:rPr>
          <w:rFonts w:ascii="宋体" w:hAnsi="宋体" w:cs="宋体"/>
          <w:sz w:val="28"/>
          <w:szCs w:val="28"/>
        </w:rPr>
        <w:t>年度</w:t>
      </w:r>
      <w:r>
        <w:rPr>
          <w:rFonts w:hint="eastAsia" w:ascii="宋体" w:hAnsi="宋体" w:cs="宋体"/>
          <w:sz w:val="28"/>
          <w:szCs w:val="28"/>
        </w:rPr>
        <w:t>“农民社区管理补助经费”</w:t>
      </w:r>
      <w:r>
        <w:rPr>
          <w:rFonts w:ascii="宋体" w:hAnsi="宋体" w:cs="宋体"/>
          <w:sz w:val="28"/>
          <w:szCs w:val="28"/>
        </w:rPr>
        <w:t>项目进行了检查验收和绩效评价。</w:t>
      </w:r>
      <w:r>
        <w:rPr>
          <w:rFonts w:hint="eastAsia" w:ascii="宋体" w:hAnsi="宋体" w:cs="宋体"/>
          <w:sz w:val="28"/>
          <w:szCs w:val="28"/>
        </w:rPr>
        <w:t>项目</w:t>
      </w:r>
      <w:r>
        <w:rPr>
          <w:rFonts w:ascii="宋体" w:hAnsi="宋体" w:cs="宋体"/>
          <w:sz w:val="28"/>
          <w:szCs w:val="28"/>
        </w:rPr>
        <w:t>验收组一致认为，</w:t>
      </w:r>
      <w:r>
        <w:rPr>
          <w:rFonts w:hint="eastAsia" w:ascii="宋体" w:hAnsi="宋体" w:cs="宋体"/>
          <w:sz w:val="28"/>
          <w:szCs w:val="28"/>
        </w:rPr>
        <w:t>武汉东湖新技术开发区九峰街道办事处</w:t>
      </w:r>
      <w:r>
        <w:rPr>
          <w:rFonts w:ascii="宋体" w:hAnsi="宋体" w:cs="宋体"/>
          <w:sz w:val="28"/>
          <w:szCs w:val="28"/>
        </w:rPr>
        <w:t>在201</w:t>
      </w:r>
      <w:r>
        <w:rPr>
          <w:rFonts w:hint="eastAsia" w:ascii="宋体" w:hAnsi="宋体" w:cs="宋体"/>
          <w:sz w:val="28"/>
          <w:szCs w:val="28"/>
        </w:rPr>
        <w:t>7</w:t>
      </w:r>
      <w:r>
        <w:rPr>
          <w:rFonts w:ascii="宋体" w:hAnsi="宋体" w:cs="宋体"/>
          <w:sz w:val="28"/>
          <w:szCs w:val="28"/>
        </w:rPr>
        <w:t>年度</w:t>
      </w:r>
      <w:r>
        <w:rPr>
          <w:rFonts w:hint="eastAsia" w:ascii="宋体" w:hAnsi="宋体" w:cs="宋体"/>
          <w:sz w:val="28"/>
          <w:szCs w:val="28"/>
        </w:rPr>
        <w:t>“农民社区管理补助经费”项</w:t>
      </w:r>
      <w:r>
        <w:rPr>
          <w:rFonts w:ascii="宋体" w:hAnsi="宋体" w:cs="宋体"/>
          <w:sz w:val="28"/>
          <w:szCs w:val="28"/>
        </w:rPr>
        <w:t>目实施中，严格贯彻国家</w:t>
      </w:r>
      <w:r>
        <w:rPr>
          <w:rFonts w:hint="eastAsia" w:ascii="宋体" w:hAnsi="宋体" w:cs="宋体"/>
          <w:sz w:val="28"/>
          <w:szCs w:val="28"/>
        </w:rPr>
        <w:t>的相关</w:t>
      </w:r>
      <w:r>
        <w:rPr>
          <w:rFonts w:ascii="宋体" w:hAnsi="宋体" w:cs="宋体"/>
          <w:sz w:val="28"/>
          <w:szCs w:val="28"/>
        </w:rPr>
        <w:t>政策、制度，较好的完成了上级下达的各项任务，</w:t>
      </w:r>
      <w:r>
        <w:rPr>
          <w:rFonts w:hint="eastAsia" w:ascii="宋体" w:hAnsi="宋体" w:cs="宋体"/>
          <w:sz w:val="28"/>
          <w:szCs w:val="28"/>
        </w:rPr>
        <w:t>项目</w:t>
      </w:r>
      <w:r>
        <w:rPr>
          <w:rFonts w:ascii="宋体" w:hAnsi="宋体" w:cs="宋体"/>
          <w:sz w:val="28"/>
          <w:szCs w:val="28"/>
        </w:rPr>
        <w:t>质量合格；项目管理较为规范，效益比较显著</w:t>
      </w:r>
      <w:r>
        <w:rPr>
          <w:rFonts w:hint="eastAsia" w:ascii="宋体" w:hAnsi="宋体" w:cs="宋体"/>
          <w:sz w:val="28"/>
          <w:szCs w:val="28"/>
        </w:rPr>
        <w:t>。</w:t>
      </w:r>
    </w:p>
    <w:p w14:paraId="6F82ACF1">
      <w:pPr>
        <w:spacing w:line="360" w:lineRule="auto"/>
        <w:ind w:firstLine="560" w:firstLineChars="200"/>
        <w:rPr>
          <w:rFonts w:ascii="宋体" w:hAnsi="宋体"/>
          <w:sz w:val="28"/>
          <w:szCs w:val="28"/>
        </w:rPr>
      </w:pPr>
      <w:r>
        <w:rPr>
          <w:rFonts w:hint="eastAsia" w:ascii="宋体" w:hAnsi="宋体"/>
          <w:sz w:val="28"/>
          <w:szCs w:val="28"/>
        </w:rPr>
        <w:t>2．财务管理情况</w:t>
      </w:r>
    </w:p>
    <w:p w14:paraId="02D1B76A">
      <w:pPr>
        <w:widowControl/>
        <w:spacing w:line="600" w:lineRule="exact"/>
        <w:ind w:firstLine="420" w:firstLineChars="150"/>
        <w:jc w:val="left"/>
        <w:rPr>
          <w:rFonts w:ascii="宋体" w:hAnsi="宋体"/>
          <w:sz w:val="28"/>
          <w:szCs w:val="28"/>
        </w:rPr>
      </w:pPr>
      <w:r>
        <w:rPr>
          <w:rFonts w:hint="eastAsia" w:ascii="宋体" w:hAnsi="宋体"/>
          <w:sz w:val="28"/>
          <w:szCs w:val="28"/>
        </w:rPr>
        <w:t>（1）项目支出预算安排情况</w:t>
      </w:r>
    </w:p>
    <w:p w14:paraId="140AFCDB">
      <w:pPr>
        <w:pStyle w:val="12"/>
        <w:ind w:firstLine="504" w:firstLineChars="180"/>
        <w:rPr>
          <w:rFonts w:hint="eastAsia" w:ascii="宋体" w:hAnsi="宋体" w:cs="宋体"/>
          <w:sz w:val="28"/>
          <w:szCs w:val="28"/>
        </w:rPr>
      </w:pPr>
      <w:r>
        <w:rPr>
          <w:rFonts w:hint="eastAsia" w:ascii="宋体" w:hAnsi="宋体"/>
          <w:sz w:val="28"/>
          <w:szCs w:val="28"/>
        </w:rPr>
        <w:t>项目支出预算安排情况为经费80.00万元。其中：</w:t>
      </w:r>
      <w:r>
        <w:rPr>
          <w:rFonts w:hint="eastAsia" w:ascii="宋体" w:hAnsi="宋体" w:cs="宋体"/>
          <w:sz w:val="28"/>
          <w:szCs w:val="28"/>
        </w:rPr>
        <w:t>为明畅里社区增设户外双面彩色显示屏1个，提供补助资金30.00万元；为景源里社区、德欣里社区、同安里社区等社区增设生活、出行、环保、绿化、节能、文体、宣传、教育等方面配套设施40.00万元；九峰街政务服务分中心工作经费10.00万元。</w:t>
      </w:r>
    </w:p>
    <w:p w14:paraId="43B3CAD7">
      <w:pPr>
        <w:spacing w:line="360" w:lineRule="auto"/>
        <w:ind w:firstLine="560" w:firstLineChars="200"/>
        <w:rPr>
          <w:rFonts w:hint="eastAsia" w:ascii="宋体" w:hAnsi="宋体" w:cs="宋体"/>
          <w:sz w:val="28"/>
          <w:szCs w:val="28"/>
        </w:rPr>
      </w:pPr>
      <w:r>
        <w:rPr>
          <w:rFonts w:hint="eastAsia" w:ascii="宋体" w:hAnsi="宋体" w:cs="宋体"/>
          <w:sz w:val="28"/>
          <w:szCs w:val="28"/>
        </w:rPr>
        <w:t>（2）项目实际资金到位情况</w:t>
      </w:r>
    </w:p>
    <w:p w14:paraId="3335D2D3">
      <w:pPr>
        <w:pStyle w:val="12"/>
        <w:ind w:firstLine="504" w:firstLineChars="180"/>
        <w:rPr>
          <w:rFonts w:hint="eastAsia" w:ascii="宋体" w:hAnsi="宋体" w:cs="宋体"/>
          <w:sz w:val="28"/>
          <w:szCs w:val="28"/>
        </w:rPr>
      </w:pPr>
      <w:r>
        <w:rPr>
          <w:rFonts w:hint="eastAsia" w:ascii="宋体" w:hAnsi="宋体" w:cs="宋体"/>
          <w:sz w:val="28"/>
          <w:szCs w:val="28"/>
        </w:rPr>
        <w:t>项目实际资金到位80.00万元。其中：为明畅里社区增设户外双面彩色显示屏1个，提供补助资金30.00万元；为景源里社区、德欣里社区、同安里社区等社区增设生活、出行、环保、绿化、节能、文体、宣传、教育等方面配套设施40.00万元；九峰街政务服务分中心工作经费10.00万元。</w:t>
      </w:r>
    </w:p>
    <w:p w14:paraId="4752A22D">
      <w:pPr>
        <w:spacing w:line="360" w:lineRule="auto"/>
        <w:ind w:firstLine="560" w:firstLineChars="200"/>
        <w:rPr>
          <w:rFonts w:hint="eastAsia" w:ascii="宋体" w:hAnsi="宋体" w:cs="宋体"/>
          <w:sz w:val="28"/>
          <w:szCs w:val="28"/>
        </w:rPr>
      </w:pPr>
      <w:r>
        <w:rPr>
          <w:rFonts w:hint="eastAsia" w:ascii="宋体" w:hAnsi="宋体" w:cs="宋体"/>
          <w:sz w:val="28"/>
          <w:szCs w:val="28"/>
        </w:rPr>
        <w:t>（3）项目实际支出情况。</w:t>
      </w:r>
    </w:p>
    <w:p w14:paraId="12C63C88">
      <w:pPr>
        <w:pStyle w:val="12"/>
        <w:ind w:firstLine="504" w:firstLineChars="180"/>
        <w:rPr>
          <w:rFonts w:hint="eastAsia" w:ascii="宋体" w:hAnsi="宋体" w:cs="宋体"/>
          <w:sz w:val="28"/>
          <w:szCs w:val="28"/>
        </w:rPr>
      </w:pPr>
      <w:r>
        <w:rPr>
          <w:rFonts w:hint="eastAsia" w:ascii="宋体" w:hAnsi="宋体" w:cs="宋体"/>
          <w:sz w:val="28"/>
          <w:szCs w:val="28"/>
        </w:rPr>
        <w:t>项目实际支出80.00万元。其中：为明畅里社区增设户外双面彩色显示屏1个，提供补助资金30.00万元；为景源里社区、德欣里社区、同安里社区等社区增设生活、出行、环保、绿化、节能、文体、宣传、教育等方面配套设施40.00万元；九峰街政务服务分中心工作经费10.00万元。</w:t>
      </w:r>
    </w:p>
    <w:p w14:paraId="638F9056">
      <w:pPr>
        <w:spacing w:line="360" w:lineRule="auto"/>
        <w:ind w:firstLine="560" w:firstLineChars="200"/>
        <w:rPr>
          <w:rFonts w:hint="eastAsia" w:ascii="宋体" w:hAnsi="宋体" w:cs="宋体"/>
          <w:sz w:val="28"/>
          <w:szCs w:val="28"/>
        </w:rPr>
      </w:pPr>
      <w:r>
        <w:rPr>
          <w:rFonts w:hint="eastAsia" w:ascii="宋体" w:hAnsi="宋体" w:cs="宋体"/>
          <w:sz w:val="28"/>
          <w:szCs w:val="28"/>
        </w:rPr>
        <w:t>（4）项目实际与预算无差异。</w:t>
      </w:r>
    </w:p>
    <w:p w14:paraId="6F57195C">
      <w:pPr>
        <w:spacing w:line="360" w:lineRule="auto"/>
        <w:ind w:firstLine="560" w:firstLineChars="200"/>
        <w:rPr>
          <w:rFonts w:hint="eastAsia" w:ascii="宋体" w:hAnsi="宋体"/>
          <w:sz w:val="28"/>
          <w:szCs w:val="28"/>
        </w:rPr>
      </w:pPr>
      <w:r>
        <w:rPr>
          <w:rFonts w:hint="eastAsia" w:ascii="宋体" w:hAnsi="宋体"/>
          <w:sz w:val="28"/>
          <w:szCs w:val="28"/>
        </w:rPr>
        <w:t>（二）项目预算绩效目标的完成情况</w:t>
      </w:r>
    </w:p>
    <w:p w14:paraId="2E09D272">
      <w:pPr>
        <w:widowControl/>
        <w:spacing w:line="600" w:lineRule="exact"/>
        <w:ind w:firstLine="640"/>
        <w:jc w:val="left"/>
        <w:rPr>
          <w:rFonts w:ascii="宋体" w:hAnsi="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sz w:val="28"/>
          <w:szCs w:val="28"/>
        </w:rPr>
        <w:t>依据年初</w:t>
      </w:r>
      <w:r>
        <w:rPr>
          <w:rFonts w:hint="eastAsia" w:ascii="宋体" w:hAnsi="宋体" w:cs="宋体"/>
          <w:sz w:val="28"/>
          <w:szCs w:val="28"/>
        </w:rPr>
        <w:t>“农民社区管理补助经费”《项目</w:t>
      </w:r>
      <w:r>
        <w:rPr>
          <w:rFonts w:ascii="宋体" w:hAnsi="宋体" w:cs="宋体"/>
          <w:sz w:val="28"/>
          <w:szCs w:val="28"/>
        </w:rPr>
        <w:t>绩效</w:t>
      </w:r>
      <w:r>
        <w:rPr>
          <w:rFonts w:hint="eastAsia" w:ascii="宋体" w:hAnsi="宋体" w:cs="宋体"/>
          <w:sz w:val="28"/>
          <w:szCs w:val="28"/>
        </w:rPr>
        <w:t>目标编制说明》，结合2017年度项目实际实施情况，对部分绩效指标做出相应的调整，以期更准确、更有效地反映本项目的绩效情况，具体情况如下表《项目预算绩效评价表》。</w:t>
      </w:r>
    </w:p>
    <w:p w14:paraId="746AB7D5">
      <w:pPr>
        <w:widowControl/>
        <w:spacing w:after="156" w:afterLines="50" w:line="600" w:lineRule="exact"/>
        <w:jc w:val="left"/>
        <w:rPr>
          <w:rFonts w:ascii="宋体" w:hAnsi="宋体"/>
          <w:b/>
          <w:sz w:val="28"/>
          <w:szCs w:val="28"/>
        </w:rPr>
      </w:pPr>
      <w:r>
        <w:rPr>
          <w:rFonts w:hint="eastAsia" w:ascii="宋体" w:hAnsi="宋体"/>
          <w:b/>
          <w:sz w:val="28"/>
          <w:szCs w:val="28"/>
        </w:rPr>
        <w:t>表：项目预算绩效评价表</w:t>
      </w:r>
    </w:p>
    <w:tbl>
      <w:tblPr>
        <w:tblStyle w:val="5"/>
        <w:tblW w:w="13987" w:type="dxa"/>
        <w:jc w:val="center"/>
        <w:tblLayout w:type="fixed"/>
        <w:tblCellMar>
          <w:top w:w="0" w:type="dxa"/>
          <w:left w:w="108" w:type="dxa"/>
          <w:bottom w:w="0" w:type="dxa"/>
          <w:right w:w="108" w:type="dxa"/>
        </w:tblCellMar>
      </w:tblPr>
      <w:tblGrid>
        <w:gridCol w:w="1108"/>
        <w:gridCol w:w="1324"/>
        <w:gridCol w:w="2375"/>
        <w:gridCol w:w="4425"/>
        <w:gridCol w:w="3984"/>
        <w:gridCol w:w="771"/>
      </w:tblGrid>
      <w:tr w14:paraId="59CB0E5C">
        <w:tblPrEx>
          <w:tblCellMar>
            <w:top w:w="0" w:type="dxa"/>
            <w:left w:w="108" w:type="dxa"/>
            <w:bottom w:w="0" w:type="dxa"/>
            <w:right w:w="108" w:type="dxa"/>
          </w:tblCellMar>
        </w:tblPrEx>
        <w:trPr>
          <w:trHeight w:val="440" w:hRule="atLeast"/>
          <w:tblHeader/>
          <w:jc w:val="center"/>
        </w:trPr>
        <w:tc>
          <w:tcPr>
            <w:tcW w:w="1108" w:type="dxa"/>
            <w:tcBorders>
              <w:top w:val="single" w:color="auto" w:sz="12" w:space="0"/>
              <w:left w:val="single" w:color="auto" w:sz="12" w:space="0"/>
              <w:bottom w:val="single" w:color="auto" w:sz="4" w:space="0"/>
              <w:right w:val="single" w:color="auto" w:sz="4" w:space="0"/>
            </w:tcBorders>
            <w:shd w:val="clear" w:color="auto" w:fill="auto"/>
            <w:vAlign w:val="center"/>
          </w:tcPr>
          <w:p w14:paraId="79ED2818">
            <w:pPr>
              <w:widowControl/>
              <w:jc w:val="center"/>
              <w:rPr>
                <w:rFonts w:ascii="宋体" w:hAnsi="宋体" w:cs="宋体"/>
                <w:b/>
                <w:bCs/>
                <w:color w:val="000000"/>
                <w:kern w:val="0"/>
                <w:sz w:val="22"/>
              </w:rPr>
            </w:pPr>
            <w:r>
              <w:rPr>
                <w:rFonts w:hint="eastAsia" w:ascii="宋体" w:hAnsi="宋体" w:cs="宋体"/>
                <w:b/>
                <w:bCs/>
                <w:color w:val="000000"/>
                <w:kern w:val="0"/>
                <w:sz w:val="22"/>
              </w:rPr>
              <w:t>一级</w:t>
            </w:r>
          </w:p>
          <w:p w14:paraId="604B83C1">
            <w:pPr>
              <w:widowControl/>
              <w:jc w:val="center"/>
              <w:rPr>
                <w:rFonts w:ascii="宋体" w:hAnsi="宋体" w:cs="宋体"/>
                <w:b/>
                <w:bCs/>
                <w:color w:val="000000"/>
                <w:kern w:val="0"/>
                <w:sz w:val="22"/>
              </w:rPr>
            </w:pPr>
            <w:r>
              <w:rPr>
                <w:rFonts w:hint="eastAsia" w:ascii="宋体" w:hAnsi="宋体" w:cs="宋体"/>
                <w:b/>
                <w:bCs/>
                <w:color w:val="000000"/>
                <w:kern w:val="0"/>
                <w:sz w:val="22"/>
              </w:rPr>
              <w:t>指标</w:t>
            </w:r>
          </w:p>
        </w:tc>
        <w:tc>
          <w:tcPr>
            <w:tcW w:w="1324" w:type="dxa"/>
            <w:tcBorders>
              <w:top w:val="single" w:color="auto" w:sz="12" w:space="0"/>
              <w:left w:val="nil"/>
              <w:bottom w:val="single" w:color="auto" w:sz="4" w:space="0"/>
              <w:right w:val="single" w:color="auto" w:sz="4" w:space="0"/>
            </w:tcBorders>
            <w:shd w:val="clear" w:color="auto" w:fill="auto"/>
            <w:vAlign w:val="center"/>
          </w:tcPr>
          <w:p w14:paraId="3FE8EFE0">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2375" w:type="dxa"/>
            <w:tcBorders>
              <w:top w:val="single" w:color="auto" w:sz="12" w:space="0"/>
              <w:left w:val="nil"/>
              <w:bottom w:val="single" w:color="auto" w:sz="4" w:space="0"/>
              <w:right w:val="single" w:color="auto" w:sz="4" w:space="0"/>
            </w:tcBorders>
            <w:shd w:val="clear" w:color="auto" w:fill="auto"/>
            <w:vAlign w:val="center"/>
          </w:tcPr>
          <w:p w14:paraId="03F8417E">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4425" w:type="dxa"/>
            <w:tcBorders>
              <w:top w:val="single" w:color="auto" w:sz="12" w:space="0"/>
              <w:left w:val="nil"/>
              <w:bottom w:val="single" w:color="auto" w:sz="4" w:space="0"/>
              <w:right w:val="single" w:color="auto" w:sz="4" w:space="0"/>
            </w:tcBorders>
            <w:shd w:val="clear" w:color="auto" w:fill="auto"/>
            <w:vAlign w:val="center"/>
          </w:tcPr>
          <w:p w14:paraId="3833410A">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3984" w:type="dxa"/>
            <w:tcBorders>
              <w:top w:val="single" w:color="auto" w:sz="12" w:space="0"/>
              <w:left w:val="nil"/>
              <w:bottom w:val="single" w:color="auto" w:sz="4" w:space="0"/>
              <w:right w:val="single" w:color="auto" w:sz="4" w:space="0"/>
            </w:tcBorders>
            <w:shd w:val="clear" w:color="auto" w:fill="auto"/>
            <w:vAlign w:val="center"/>
          </w:tcPr>
          <w:p w14:paraId="28A14B91">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71" w:type="dxa"/>
            <w:tcBorders>
              <w:top w:val="single" w:color="auto" w:sz="12" w:space="0"/>
              <w:left w:val="nil"/>
              <w:bottom w:val="single" w:color="auto" w:sz="4" w:space="0"/>
              <w:right w:val="single" w:color="auto" w:sz="12" w:space="0"/>
            </w:tcBorders>
            <w:shd w:val="clear" w:color="auto" w:fill="auto"/>
            <w:vAlign w:val="center"/>
          </w:tcPr>
          <w:p w14:paraId="24A9E9A1">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754D250A">
        <w:tblPrEx>
          <w:tblCellMar>
            <w:top w:w="0" w:type="dxa"/>
            <w:left w:w="108" w:type="dxa"/>
            <w:bottom w:w="0" w:type="dxa"/>
            <w:right w:w="108" w:type="dxa"/>
          </w:tblCellMar>
        </w:tblPrEx>
        <w:trPr>
          <w:trHeight w:val="440" w:hRule="atLeast"/>
          <w:jc w:val="center"/>
        </w:trPr>
        <w:tc>
          <w:tcPr>
            <w:tcW w:w="1108" w:type="dxa"/>
            <w:vMerge w:val="restart"/>
            <w:tcBorders>
              <w:top w:val="nil"/>
              <w:left w:val="single" w:color="auto" w:sz="12" w:space="0"/>
              <w:bottom w:val="single" w:color="auto" w:sz="4" w:space="0"/>
              <w:right w:val="single" w:color="auto" w:sz="4" w:space="0"/>
            </w:tcBorders>
            <w:shd w:val="clear" w:color="auto" w:fill="auto"/>
            <w:vAlign w:val="center"/>
          </w:tcPr>
          <w:p w14:paraId="23551BDA">
            <w:pPr>
              <w:widowControl/>
              <w:jc w:val="center"/>
              <w:rPr>
                <w:rFonts w:ascii="宋体" w:hAnsi="宋体" w:cs="宋体"/>
                <w:color w:val="000000"/>
                <w:kern w:val="0"/>
                <w:sz w:val="22"/>
              </w:rPr>
            </w:pPr>
            <w:r>
              <w:rPr>
                <w:rFonts w:hint="eastAsia" w:ascii="宋体" w:hAnsi="宋体" w:cs="宋体"/>
                <w:color w:val="000000"/>
                <w:kern w:val="0"/>
                <w:sz w:val="22"/>
              </w:rPr>
              <w:t>一、投入（20分）</w:t>
            </w:r>
          </w:p>
        </w:tc>
        <w:tc>
          <w:tcPr>
            <w:tcW w:w="1324" w:type="dxa"/>
            <w:vMerge w:val="restart"/>
            <w:tcBorders>
              <w:top w:val="nil"/>
              <w:left w:val="single" w:color="auto" w:sz="4" w:space="0"/>
              <w:bottom w:val="single" w:color="000000" w:sz="4" w:space="0"/>
              <w:right w:val="single" w:color="auto" w:sz="4" w:space="0"/>
            </w:tcBorders>
            <w:shd w:val="clear" w:color="auto" w:fill="auto"/>
            <w:vAlign w:val="center"/>
          </w:tcPr>
          <w:p w14:paraId="2ECBEC8C">
            <w:pPr>
              <w:widowControl/>
              <w:jc w:val="center"/>
              <w:rPr>
                <w:rFonts w:ascii="宋体" w:hAnsi="宋体" w:cs="宋体"/>
                <w:color w:val="000000"/>
                <w:kern w:val="0"/>
                <w:sz w:val="22"/>
              </w:rPr>
            </w:pPr>
            <w:r>
              <w:rPr>
                <w:rFonts w:hint="eastAsia" w:ascii="宋体" w:hAnsi="宋体" w:cs="宋体"/>
                <w:color w:val="000000"/>
                <w:kern w:val="0"/>
                <w:sz w:val="22"/>
              </w:rPr>
              <w:t>项目立项（10分）</w:t>
            </w:r>
          </w:p>
        </w:tc>
        <w:tc>
          <w:tcPr>
            <w:tcW w:w="2375" w:type="dxa"/>
            <w:tcBorders>
              <w:top w:val="nil"/>
              <w:left w:val="nil"/>
              <w:bottom w:val="single" w:color="auto" w:sz="4" w:space="0"/>
              <w:right w:val="single" w:color="auto" w:sz="4" w:space="0"/>
            </w:tcBorders>
            <w:shd w:val="clear" w:color="auto" w:fill="auto"/>
            <w:vAlign w:val="center"/>
          </w:tcPr>
          <w:p w14:paraId="09B8C277">
            <w:pPr>
              <w:widowControl/>
              <w:jc w:val="left"/>
              <w:rPr>
                <w:rFonts w:ascii="宋体" w:hAnsi="宋体" w:cs="宋体"/>
                <w:color w:val="000000"/>
                <w:kern w:val="0"/>
                <w:sz w:val="22"/>
              </w:rPr>
            </w:pPr>
            <w:r>
              <w:rPr>
                <w:rFonts w:hint="eastAsia" w:ascii="宋体" w:hAnsi="宋体" w:cs="宋体"/>
                <w:color w:val="000000"/>
                <w:kern w:val="0"/>
                <w:sz w:val="22"/>
              </w:rPr>
              <w:t>项目立项规范性（5分）</w:t>
            </w:r>
          </w:p>
        </w:tc>
        <w:tc>
          <w:tcPr>
            <w:tcW w:w="4425" w:type="dxa"/>
            <w:tcBorders>
              <w:top w:val="nil"/>
              <w:left w:val="nil"/>
              <w:bottom w:val="single" w:color="auto" w:sz="4" w:space="0"/>
              <w:right w:val="single" w:color="auto" w:sz="4" w:space="0"/>
            </w:tcBorders>
            <w:shd w:val="clear" w:color="auto" w:fill="auto"/>
            <w:vAlign w:val="center"/>
          </w:tcPr>
          <w:p w14:paraId="0A499CAF">
            <w:pPr>
              <w:widowControl/>
              <w:jc w:val="left"/>
              <w:rPr>
                <w:rFonts w:ascii="宋体" w:hAnsi="宋体" w:cs="宋体"/>
                <w:color w:val="000000"/>
                <w:kern w:val="0"/>
                <w:sz w:val="22"/>
              </w:rPr>
            </w:pPr>
            <w:r>
              <w:rPr>
                <w:rFonts w:hint="eastAsia" w:ascii="宋体" w:hAnsi="宋体" w:cs="宋体"/>
                <w:color w:val="000000"/>
                <w:kern w:val="0"/>
                <w:sz w:val="22"/>
              </w:rPr>
              <w:t>项目的申请、设立过程是否符合相关要求，用以反映和考核项目立项的规范情况。</w:t>
            </w:r>
          </w:p>
        </w:tc>
        <w:tc>
          <w:tcPr>
            <w:tcW w:w="3984" w:type="dxa"/>
            <w:tcBorders>
              <w:top w:val="nil"/>
              <w:left w:val="nil"/>
              <w:bottom w:val="single" w:color="auto" w:sz="4" w:space="0"/>
              <w:right w:val="single" w:color="auto" w:sz="4" w:space="0"/>
            </w:tcBorders>
            <w:shd w:val="clear" w:color="auto" w:fill="auto"/>
            <w:vAlign w:val="center"/>
          </w:tcPr>
          <w:p w14:paraId="5660CB9C">
            <w:pPr>
              <w:widowControl/>
              <w:jc w:val="left"/>
              <w:rPr>
                <w:rFonts w:ascii="宋体" w:hAnsi="宋体" w:cs="宋体"/>
                <w:color w:val="000000"/>
                <w:kern w:val="0"/>
                <w:sz w:val="22"/>
              </w:rPr>
            </w:pPr>
            <w:r>
              <w:rPr>
                <w:rFonts w:hint="eastAsia" w:ascii="宋体" w:hAnsi="宋体" w:cs="宋体"/>
                <w:color w:val="000000"/>
                <w:kern w:val="0"/>
                <w:sz w:val="22"/>
              </w:rPr>
              <w:t>本项目经费为持续性、常年性项目，项目立项规范，符合相关政策要求。</w:t>
            </w:r>
          </w:p>
        </w:tc>
        <w:tc>
          <w:tcPr>
            <w:tcW w:w="771" w:type="dxa"/>
            <w:tcBorders>
              <w:top w:val="nil"/>
              <w:left w:val="nil"/>
              <w:bottom w:val="single" w:color="auto" w:sz="4" w:space="0"/>
              <w:right w:val="single" w:color="auto" w:sz="12" w:space="0"/>
            </w:tcBorders>
            <w:shd w:val="clear" w:color="auto" w:fill="auto"/>
            <w:vAlign w:val="center"/>
          </w:tcPr>
          <w:p w14:paraId="4D23A2F6">
            <w:pPr>
              <w:widowControl/>
              <w:jc w:val="center"/>
              <w:rPr>
                <w:rFonts w:ascii="宋体" w:hAnsi="宋体" w:cs="宋体"/>
                <w:color w:val="000000"/>
                <w:kern w:val="0"/>
                <w:sz w:val="22"/>
              </w:rPr>
            </w:pPr>
            <w:r>
              <w:rPr>
                <w:rFonts w:hint="eastAsia" w:ascii="宋体" w:hAnsi="宋体" w:cs="宋体"/>
                <w:color w:val="000000"/>
                <w:kern w:val="0"/>
                <w:sz w:val="22"/>
              </w:rPr>
              <w:t>5</w:t>
            </w:r>
          </w:p>
        </w:tc>
      </w:tr>
      <w:tr w14:paraId="01E58961">
        <w:tblPrEx>
          <w:tblCellMar>
            <w:top w:w="0" w:type="dxa"/>
            <w:left w:w="108" w:type="dxa"/>
            <w:bottom w:w="0" w:type="dxa"/>
            <w:right w:w="108" w:type="dxa"/>
          </w:tblCellMar>
        </w:tblPrEx>
        <w:trPr>
          <w:trHeight w:val="88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68FE2D46">
            <w:pPr>
              <w:widowControl/>
              <w:jc w:val="left"/>
              <w:rPr>
                <w:rFonts w:ascii="宋体" w:hAnsi="宋体" w:cs="宋体"/>
                <w:color w:val="000000"/>
                <w:kern w:val="0"/>
                <w:sz w:val="22"/>
              </w:rPr>
            </w:pPr>
          </w:p>
        </w:tc>
        <w:tc>
          <w:tcPr>
            <w:tcW w:w="1324" w:type="dxa"/>
            <w:vMerge w:val="continue"/>
            <w:tcBorders>
              <w:top w:val="nil"/>
              <w:left w:val="single" w:color="auto" w:sz="4" w:space="0"/>
              <w:bottom w:val="single" w:color="000000" w:sz="4" w:space="0"/>
              <w:right w:val="single" w:color="auto" w:sz="4" w:space="0"/>
            </w:tcBorders>
            <w:shd w:val="clear" w:color="auto" w:fill="auto"/>
            <w:vAlign w:val="center"/>
          </w:tcPr>
          <w:p w14:paraId="208A5BED">
            <w:pPr>
              <w:widowControl/>
              <w:jc w:val="left"/>
              <w:rPr>
                <w:rFonts w:ascii="宋体" w:hAnsi="宋体" w:cs="宋体"/>
                <w:color w:val="000000"/>
                <w:kern w:val="0"/>
                <w:sz w:val="22"/>
              </w:rPr>
            </w:pPr>
          </w:p>
        </w:tc>
        <w:tc>
          <w:tcPr>
            <w:tcW w:w="2375" w:type="dxa"/>
            <w:tcBorders>
              <w:top w:val="nil"/>
              <w:left w:val="nil"/>
              <w:bottom w:val="single" w:color="auto" w:sz="4" w:space="0"/>
              <w:right w:val="single" w:color="auto" w:sz="4" w:space="0"/>
            </w:tcBorders>
            <w:shd w:val="clear" w:color="auto" w:fill="auto"/>
            <w:vAlign w:val="center"/>
          </w:tcPr>
          <w:p w14:paraId="3C47FF13">
            <w:pPr>
              <w:widowControl/>
              <w:jc w:val="left"/>
              <w:rPr>
                <w:rFonts w:ascii="宋体" w:hAnsi="宋体" w:cs="宋体"/>
                <w:color w:val="000000"/>
                <w:kern w:val="0"/>
                <w:sz w:val="22"/>
              </w:rPr>
            </w:pPr>
            <w:r>
              <w:rPr>
                <w:rFonts w:hint="eastAsia" w:ascii="宋体" w:hAnsi="宋体" w:cs="宋体"/>
                <w:color w:val="000000"/>
                <w:kern w:val="0"/>
                <w:sz w:val="22"/>
              </w:rPr>
              <w:t>绩效目标合理性（5分）</w:t>
            </w:r>
          </w:p>
        </w:tc>
        <w:tc>
          <w:tcPr>
            <w:tcW w:w="4425" w:type="dxa"/>
            <w:tcBorders>
              <w:top w:val="nil"/>
              <w:left w:val="nil"/>
              <w:bottom w:val="single" w:color="auto" w:sz="4" w:space="0"/>
              <w:right w:val="single" w:color="auto" w:sz="4" w:space="0"/>
            </w:tcBorders>
            <w:shd w:val="clear" w:color="auto" w:fill="auto"/>
            <w:vAlign w:val="center"/>
          </w:tcPr>
          <w:p w14:paraId="3999E396">
            <w:pPr>
              <w:widowControl/>
              <w:jc w:val="left"/>
              <w:rPr>
                <w:rFonts w:ascii="宋体" w:hAnsi="宋体" w:cs="宋体"/>
                <w:color w:val="000000"/>
                <w:kern w:val="0"/>
                <w:sz w:val="22"/>
              </w:rPr>
            </w:pPr>
            <w:r>
              <w:rPr>
                <w:rFonts w:hint="eastAsia" w:ascii="宋体" w:hAnsi="宋体" w:cs="宋体"/>
                <w:color w:val="000000"/>
                <w:kern w:val="0"/>
                <w:sz w:val="22"/>
              </w:rPr>
              <w:t>项目是否设定绩效目标和绩效指标，所设定的绩效目标和指标是否符合实际，用以反映和考核项目绩效目标与项目实施的相符情况。</w:t>
            </w:r>
          </w:p>
        </w:tc>
        <w:tc>
          <w:tcPr>
            <w:tcW w:w="3984" w:type="dxa"/>
            <w:tcBorders>
              <w:top w:val="nil"/>
              <w:left w:val="nil"/>
              <w:bottom w:val="single" w:color="auto" w:sz="4" w:space="0"/>
              <w:right w:val="single" w:color="auto" w:sz="4" w:space="0"/>
            </w:tcBorders>
            <w:shd w:val="clear" w:color="auto" w:fill="auto"/>
            <w:vAlign w:val="center"/>
          </w:tcPr>
          <w:p w14:paraId="47CAB1A6">
            <w:pPr>
              <w:widowControl/>
              <w:jc w:val="left"/>
              <w:rPr>
                <w:rFonts w:ascii="宋体" w:hAnsi="宋体" w:cs="宋体"/>
                <w:color w:val="000000"/>
                <w:kern w:val="0"/>
                <w:sz w:val="22"/>
              </w:rPr>
            </w:pPr>
            <w:r>
              <w:rPr>
                <w:rFonts w:hint="eastAsia" w:ascii="宋体" w:hAnsi="宋体" w:cs="宋体"/>
                <w:color w:val="000000"/>
                <w:kern w:val="0"/>
                <w:sz w:val="22"/>
              </w:rPr>
              <w:t>项目设定了绩效目标和绩效指标，所设定的绩效目标和指标基本符合实际，但设立的指标较为粗略，部分难以有效体现项目效果。</w:t>
            </w:r>
          </w:p>
        </w:tc>
        <w:tc>
          <w:tcPr>
            <w:tcW w:w="771" w:type="dxa"/>
            <w:tcBorders>
              <w:top w:val="nil"/>
              <w:left w:val="nil"/>
              <w:bottom w:val="single" w:color="auto" w:sz="4" w:space="0"/>
              <w:right w:val="single" w:color="auto" w:sz="12" w:space="0"/>
            </w:tcBorders>
            <w:shd w:val="clear" w:color="auto" w:fill="auto"/>
            <w:vAlign w:val="center"/>
          </w:tcPr>
          <w:p w14:paraId="5EE10E0E">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1BAFBCE9">
        <w:tblPrEx>
          <w:tblCellMar>
            <w:top w:w="0" w:type="dxa"/>
            <w:left w:w="108" w:type="dxa"/>
            <w:bottom w:w="0" w:type="dxa"/>
            <w:right w:w="108" w:type="dxa"/>
          </w:tblCellMar>
        </w:tblPrEx>
        <w:trPr>
          <w:trHeight w:val="66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41370335">
            <w:pPr>
              <w:widowControl/>
              <w:jc w:val="left"/>
              <w:rPr>
                <w:rFonts w:ascii="宋体" w:hAnsi="宋体" w:cs="宋体"/>
                <w:color w:val="000000"/>
                <w:kern w:val="0"/>
                <w:sz w:val="22"/>
              </w:rPr>
            </w:pPr>
          </w:p>
        </w:tc>
        <w:tc>
          <w:tcPr>
            <w:tcW w:w="1324" w:type="dxa"/>
            <w:vMerge w:val="restart"/>
            <w:tcBorders>
              <w:top w:val="nil"/>
              <w:left w:val="single" w:color="auto" w:sz="4" w:space="0"/>
              <w:bottom w:val="single" w:color="000000" w:sz="4" w:space="0"/>
              <w:right w:val="single" w:color="auto" w:sz="4" w:space="0"/>
            </w:tcBorders>
            <w:shd w:val="clear" w:color="auto" w:fill="auto"/>
            <w:vAlign w:val="center"/>
          </w:tcPr>
          <w:p w14:paraId="0F7551C6">
            <w:pPr>
              <w:widowControl/>
              <w:jc w:val="center"/>
              <w:rPr>
                <w:rFonts w:ascii="宋体" w:hAnsi="宋体" w:cs="宋体"/>
                <w:color w:val="000000"/>
                <w:kern w:val="0"/>
                <w:sz w:val="22"/>
              </w:rPr>
            </w:pPr>
            <w:r>
              <w:rPr>
                <w:rFonts w:hint="eastAsia" w:ascii="宋体" w:hAnsi="宋体" w:cs="宋体"/>
                <w:color w:val="000000"/>
                <w:kern w:val="0"/>
                <w:sz w:val="22"/>
              </w:rPr>
              <w:t>资金落实（10分）</w:t>
            </w:r>
          </w:p>
        </w:tc>
        <w:tc>
          <w:tcPr>
            <w:tcW w:w="2375" w:type="dxa"/>
            <w:tcBorders>
              <w:top w:val="nil"/>
              <w:left w:val="nil"/>
              <w:bottom w:val="single" w:color="auto" w:sz="4" w:space="0"/>
              <w:right w:val="single" w:color="auto" w:sz="4" w:space="0"/>
            </w:tcBorders>
            <w:shd w:val="clear" w:color="auto" w:fill="auto"/>
            <w:vAlign w:val="center"/>
          </w:tcPr>
          <w:p w14:paraId="47463866">
            <w:pPr>
              <w:widowControl/>
              <w:jc w:val="left"/>
              <w:rPr>
                <w:rFonts w:ascii="宋体" w:hAnsi="宋体" w:cs="宋体"/>
                <w:color w:val="000000"/>
                <w:kern w:val="0"/>
                <w:sz w:val="22"/>
              </w:rPr>
            </w:pPr>
            <w:r>
              <w:rPr>
                <w:rFonts w:hint="eastAsia" w:ascii="宋体" w:hAnsi="宋体" w:cs="宋体"/>
                <w:color w:val="000000"/>
                <w:kern w:val="0"/>
                <w:sz w:val="22"/>
              </w:rPr>
              <w:t>资金到位率（5分）</w:t>
            </w:r>
          </w:p>
        </w:tc>
        <w:tc>
          <w:tcPr>
            <w:tcW w:w="4425" w:type="dxa"/>
            <w:tcBorders>
              <w:top w:val="nil"/>
              <w:left w:val="nil"/>
              <w:bottom w:val="single" w:color="auto" w:sz="4" w:space="0"/>
              <w:right w:val="single" w:color="auto" w:sz="4" w:space="0"/>
            </w:tcBorders>
            <w:shd w:val="clear" w:color="auto" w:fill="auto"/>
            <w:vAlign w:val="center"/>
          </w:tcPr>
          <w:p w14:paraId="24C9DA72">
            <w:pPr>
              <w:widowControl/>
              <w:jc w:val="left"/>
              <w:rPr>
                <w:rFonts w:ascii="宋体" w:hAnsi="宋体" w:cs="宋体"/>
                <w:color w:val="000000"/>
                <w:kern w:val="0"/>
                <w:sz w:val="22"/>
              </w:rPr>
            </w:pPr>
            <w:r>
              <w:rPr>
                <w:rFonts w:hint="eastAsia" w:ascii="宋体" w:hAnsi="宋体" w:cs="宋体"/>
                <w:color w:val="000000"/>
                <w:kern w:val="0"/>
                <w:sz w:val="22"/>
              </w:rPr>
              <w:t>实际到位资金与计划投入资金的比率，用以反映和考核资金落实情况对项目实施的总体保障程度。</w:t>
            </w:r>
          </w:p>
        </w:tc>
        <w:tc>
          <w:tcPr>
            <w:tcW w:w="3984" w:type="dxa"/>
            <w:tcBorders>
              <w:top w:val="nil"/>
              <w:left w:val="nil"/>
              <w:bottom w:val="single" w:color="auto" w:sz="4" w:space="0"/>
              <w:right w:val="single" w:color="auto" w:sz="4" w:space="0"/>
            </w:tcBorders>
            <w:shd w:val="clear" w:color="auto" w:fill="auto"/>
            <w:vAlign w:val="center"/>
          </w:tcPr>
          <w:p w14:paraId="624B4791">
            <w:pPr>
              <w:widowControl/>
              <w:jc w:val="left"/>
              <w:rPr>
                <w:rFonts w:ascii="宋体" w:hAnsi="宋体" w:cs="宋体"/>
                <w:color w:val="000000"/>
                <w:kern w:val="0"/>
                <w:sz w:val="22"/>
              </w:rPr>
            </w:pPr>
            <w:r>
              <w:rPr>
                <w:rFonts w:hint="eastAsia" w:ascii="宋体" w:hAnsi="宋体" w:cs="宋体"/>
                <w:color w:val="000000"/>
                <w:kern w:val="0"/>
                <w:sz w:val="22"/>
              </w:rPr>
              <w:t>预算批复金额80.00万元与预算申报金额80.00万元一致，实际支出资金80.00万元，资金到位率100.00%。</w:t>
            </w:r>
          </w:p>
        </w:tc>
        <w:tc>
          <w:tcPr>
            <w:tcW w:w="771" w:type="dxa"/>
            <w:tcBorders>
              <w:top w:val="nil"/>
              <w:left w:val="nil"/>
              <w:bottom w:val="single" w:color="auto" w:sz="4" w:space="0"/>
              <w:right w:val="single" w:color="auto" w:sz="12" w:space="0"/>
            </w:tcBorders>
            <w:shd w:val="clear" w:color="auto" w:fill="auto"/>
            <w:vAlign w:val="center"/>
          </w:tcPr>
          <w:p w14:paraId="0B791B26">
            <w:pPr>
              <w:widowControl/>
              <w:jc w:val="center"/>
              <w:rPr>
                <w:rFonts w:ascii="宋体" w:hAnsi="宋体" w:cs="宋体"/>
                <w:color w:val="000000"/>
                <w:kern w:val="0"/>
                <w:sz w:val="22"/>
              </w:rPr>
            </w:pPr>
            <w:r>
              <w:rPr>
                <w:rFonts w:hint="eastAsia" w:ascii="宋体" w:hAnsi="宋体" w:cs="宋体"/>
                <w:color w:val="000000"/>
                <w:kern w:val="0"/>
                <w:sz w:val="22"/>
              </w:rPr>
              <w:t>5</w:t>
            </w:r>
          </w:p>
        </w:tc>
      </w:tr>
      <w:tr w14:paraId="690A0F25">
        <w:tblPrEx>
          <w:tblCellMar>
            <w:top w:w="0" w:type="dxa"/>
            <w:left w:w="108" w:type="dxa"/>
            <w:bottom w:w="0" w:type="dxa"/>
            <w:right w:w="108" w:type="dxa"/>
          </w:tblCellMar>
        </w:tblPrEx>
        <w:trPr>
          <w:trHeight w:val="44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25442717">
            <w:pPr>
              <w:widowControl/>
              <w:jc w:val="left"/>
              <w:rPr>
                <w:rFonts w:ascii="宋体" w:hAnsi="宋体" w:cs="宋体"/>
                <w:color w:val="000000"/>
                <w:kern w:val="0"/>
                <w:sz w:val="22"/>
              </w:rPr>
            </w:pPr>
          </w:p>
        </w:tc>
        <w:tc>
          <w:tcPr>
            <w:tcW w:w="1324" w:type="dxa"/>
            <w:vMerge w:val="continue"/>
            <w:tcBorders>
              <w:top w:val="nil"/>
              <w:left w:val="single" w:color="auto" w:sz="4" w:space="0"/>
              <w:bottom w:val="single" w:color="000000" w:sz="4" w:space="0"/>
              <w:right w:val="single" w:color="auto" w:sz="4" w:space="0"/>
            </w:tcBorders>
            <w:shd w:val="clear" w:color="auto" w:fill="auto"/>
            <w:vAlign w:val="center"/>
          </w:tcPr>
          <w:p w14:paraId="0B65B8D3">
            <w:pPr>
              <w:widowControl/>
              <w:jc w:val="left"/>
              <w:rPr>
                <w:rFonts w:ascii="宋体" w:hAnsi="宋体" w:cs="宋体"/>
                <w:color w:val="000000"/>
                <w:kern w:val="0"/>
                <w:sz w:val="22"/>
              </w:rPr>
            </w:pPr>
          </w:p>
        </w:tc>
        <w:tc>
          <w:tcPr>
            <w:tcW w:w="2375" w:type="dxa"/>
            <w:tcBorders>
              <w:top w:val="nil"/>
              <w:left w:val="nil"/>
              <w:bottom w:val="single" w:color="auto" w:sz="4" w:space="0"/>
              <w:right w:val="single" w:color="auto" w:sz="4" w:space="0"/>
            </w:tcBorders>
            <w:shd w:val="clear" w:color="auto" w:fill="auto"/>
            <w:vAlign w:val="center"/>
          </w:tcPr>
          <w:p w14:paraId="0D35572B">
            <w:pPr>
              <w:widowControl/>
              <w:jc w:val="left"/>
              <w:rPr>
                <w:rFonts w:ascii="宋体" w:hAnsi="宋体" w:cs="宋体"/>
                <w:color w:val="000000"/>
                <w:kern w:val="0"/>
                <w:sz w:val="22"/>
              </w:rPr>
            </w:pPr>
            <w:r>
              <w:rPr>
                <w:rFonts w:hint="eastAsia" w:ascii="宋体" w:hAnsi="宋体" w:cs="宋体"/>
                <w:color w:val="000000"/>
                <w:kern w:val="0"/>
                <w:sz w:val="22"/>
              </w:rPr>
              <w:t>到位及时率（5分）</w:t>
            </w:r>
          </w:p>
        </w:tc>
        <w:tc>
          <w:tcPr>
            <w:tcW w:w="4425" w:type="dxa"/>
            <w:tcBorders>
              <w:top w:val="nil"/>
              <w:left w:val="nil"/>
              <w:bottom w:val="single" w:color="auto" w:sz="4" w:space="0"/>
              <w:right w:val="single" w:color="auto" w:sz="4" w:space="0"/>
            </w:tcBorders>
            <w:shd w:val="clear" w:color="auto" w:fill="auto"/>
            <w:vAlign w:val="center"/>
          </w:tcPr>
          <w:p w14:paraId="0E51219C">
            <w:pPr>
              <w:widowControl/>
              <w:jc w:val="left"/>
              <w:rPr>
                <w:rFonts w:ascii="宋体" w:hAnsi="宋体" w:cs="宋体"/>
                <w:color w:val="000000"/>
                <w:kern w:val="0"/>
                <w:sz w:val="22"/>
              </w:rPr>
            </w:pPr>
            <w:r>
              <w:rPr>
                <w:rFonts w:hint="eastAsia" w:ascii="宋体" w:hAnsi="宋体" w:cs="宋体"/>
                <w:color w:val="000000"/>
                <w:kern w:val="0"/>
                <w:sz w:val="22"/>
              </w:rPr>
              <w:t>及时到位资金与应到位资金的比率，用以反映和考核项目资金落实的及时性程度。</w:t>
            </w:r>
          </w:p>
        </w:tc>
        <w:tc>
          <w:tcPr>
            <w:tcW w:w="3984" w:type="dxa"/>
            <w:tcBorders>
              <w:top w:val="nil"/>
              <w:left w:val="nil"/>
              <w:bottom w:val="single" w:color="auto" w:sz="4" w:space="0"/>
              <w:right w:val="single" w:color="auto" w:sz="4" w:space="0"/>
            </w:tcBorders>
            <w:shd w:val="clear" w:color="auto" w:fill="auto"/>
            <w:vAlign w:val="center"/>
          </w:tcPr>
          <w:p w14:paraId="6B45B001">
            <w:pPr>
              <w:widowControl/>
              <w:jc w:val="left"/>
              <w:rPr>
                <w:rFonts w:ascii="宋体" w:hAnsi="宋体" w:cs="宋体"/>
                <w:color w:val="000000"/>
                <w:kern w:val="0"/>
                <w:sz w:val="22"/>
              </w:rPr>
            </w:pPr>
            <w:r>
              <w:rPr>
                <w:rFonts w:hint="eastAsia" w:ascii="宋体" w:hAnsi="宋体" w:cs="宋体"/>
                <w:color w:val="000000"/>
                <w:kern w:val="0"/>
                <w:sz w:val="22"/>
              </w:rPr>
              <w:t>及时拨付各社区项目资金，资金到位及时率100%</w:t>
            </w:r>
          </w:p>
        </w:tc>
        <w:tc>
          <w:tcPr>
            <w:tcW w:w="771" w:type="dxa"/>
            <w:tcBorders>
              <w:top w:val="nil"/>
              <w:left w:val="nil"/>
              <w:bottom w:val="single" w:color="auto" w:sz="4" w:space="0"/>
              <w:right w:val="single" w:color="auto" w:sz="12" w:space="0"/>
            </w:tcBorders>
            <w:shd w:val="clear" w:color="auto" w:fill="auto"/>
            <w:vAlign w:val="center"/>
          </w:tcPr>
          <w:p w14:paraId="44570B72">
            <w:pPr>
              <w:widowControl/>
              <w:jc w:val="center"/>
              <w:rPr>
                <w:rFonts w:ascii="宋体" w:hAnsi="宋体" w:cs="宋体"/>
                <w:color w:val="000000"/>
                <w:kern w:val="0"/>
                <w:sz w:val="22"/>
              </w:rPr>
            </w:pPr>
            <w:r>
              <w:rPr>
                <w:rFonts w:hint="eastAsia" w:ascii="宋体" w:hAnsi="宋体" w:cs="宋体"/>
                <w:color w:val="000000"/>
                <w:kern w:val="0"/>
                <w:sz w:val="22"/>
              </w:rPr>
              <w:t>5</w:t>
            </w:r>
          </w:p>
        </w:tc>
      </w:tr>
      <w:tr w14:paraId="69B92A04">
        <w:tblPrEx>
          <w:tblCellMar>
            <w:top w:w="0" w:type="dxa"/>
            <w:left w:w="108" w:type="dxa"/>
            <w:bottom w:w="0" w:type="dxa"/>
            <w:right w:w="108" w:type="dxa"/>
          </w:tblCellMar>
        </w:tblPrEx>
        <w:trPr>
          <w:trHeight w:val="440" w:hRule="atLeast"/>
          <w:jc w:val="center"/>
        </w:trPr>
        <w:tc>
          <w:tcPr>
            <w:tcW w:w="1321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73EA8CBE">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71" w:type="dxa"/>
            <w:tcBorders>
              <w:top w:val="nil"/>
              <w:left w:val="nil"/>
              <w:bottom w:val="single" w:color="auto" w:sz="4" w:space="0"/>
              <w:right w:val="single" w:color="auto" w:sz="12" w:space="0"/>
            </w:tcBorders>
            <w:shd w:val="clear" w:color="auto" w:fill="auto"/>
            <w:vAlign w:val="center"/>
          </w:tcPr>
          <w:p w14:paraId="6004CE21">
            <w:pPr>
              <w:widowControl/>
              <w:jc w:val="center"/>
              <w:rPr>
                <w:rFonts w:ascii="宋体" w:hAnsi="宋体" w:cs="宋体"/>
                <w:b/>
                <w:bCs/>
                <w:color w:val="000000"/>
                <w:kern w:val="0"/>
                <w:sz w:val="22"/>
              </w:rPr>
            </w:pPr>
            <w:r>
              <w:rPr>
                <w:rFonts w:hint="eastAsia" w:ascii="宋体" w:hAnsi="宋体" w:cs="宋体"/>
                <w:b/>
                <w:bCs/>
                <w:color w:val="000000"/>
                <w:kern w:val="0"/>
                <w:sz w:val="22"/>
              </w:rPr>
              <w:t>19.0</w:t>
            </w:r>
          </w:p>
        </w:tc>
      </w:tr>
      <w:tr w14:paraId="6F8D2D26">
        <w:tblPrEx>
          <w:tblCellMar>
            <w:top w:w="0" w:type="dxa"/>
            <w:left w:w="108" w:type="dxa"/>
            <w:bottom w:w="0" w:type="dxa"/>
            <w:right w:w="108" w:type="dxa"/>
          </w:tblCellMar>
        </w:tblPrEx>
        <w:trPr>
          <w:trHeight w:val="440" w:hRule="atLeast"/>
          <w:jc w:val="center"/>
        </w:trPr>
        <w:tc>
          <w:tcPr>
            <w:tcW w:w="1108" w:type="dxa"/>
            <w:vMerge w:val="restart"/>
            <w:tcBorders>
              <w:top w:val="nil"/>
              <w:left w:val="single" w:color="auto" w:sz="12" w:space="0"/>
              <w:bottom w:val="single" w:color="auto" w:sz="4" w:space="0"/>
              <w:right w:val="single" w:color="auto" w:sz="4" w:space="0"/>
            </w:tcBorders>
            <w:shd w:val="clear" w:color="auto" w:fill="auto"/>
            <w:vAlign w:val="center"/>
          </w:tcPr>
          <w:p w14:paraId="79426328">
            <w:pPr>
              <w:widowControl/>
              <w:jc w:val="center"/>
              <w:rPr>
                <w:rFonts w:ascii="宋体" w:hAnsi="宋体" w:cs="宋体"/>
                <w:color w:val="000000"/>
                <w:kern w:val="0"/>
                <w:sz w:val="22"/>
              </w:rPr>
            </w:pPr>
            <w:r>
              <w:rPr>
                <w:rFonts w:hint="eastAsia" w:ascii="宋体" w:hAnsi="宋体" w:cs="宋体"/>
                <w:color w:val="000000"/>
                <w:kern w:val="0"/>
                <w:sz w:val="22"/>
              </w:rPr>
              <w:t>二、过程（20分）</w:t>
            </w:r>
          </w:p>
        </w:tc>
        <w:tc>
          <w:tcPr>
            <w:tcW w:w="1324" w:type="dxa"/>
            <w:vMerge w:val="restart"/>
            <w:tcBorders>
              <w:top w:val="nil"/>
              <w:left w:val="single" w:color="auto" w:sz="4" w:space="0"/>
              <w:bottom w:val="single" w:color="000000" w:sz="4" w:space="0"/>
              <w:right w:val="single" w:color="auto" w:sz="4" w:space="0"/>
            </w:tcBorders>
            <w:shd w:val="clear" w:color="auto" w:fill="auto"/>
            <w:vAlign w:val="center"/>
          </w:tcPr>
          <w:p w14:paraId="6BC94248">
            <w:pPr>
              <w:widowControl/>
              <w:jc w:val="center"/>
              <w:rPr>
                <w:rFonts w:ascii="宋体" w:hAnsi="宋体" w:cs="宋体"/>
                <w:color w:val="000000"/>
                <w:kern w:val="0"/>
                <w:sz w:val="22"/>
              </w:rPr>
            </w:pPr>
            <w:r>
              <w:rPr>
                <w:rFonts w:hint="eastAsia" w:ascii="宋体" w:hAnsi="宋体" w:cs="宋体"/>
                <w:color w:val="000000"/>
                <w:kern w:val="0"/>
                <w:sz w:val="22"/>
              </w:rPr>
              <w:t>项目管理（10分）</w:t>
            </w:r>
          </w:p>
        </w:tc>
        <w:tc>
          <w:tcPr>
            <w:tcW w:w="2375" w:type="dxa"/>
            <w:tcBorders>
              <w:top w:val="nil"/>
              <w:left w:val="nil"/>
              <w:bottom w:val="single" w:color="auto" w:sz="4" w:space="0"/>
              <w:right w:val="single" w:color="auto" w:sz="4" w:space="0"/>
            </w:tcBorders>
            <w:shd w:val="clear" w:color="auto" w:fill="auto"/>
            <w:vAlign w:val="center"/>
          </w:tcPr>
          <w:p w14:paraId="4C91B890">
            <w:pPr>
              <w:widowControl/>
              <w:jc w:val="left"/>
              <w:rPr>
                <w:rFonts w:ascii="宋体" w:hAnsi="宋体" w:cs="宋体"/>
                <w:color w:val="000000"/>
                <w:kern w:val="0"/>
                <w:sz w:val="22"/>
              </w:rPr>
            </w:pPr>
            <w:r>
              <w:rPr>
                <w:rFonts w:hint="eastAsia" w:ascii="宋体" w:hAnsi="宋体" w:cs="宋体"/>
                <w:color w:val="000000"/>
                <w:kern w:val="0"/>
                <w:sz w:val="22"/>
              </w:rPr>
              <w:t>管理制度健全性（5分）</w:t>
            </w:r>
          </w:p>
        </w:tc>
        <w:tc>
          <w:tcPr>
            <w:tcW w:w="4425" w:type="dxa"/>
            <w:tcBorders>
              <w:top w:val="nil"/>
              <w:left w:val="nil"/>
              <w:bottom w:val="single" w:color="auto" w:sz="4" w:space="0"/>
              <w:right w:val="single" w:color="auto" w:sz="4" w:space="0"/>
            </w:tcBorders>
            <w:shd w:val="clear" w:color="auto" w:fill="auto"/>
            <w:vAlign w:val="center"/>
          </w:tcPr>
          <w:p w14:paraId="4C3E99D4">
            <w:pPr>
              <w:widowControl/>
              <w:jc w:val="left"/>
              <w:rPr>
                <w:rFonts w:ascii="宋体" w:hAnsi="宋体" w:cs="宋体"/>
                <w:color w:val="000000"/>
                <w:kern w:val="0"/>
                <w:sz w:val="22"/>
              </w:rPr>
            </w:pPr>
            <w:r>
              <w:rPr>
                <w:rFonts w:hint="eastAsia" w:ascii="宋体" w:hAnsi="宋体" w:cs="宋体"/>
                <w:color w:val="000000"/>
                <w:kern w:val="0"/>
                <w:sz w:val="22"/>
              </w:rPr>
              <w:t>项目管理制度是否健全，用以反映和考核项目管理制度对项目顺利实施的保障情况。</w:t>
            </w:r>
          </w:p>
        </w:tc>
        <w:tc>
          <w:tcPr>
            <w:tcW w:w="3984" w:type="dxa"/>
            <w:vMerge w:val="restart"/>
            <w:tcBorders>
              <w:top w:val="nil"/>
              <w:left w:val="single" w:color="auto" w:sz="4" w:space="0"/>
              <w:bottom w:val="single" w:color="000000" w:sz="4" w:space="0"/>
              <w:right w:val="single" w:color="auto" w:sz="4" w:space="0"/>
            </w:tcBorders>
            <w:shd w:val="clear" w:color="auto" w:fill="auto"/>
            <w:vAlign w:val="center"/>
          </w:tcPr>
          <w:p w14:paraId="2F6DD3A6">
            <w:pPr>
              <w:widowControl/>
              <w:jc w:val="left"/>
              <w:rPr>
                <w:rFonts w:ascii="宋体" w:hAnsi="宋体" w:cs="宋体"/>
                <w:color w:val="000000"/>
                <w:kern w:val="0"/>
                <w:sz w:val="22"/>
              </w:rPr>
            </w:pPr>
            <w:r>
              <w:rPr>
                <w:rFonts w:hint="eastAsia" w:ascii="宋体" w:hAnsi="宋体" w:cs="宋体"/>
                <w:color w:val="000000"/>
                <w:kern w:val="0"/>
                <w:sz w:val="22"/>
              </w:rPr>
              <w:t>项目执行部门建立了良好的工作机制和工作流程并得以有效执行，并由街道建立了项目监督机制和项目考核机制，用于支撑项目顺利实施，项目基础资料齐备。</w:t>
            </w:r>
          </w:p>
        </w:tc>
        <w:tc>
          <w:tcPr>
            <w:tcW w:w="771" w:type="dxa"/>
            <w:tcBorders>
              <w:top w:val="nil"/>
              <w:left w:val="nil"/>
              <w:bottom w:val="single" w:color="auto" w:sz="4" w:space="0"/>
              <w:right w:val="single" w:color="auto" w:sz="12" w:space="0"/>
            </w:tcBorders>
            <w:shd w:val="clear" w:color="auto" w:fill="auto"/>
            <w:vAlign w:val="center"/>
          </w:tcPr>
          <w:p w14:paraId="149D43DE">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49063F4D">
        <w:tblPrEx>
          <w:tblCellMar>
            <w:top w:w="0" w:type="dxa"/>
            <w:left w:w="108" w:type="dxa"/>
            <w:bottom w:w="0" w:type="dxa"/>
            <w:right w:w="108" w:type="dxa"/>
          </w:tblCellMar>
        </w:tblPrEx>
        <w:trPr>
          <w:trHeight w:val="44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61B1C942">
            <w:pPr>
              <w:widowControl/>
              <w:jc w:val="left"/>
              <w:rPr>
                <w:rFonts w:ascii="宋体" w:hAnsi="宋体" w:cs="宋体"/>
                <w:color w:val="000000"/>
                <w:kern w:val="0"/>
                <w:sz w:val="22"/>
              </w:rPr>
            </w:pPr>
          </w:p>
        </w:tc>
        <w:tc>
          <w:tcPr>
            <w:tcW w:w="1324" w:type="dxa"/>
            <w:vMerge w:val="continue"/>
            <w:tcBorders>
              <w:top w:val="nil"/>
              <w:left w:val="single" w:color="auto" w:sz="4" w:space="0"/>
              <w:bottom w:val="single" w:color="000000" w:sz="4" w:space="0"/>
              <w:right w:val="single" w:color="auto" w:sz="4" w:space="0"/>
            </w:tcBorders>
            <w:shd w:val="clear" w:color="auto" w:fill="auto"/>
            <w:vAlign w:val="center"/>
          </w:tcPr>
          <w:p w14:paraId="66D17C63">
            <w:pPr>
              <w:widowControl/>
              <w:jc w:val="left"/>
              <w:rPr>
                <w:rFonts w:ascii="宋体" w:hAnsi="宋体" w:cs="宋体"/>
                <w:color w:val="000000"/>
                <w:kern w:val="0"/>
                <w:sz w:val="22"/>
              </w:rPr>
            </w:pPr>
          </w:p>
        </w:tc>
        <w:tc>
          <w:tcPr>
            <w:tcW w:w="2375" w:type="dxa"/>
            <w:tcBorders>
              <w:top w:val="nil"/>
              <w:left w:val="nil"/>
              <w:bottom w:val="single" w:color="auto" w:sz="4" w:space="0"/>
              <w:right w:val="single" w:color="auto" w:sz="4" w:space="0"/>
            </w:tcBorders>
            <w:shd w:val="clear" w:color="auto" w:fill="auto"/>
            <w:vAlign w:val="center"/>
          </w:tcPr>
          <w:p w14:paraId="4F811DB7">
            <w:pPr>
              <w:widowControl/>
              <w:jc w:val="left"/>
              <w:rPr>
                <w:rFonts w:ascii="宋体" w:hAnsi="宋体" w:cs="宋体"/>
                <w:color w:val="000000"/>
                <w:kern w:val="0"/>
                <w:sz w:val="22"/>
              </w:rPr>
            </w:pPr>
            <w:r>
              <w:rPr>
                <w:rFonts w:hint="eastAsia" w:ascii="宋体" w:hAnsi="宋体" w:cs="宋体"/>
                <w:color w:val="000000"/>
                <w:kern w:val="0"/>
                <w:sz w:val="22"/>
              </w:rPr>
              <w:t>管理制度执行有效性 （5分）</w:t>
            </w:r>
          </w:p>
        </w:tc>
        <w:tc>
          <w:tcPr>
            <w:tcW w:w="4425" w:type="dxa"/>
            <w:tcBorders>
              <w:top w:val="nil"/>
              <w:left w:val="nil"/>
              <w:bottom w:val="single" w:color="auto" w:sz="4" w:space="0"/>
              <w:right w:val="single" w:color="auto" w:sz="4" w:space="0"/>
            </w:tcBorders>
            <w:shd w:val="clear" w:color="auto" w:fill="auto"/>
            <w:vAlign w:val="center"/>
          </w:tcPr>
          <w:p w14:paraId="2D31A272">
            <w:pPr>
              <w:widowControl/>
              <w:jc w:val="left"/>
              <w:rPr>
                <w:rFonts w:ascii="宋体" w:hAnsi="宋体" w:cs="宋体"/>
                <w:color w:val="000000"/>
                <w:kern w:val="0"/>
                <w:sz w:val="22"/>
              </w:rPr>
            </w:pPr>
            <w:r>
              <w:rPr>
                <w:rFonts w:hint="eastAsia" w:ascii="宋体" w:hAnsi="宋体" w:cs="宋体"/>
                <w:color w:val="000000"/>
                <w:kern w:val="0"/>
                <w:sz w:val="22"/>
              </w:rPr>
              <w:t>项目实施是否符合相关项目管理规定，用以反映和考核项目管理制度的有效执行情况。</w:t>
            </w:r>
          </w:p>
        </w:tc>
        <w:tc>
          <w:tcPr>
            <w:tcW w:w="3984" w:type="dxa"/>
            <w:vMerge w:val="continue"/>
            <w:tcBorders>
              <w:top w:val="nil"/>
              <w:left w:val="single" w:color="auto" w:sz="4" w:space="0"/>
              <w:bottom w:val="single" w:color="000000" w:sz="4" w:space="0"/>
              <w:right w:val="single" w:color="auto" w:sz="4" w:space="0"/>
            </w:tcBorders>
            <w:shd w:val="clear" w:color="auto" w:fill="auto"/>
            <w:vAlign w:val="center"/>
          </w:tcPr>
          <w:p w14:paraId="4E0DB008">
            <w:pPr>
              <w:widowControl/>
              <w:jc w:val="left"/>
              <w:rPr>
                <w:rFonts w:ascii="宋体" w:hAnsi="宋体" w:cs="宋体"/>
                <w:color w:val="000000"/>
                <w:kern w:val="0"/>
                <w:sz w:val="22"/>
              </w:rPr>
            </w:pPr>
          </w:p>
        </w:tc>
        <w:tc>
          <w:tcPr>
            <w:tcW w:w="771" w:type="dxa"/>
            <w:tcBorders>
              <w:top w:val="nil"/>
              <w:left w:val="nil"/>
              <w:bottom w:val="single" w:color="auto" w:sz="4" w:space="0"/>
              <w:right w:val="single" w:color="auto" w:sz="12" w:space="0"/>
            </w:tcBorders>
            <w:shd w:val="clear" w:color="auto" w:fill="auto"/>
            <w:vAlign w:val="center"/>
          </w:tcPr>
          <w:p w14:paraId="46C3A350">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7B9CA912">
        <w:tblPrEx>
          <w:tblCellMar>
            <w:top w:w="0" w:type="dxa"/>
            <w:left w:w="108" w:type="dxa"/>
            <w:bottom w:w="0" w:type="dxa"/>
            <w:right w:w="108" w:type="dxa"/>
          </w:tblCellMar>
        </w:tblPrEx>
        <w:trPr>
          <w:trHeight w:val="66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215D2E57">
            <w:pPr>
              <w:widowControl/>
              <w:jc w:val="left"/>
              <w:rPr>
                <w:rFonts w:ascii="宋体" w:hAnsi="宋体" w:cs="宋体"/>
                <w:color w:val="000000"/>
                <w:kern w:val="0"/>
                <w:sz w:val="22"/>
              </w:rPr>
            </w:pPr>
          </w:p>
        </w:tc>
        <w:tc>
          <w:tcPr>
            <w:tcW w:w="1324" w:type="dxa"/>
            <w:vMerge w:val="restart"/>
            <w:tcBorders>
              <w:top w:val="nil"/>
              <w:left w:val="single" w:color="auto" w:sz="4" w:space="0"/>
              <w:bottom w:val="single" w:color="000000" w:sz="4" w:space="0"/>
              <w:right w:val="single" w:color="auto" w:sz="4" w:space="0"/>
            </w:tcBorders>
            <w:shd w:val="clear" w:color="auto" w:fill="auto"/>
            <w:vAlign w:val="center"/>
          </w:tcPr>
          <w:p w14:paraId="6828ABBC">
            <w:pPr>
              <w:widowControl/>
              <w:jc w:val="center"/>
              <w:rPr>
                <w:rFonts w:ascii="宋体" w:hAnsi="宋体" w:cs="宋体"/>
                <w:color w:val="000000"/>
                <w:kern w:val="0"/>
                <w:sz w:val="22"/>
              </w:rPr>
            </w:pPr>
            <w:r>
              <w:rPr>
                <w:rFonts w:hint="eastAsia" w:ascii="宋体" w:hAnsi="宋体" w:cs="宋体"/>
                <w:color w:val="000000"/>
                <w:kern w:val="0"/>
                <w:sz w:val="22"/>
              </w:rPr>
              <w:t>财务管理（10分）</w:t>
            </w:r>
          </w:p>
        </w:tc>
        <w:tc>
          <w:tcPr>
            <w:tcW w:w="2375" w:type="dxa"/>
            <w:tcBorders>
              <w:top w:val="nil"/>
              <w:left w:val="nil"/>
              <w:bottom w:val="single" w:color="auto" w:sz="4" w:space="0"/>
              <w:right w:val="single" w:color="auto" w:sz="4" w:space="0"/>
            </w:tcBorders>
            <w:shd w:val="clear" w:color="auto" w:fill="auto"/>
            <w:vAlign w:val="center"/>
          </w:tcPr>
          <w:p w14:paraId="324BEC23">
            <w:pPr>
              <w:widowControl/>
              <w:jc w:val="left"/>
              <w:rPr>
                <w:rFonts w:ascii="宋体" w:hAnsi="宋体" w:cs="宋体"/>
                <w:color w:val="000000"/>
                <w:kern w:val="0"/>
                <w:sz w:val="22"/>
              </w:rPr>
            </w:pPr>
            <w:r>
              <w:rPr>
                <w:rFonts w:hint="eastAsia" w:ascii="宋体" w:hAnsi="宋体" w:cs="宋体"/>
                <w:color w:val="000000"/>
                <w:kern w:val="0"/>
                <w:sz w:val="22"/>
              </w:rPr>
              <w:t>财务制度健全性（5分）</w:t>
            </w:r>
          </w:p>
        </w:tc>
        <w:tc>
          <w:tcPr>
            <w:tcW w:w="4425" w:type="dxa"/>
            <w:tcBorders>
              <w:top w:val="nil"/>
              <w:left w:val="nil"/>
              <w:bottom w:val="single" w:color="auto" w:sz="4" w:space="0"/>
              <w:right w:val="single" w:color="auto" w:sz="4" w:space="0"/>
            </w:tcBorders>
            <w:shd w:val="clear" w:color="auto" w:fill="auto"/>
            <w:vAlign w:val="center"/>
          </w:tcPr>
          <w:p w14:paraId="2FB70BFA">
            <w:pPr>
              <w:widowControl/>
              <w:jc w:val="left"/>
              <w:rPr>
                <w:rFonts w:ascii="宋体" w:hAnsi="宋体" w:cs="宋体"/>
                <w:color w:val="000000"/>
                <w:kern w:val="0"/>
                <w:sz w:val="22"/>
              </w:rPr>
            </w:pPr>
            <w:r>
              <w:rPr>
                <w:rFonts w:hint="eastAsia" w:ascii="宋体" w:hAnsi="宋体" w:cs="宋体"/>
                <w:color w:val="000000"/>
                <w:kern w:val="0"/>
                <w:sz w:val="22"/>
              </w:rPr>
              <w:t>项目实施单位的财务制度是否健全，用以反映和考核财务管理制度对资金规范、安全运行的保障情况。</w:t>
            </w:r>
          </w:p>
        </w:tc>
        <w:tc>
          <w:tcPr>
            <w:tcW w:w="3984" w:type="dxa"/>
            <w:vMerge w:val="restart"/>
            <w:tcBorders>
              <w:top w:val="nil"/>
              <w:left w:val="single" w:color="auto" w:sz="4" w:space="0"/>
              <w:bottom w:val="single" w:color="000000" w:sz="4" w:space="0"/>
              <w:right w:val="single" w:color="auto" w:sz="4" w:space="0"/>
            </w:tcBorders>
            <w:shd w:val="clear" w:color="auto" w:fill="auto"/>
            <w:vAlign w:val="center"/>
          </w:tcPr>
          <w:p w14:paraId="2C434A7B">
            <w:pPr>
              <w:widowControl/>
              <w:jc w:val="left"/>
              <w:rPr>
                <w:rFonts w:hint="eastAsia" w:ascii="宋体" w:hAnsi="宋体" w:cs="宋体"/>
                <w:color w:val="000000"/>
                <w:kern w:val="0"/>
                <w:sz w:val="22"/>
              </w:rPr>
            </w:pPr>
            <w:r>
              <w:rPr>
                <w:rFonts w:hint="eastAsia" w:ascii="宋体" w:hAnsi="宋体" w:cs="宋体"/>
                <w:color w:val="000000"/>
                <w:kern w:val="0"/>
                <w:sz w:val="22"/>
              </w:rPr>
              <w:t>制订了严格的财务管理措施，尤其对各项经费的开支明确了授权和审核、签批流程，每项支出均有迹可循。</w:t>
            </w:r>
          </w:p>
          <w:p w14:paraId="3F5F75D6">
            <w:pPr>
              <w:widowControl/>
              <w:jc w:val="left"/>
              <w:rPr>
                <w:rFonts w:ascii="宋体" w:hAnsi="宋体" w:cs="宋体"/>
                <w:color w:val="000000"/>
                <w:kern w:val="0"/>
                <w:sz w:val="22"/>
              </w:rPr>
            </w:pPr>
            <w:r>
              <w:rPr>
                <w:rFonts w:hint="eastAsia" w:ascii="宋体" w:hAnsi="宋体" w:cs="宋体"/>
                <w:color w:val="000000"/>
                <w:kern w:val="0"/>
                <w:sz w:val="22"/>
              </w:rPr>
              <w:t>会计账簿中重要支出事项原始单据或记录手续齐全，单证规范，标准相符，财务把关严格，会计核算准确、完整。</w:t>
            </w:r>
          </w:p>
        </w:tc>
        <w:tc>
          <w:tcPr>
            <w:tcW w:w="771" w:type="dxa"/>
            <w:tcBorders>
              <w:top w:val="nil"/>
              <w:left w:val="nil"/>
              <w:bottom w:val="single" w:color="auto" w:sz="4" w:space="0"/>
              <w:right w:val="single" w:color="auto" w:sz="12" w:space="0"/>
            </w:tcBorders>
            <w:shd w:val="clear" w:color="auto" w:fill="auto"/>
            <w:vAlign w:val="center"/>
          </w:tcPr>
          <w:p w14:paraId="15107550">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1600CF59">
        <w:tblPrEx>
          <w:tblCellMar>
            <w:top w:w="0" w:type="dxa"/>
            <w:left w:w="108" w:type="dxa"/>
            <w:bottom w:w="0" w:type="dxa"/>
            <w:right w:w="108" w:type="dxa"/>
          </w:tblCellMar>
        </w:tblPrEx>
        <w:trPr>
          <w:trHeight w:val="66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6AB195D9">
            <w:pPr>
              <w:widowControl/>
              <w:jc w:val="left"/>
              <w:rPr>
                <w:rFonts w:ascii="宋体" w:hAnsi="宋体" w:cs="宋体"/>
                <w:color w:val="000000"/>
                <w:kern w:val="0"/>
                <w:sz w:val="22"/>
              </w:rPr>
            </w:pPr>
          </w:p>
        </w:tc>
        <w:tc>
          <w:tcPr>
            <w:tcW w:w="1324" w:type="dxa"/>
            <w:vMerge w:val="continue"/>
            <w:tcBorders>
              <w:top w:val="nil"/>
              <w:left w:val="single" w:color="auto" w:sz="4" w:space="0"/>
              <w:bottom w:val="single" w:color="000000" w:sz="4" w:space="0"/>
              <w:right w:val="single" w:color="auto" w:sz="4" w:space="0"/>
            </w:tcBorders>
            <w:shd w:val="clear" w:color="auto" w:fill="auto"/>
            <w:vAlign w:val="center"/>
          </w:tcPr>
          <w:p w14:paraId="70668C8D">
            <w:pPr>
              <w:widowControl/>
              <w:jc w:val="left"/>
              <w:rPr>
                <w:rFonts w:ascii="宋体" w:hAnsi="宋体" w:cs="宋体"/>
                <w:color w:val="000000"/>
                <w:kern w:val="0"/>
                <w:sz w:val="22"/>
              </w:rPr>
            </w:pPr>
          </w:p>
        </w:tc>
        <w:tc>
          <w:tcPr>
            <w:tcW w:w="2375" w:type="dxa"/>
            <w:tcBorders>
              <w:top w:val="nil"/>
              <w:left w:val="nil"/>
              <w:bottom w:val="single" w:color="auto" w:sz="4" w:space="0"/>
              <w:right w:val="single" w:color="auto" w:sz="4" w:space="0"/>
            </w:tcBorders>
            <w:shd w:val="clear" w:color="auto" w:fill="auto"/>
            <w:vAlign w:val="center"/>
          </w:tcPr>
          <w:p w14:paraId="54C77075">
            <w:pPr>
              <w:widowControl/>
              <w:jc w:val="left"/>
              <w:rPr>
                <w:rFonts w:ascii="宋体" w:hAnsi="宋体" w:cs="宋体"/>
                <w:color w:val="000000"/>
                <w:kern w:val="0"/>
                <w:sz w:val="22"/>
              </w:rPr>
            </w:pPr>
            <w:r>
              <w:rPr>
                <w:rFonts w:hint="eastAsia" w:ascii="宋体" w:hAnsi="宋体" w:cs="宋体"/>
                <w:color w:val="000000"/>
                <w:kern w:val="0"/>
                <w:sz w:val="22"/>
              </w:rPr>
              <w:t>财务制度执行有效性 （5分）</w:t>
            </w:r>
          </w:p>
        </w:tc>
        <w:tc>
          <w:tcPr>
            <w:tcW w:w="4425" w:type="dxa"/>
            <w:tcBorders>
              <w:top w:val="nil"/>
              <w:left w:val="nil"/>
              <w:bottom w:val="single" w:color="auto" w:sz="4" w:space="0"/>
              <w:right w:val="single" w:color="auto" w:sz="4" w:space="0"/>
            </w:tcBorders>
            <w:shd w:val="clear" w:color="auto" w:fill="auto"/>
            <w:vAlign w:val="center"/>
          </w:tcPr>
          <w:p w14:paraId="6C92387C">
            <w:pPr>
              <w:widowControl/>
              <w:jc w:val="left"/>
              <w:rPr>
                <w:rFonts w:ascii="宋体" w:hAnsi="宋体" w:cs="宋体"/>
                <w:color w:val="000000"/>
                <w:kern w:val="0"/>
                <w:sz w:val="22"/>
              </w:rPr>
            </w:pPr>
            <w:r>
              <w:rPr>
                <w:rFonts w:hint="eastAsia" w:ascii="宋体" w:hAnsi="宋体" w:cs="宋体"/>
                <w:color w:val="000000"/>
                <w:kern w:val="0"/>
                <w:sz w:val="22"/>
              </w:rPr>
              <w:t>项目资金使用和监管是否符合相关的财务管理制度规定，用以反映和考核项目资金的规范运行和安全保障情况。</w:t>
            </w:r>
          </w:p>
        </w:tc>
        <w:tc>
          <w:tcPr>
            <w:tcW w:w="3984" w:type="dxa"/>
            <w:vMerge w:val="continue"/>
            <w:tcBorders>
              <w:top w:val="nil"/>
              <w:left w:val="single" w:color="auto" w:sz="4" w:space="0"/>
              <w:bottom w:val="single" w:color="000000" w:sz="4" w:space="0"/>
              <w:right w:val="single" w:color="auto" w:sz="4" w:space="0"/>
            </w:tcBorders>
            <w:shd w:val="clear" w:color="auto" w:fill="auto"/>
            <w:vAlign w:val="center"/>
          </w:tcPr>
          <w:p w14:paraId="5EB137B3">
            <w:pPr>
              <w:widowControl/>
              <w:jc w:val="left"/>
              <w:rPr>
                <w:rFonts w:ascii="宋体" w:hAnsi="宋体" w:cs="宋体"/>
                <w:color w:val="000000"/>
                <w:kern w:val="0"/>
                <w:sz w:val="22"/>
              </w:rPr>
            </w:pPr>
          </w:p>
        </w:tc>
        <w:tc>
          <w:tcPr>
            <w:tcW w:w="771" w:type="dxa"/>
            <w:tcBorders>
              <w:top w:val="nil"/>
              <w:left w:val="nil"/>
              <w:bottom w:val="single" w:color="auto" w:sz="4" w:space="0"/>
              <w:right w:val="single" w:color="auto" w:sz="12" w:space="0"/>
            </w:tcBorders>
            <w:shd w:val="clear" w:color="auto" w:fill="auto"/>
            <w:vAlign w:val="center"/>
          </w:tcPr>
          <w:p w14:paraId="52F47297">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20FA94EB">
        <w:tblPrEx>
          <w:tblCellMar>
            <w:top w:w="0" w:type="dxa"/>
            <w:left w:w="108" w:type="dxa"/>
            <w:bottom w:w="0" w:type="dxa"/>
            <w:right w:w="108" w:type="dxa"/>
          </w:tblCellMar>
        </w:tblPrEx>
        <w:trPr>
          <w:trHeight w:val="440" w:hRule="atLeast"/>
          <w:jc w:val="center"/>
        </w:trPr>
        <w:tc>
          <w:tcPr>
            <w:tcW w:w="1321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46366DC7">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71" w:type="dxa"/>
            <w:tcBorders>
              <w:top w:val="nil"/>
              <w:left w:val="nil"/>
              <w:bottom w:val="single" w:color="auto" w:sz="4" w:space="0"/>
              <w:right w:val="single" w:color="auto" w:sz="12" w:space="0"/>
            </w:tcBorders>
            <w:shd w:val="clear" w:color="auto" w:fill="auto"/>
            <w:vAlign w:val="center"/>
          </w:tcPr>
          <w:p w14:paraId="789418EC">
            <w:pPr>
              <w:widowControl/>
              <w:jc w:val="center"/>
              <w:rPr>
                <w:rFonts w:ascii="宋体" w:hAnsi="宋体" w:cs="宋体"/>
                <w:b/>
                <w:bCs/>
                <w:color w:val="000000"/>
                <w:kern w:val="0"/>
                <w:sz w:val="22"/>
              </w:rPr>
            </w:pPr>
            <w:r>
              <w:rPr>
                <w:rFonts w:hint="eastAsia" w:ascii="宋体" w:hAnsi="宋体" w:cs="宋体"/>
                <w:b/>
                <w:bCs/>
                <w:color w:val="000000"/>
                <w:kern w:val="0"/>
                <w:sz w:val="22"/>
              </w:rPr>
              <w:t>16</w:t>
            </w:r>
          </w:p>
        </w:tc>
      </w:tr>
      <w:tr w14:paraId="752A1DF7">
        <w:tblPrEx>
          <w:tblCellMar>
            <w:top w:w="0" w:type="dxa"/>
            <w:left w:w="108" w:type="dxa"/>
            <w:bottom w:w="0" w:type="dxa"/>
            <w:right w:w="108" w:type="dxa"/>
          </w:tblCellMar>
        </w:tblPrEx>
        <w:trPr>
          <w:trHeight w:val="293" w:hRule="atLeast"/>
          <w:jc w:val="center"/>
        </w:trPr>
        <w:tc>
          <w:tcPr>
            <w:tcW w:w="1108" w:type="dxa"/>
            <w:vMerge w:val="restart"/>
            <w:tcBorders>
              <w:top w:val="nil"/>
              <w:left w:val="single" w:color="auto" w:sz="12" w:space="0"/>
              <w:bottom w:val="single" w:color="auto" w:sz="4" w:space="0"/>
              <w:right w:val="single" w:color="auto" w:sz="4" w:space="0"/>
            </w:tcBorders>
            <w:shd w:val="clear" w:color="auto" w:fill="auto"/>
            <w:vAlign w:val="center"/>
          </w:tcPr>
          <w:p w14:paraId="185ADBC3">
            <w:pPr>
              <w:widowControl/>
              <w:jc w:val="center"/>
              <w:rPr>
                <w:rFonts w:ascii="宋体" w:hAnsi="宋体" w:cs="宋体"/>
                <w:color w:val="000000"/>
                <w:kern w:val="0"/>
                <w:sz w:val="22"/>
              </w:rPr>
            </w:pPr>
            <w:r>
              <w:rPr>
                <w:rFonts w:hint="eastAsia" w:ascii="宋体" w:hAnsi="宋体" w:cs="宋体"/>
                <w:color w:val="000000"/>
                <w:kern w:val="0"/>
                <w:sz w:val="22"/>
              </w:rPr>
              <w:t>三、产出（30分）</w:t>
            </w:r>
          </w:p>
        </w:tc>
        <w:tc>
          <w:tcPr>
            <w:tcW w:w="1324" w:type="dxa"/>
            <w:vMerge w:val="restart"/>
            <w:tcBorders>
              <w:top w:val="nil"/>
              <w:left w:val="single" w:color="auto" w:sz="4" w:space="0"/>
              <w:bottom w:val="single" w:color="000000" w:sz="4" w:space="0"/>
              <w:right w:val="single" w:color="auto" w:sz="4" w:space="0"/>
            </w:tcBorders>
            <w:shd w:val="clear" w:color="auto" w:fill="auto"/>
            <w:vAlign w:val="center"/>
          </w:tcPr>
          <w:p w14:paraId="033616B5">
            <w:pPr>
              <w:widowControl/>
              <w:jc w:val="center"/>
              <w:rPr>
                <w:rFonts w:ascii="宋体" w:hAnsi="宋体" w:cs="宋体"/>
                <w:color w:val="000000"/>
                <w:kern w:val="0"/>
                <w:sz w:val="22"/>
              </w:rPr>
            </w:pPr>
            <w:r>
              <w:rPr>
                <w:rFonts w:hint="eastAsia" w:ascii="宋体" w:hAnsi="宋体" w:cs="宋体"/>
                <w:color w:val="000000"/>
                <w:kern w:val="0"/>
                <w:sz w:val="22"/>
              </w:rPr>
              <w:t>数量指标（15分）</w:t>
            </w:r>
          </w:p>
        </w:tc>
        <w:tc>
          <w:tcPr>
            <w:tcW w:w="2375" w:type="dxa"/>
            <w:tcBorders>
              <w:top w:val="nil"/>
              <w:left w:val="nil"/>
              <w:bottom w:val="single" w:color="auto" w:sz="4" w:space="0"/>
              <w:right w:val="single" w:color="auto" w:sz="4" w:space="0"/>
            </w:tcBorders>
            <w:shd w:val="clear" w:color="auto" w:fill="auto"/>
            <w:vAlign w:val="center"/>
          </w:tcPr>
          <w:p w14:paraId="48B60C5B">
            <w:pPr>
              <w:widowControl/>
              <w:jc w:val="left"/>
              <w:rPr>
                <w:rFonts w:ascii="宋体" w:hAnsi="宋体" w:cs="宋体"/>
                <w:color w:val="000000"/>
                <w:kern w:val="0"/>
                <w:sz w:val="22"/>
              </w:rPr>
            </w:pPr>
            <w:r>
              <w:rPr>
                <w:rFonts w:hint="eastAsia" w:ascii="宋体" w:hAnsi="宋体" w:cs="宋体"/>
                <w:color w:val="000000"/>
                <w:kern w:val="0"/>
                <w:sz w:val="22"/>
              </w:rPr>
              <w:t>资产购置（7.5分）</w:t>
            </w:r>
          </w:p>
        </w:tc>
        <w:tc>
          <w:tcPr>
            <w:tcW w:w="4425" w:type="dxa"/>
            <w:tcBorders>
              <w:top w:val="nil"/>
              <w:left w:val="nil"/>
              <w:bottom w:val="single" w:color="auto" w:sz="4" w:space="0"/>
              <w:right w:val="single" w:color="auto" w:sz="4" w:space="0"/>
            </w:tcBorders>
            <w:shd w:val="clear" w:color="auto" w:fill="auto"/>
            <w:vAlign w:val="center"/>
          </w:tcPr>
          <w:p w14:paraId="1230E0B8">
            <w:pPr>
              <w:widowControl/>
              <w:jc w:val="left"/>
              <w:rPr>
                <w:rFonts w:ascii="宋体" w:hAnsi="宋体" w:cs="宋体"/>
                <w:color w:val="000000"/>
                <w:kern w:val="0"/>
                <w:sz w:val="22"/>
              </w:rPr>
            </w:pPr>
            <w:r>
              <w:rPr>
                <w:rFonts w:hint="eastAsia" w:ascii="宋体" w:hAnsi="宋体" w:cs="宋体"/>
                <w:color w:val="000000"/>
                <w:kern w:val="0"/>
                <w:sz w:val="22"/>
              </w:rPr>
              <w:t>明畅里社区增设户外双面彩色显示屏1个,30.00万元。</w:t>
            </w:r>
          </w:p>
        </w:tc>
        <w:tc>
          <w:tcPr>
            <w:tcW w:w="3984" w:type="dxa"/>
            <w:tcBorders>
              <w:top w:val="nil"/>
              <w:left w:val="nil"/>
              <w:bottom w:val="single" w:color="auto" w:sz="4" w:space="0"/>
              <w:right w:val="single" w:color="auto" w:sz="4" w:space="0"/>
            </w:tcBorders>
            <w:shd w:val="clear" w:color="auto" w:fill="auto"/>
            <w:vAlign w:val="center"/>
          </w:tcPr>
          <w:p w14:paraId="6A2019F0">
            <w:pPr>
              <w:widowControl/>
              <w:jc w:val="left"/>
              <w:rPr>
                <w:rFonts w:ascii="宋体" w:hAnsi="宋体" w:cs="宋体"/>
                <w:color w:val="000000"/>
                <w:kern w:val="0"/>
                <w:sz w:val="22"/>
              </w:rPr>
            </w:pPr>
            <w:r>
              <w:rPr>
                <w:rFonts w:hint="eastAsia" w:ascii="宋体" w:hAnsi="宋体" w:cs="宋体"/>
                <w:color w:val="000000"/>
                <w:kern w:val="0"/>
                <w:sz w:val="22"/>
              </w:rPr>
              <w:t>明畅里社区增设户外双面彩色显示屏1个,30.00万元。</w:t>
            </w:r>
          </w:p>
        </w:tc>
        <w:tc>
          <w:tcPr>
            <w:tcW w:w="771" w:type="dxa"/>
            <w:tcBorders>
              <w:top w:val="nil"/>
              <w:left w:val="nil"/>
              <w:bottom w:val="single" w:color="auto" w:sz="4" w:space="0"/>
              <w:right w:val="single" w:color="auto" w:sz="12" w:space="0"/>
            </w:tcBorders>
            <w:shd w:val="clear" w:color="auto" w:fill="auto"/>
            <w:vAlign w:val="center"/>
          </w:tcPr>
          <w:p w14:paraId="57375CE9">
            <w:pPr>
              <w:widowControl/>
              <w:jc w:val="center"/>
              <w:rPr>
                <w:rFonts w:ascii="宋体" w:hAnsi="宋体" w:cs="宋体"/>
                <w:color w:val="000000"/>
                <w:kern w:val="0"/>
                <w:sz w:val="22"/>
              </w:rPr>
            </w:pPr>
            <w:r>
              <w:rPr>
                <w:rFonts w:hint="eastAsia" w:ascii="宋体" w:hAnsi="宋体" w:cs="宋体"/>
                <w:color w:val="000000"/>
                <w:kern w:val="0"/>
                <w:sz w:val="22"/>
              </w:rPr>
              <w:t>7.5</w:t>
            </w:r>
          </w:p>
        </w:tc>
      </w:tr>
      <w:tr w14:paraId="2BD6B512">
        <w:tblPrEx>
          <w:tblCellMar>
            <w:top w:w="0" w:type="dxa"/>
            <w:left w:w="108" w:type="dxa"/>
            <w:bottom w:w="0" w:type="dxa"/>
            <w:right w:w="108" w:type="dxa"/>
          </w:tblCellMar>
        </w:tblPrEx>
        <w:trPr>
          <w:trHeight w:val="282"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5D9CD9A0">
            <w:pPr>
              <w:widowControl/>
              <w:jc w:val="left"/>
              <w:rPr>
                <w:rFonts w:ascii="宋体" w:hAnsi="宋体" w:cs="宋体"/>
                <w:color w:val="000000"/>
                <w:kern w:val="0"/>
                <w:sz w:val="22"/>
              </w:rPr>
            </w:pPr>
          </w:p>
        </w:tc>
        <w:tc>
          <w:tcPr>
            <w:tcW w:w="1324" w:type="dxa"/>
            <w:vMerge w:val="continue"/>
            <w:tcBorders>
              <w:top w:val="nil"/>
              <w:left w:val="single" w:color="auto" w:sz="4" w:space="0"/>
              <w:bottom w:val="single" w:color="000000" w:sz="4" w:space="0"/>
              <w:right w:val="single" w:color="auto" w:sz="4" w:space="0"/>
            </w:tcBorders>
            <w:shd w:val="clear" w:color="auto" w:fill="auto"/>
            <w:vAlign w:val="center"/>
          </w:tcPr>
          <w:p w14:paraId="005FD403">
            <w:pPr>
              <w:widowControl/>
              <w:jc w:val="left"/>
              <w:rPr>
                <w:rFonts w:ascii="宋体" w:hAnsi="宋体" w:cs="宋体"/>
                <w:color w:val="000000"/>
                <w:kern w:val="0"/>
                <w:sz w:val="22"/>
              </w:rPr>
            </w:pPr>
          </w:p>
        </w:tc>
        <w:tc>
          <w:tcPr>
            <w:tcW w:w="2375" w:type="dxa"/>
            <w:tcBorders>
              <w:top w:val="nil"/>
              <w:left w:val="nil"/>
              <w:bottom w:val="single" w:color="auto" w:sz="4" w:space="0"/>
              <w:right w:val="single" w:color="auto" w:sz="4" w:space="0"/>
            </w:tcBorders>
            <w:shd w:val="clear" w:color="auto" w:fill="auto"/>
            <w:vAlign w:val="center"/>
          </w:tcPr>
          <w:p w14:paraId="171BAB58">
            <w:pPr>
              <w:widowControl/>
              <w:jc w:val="left"/>
              <w:rPr>
                <w:rFonts w:ascii="宋体" w:hAnsi="宋体" w:cs="宋体"/>
                <w:color w:val="000000"/>
                <w:kern w:val="0"/>
                <w:sz w:val="22"/>
              </w:rPr>
            </w:pPr>
            <w:r>
              <w:rPr>
                <w:rFonts w:hint="eastAsia" w:ascii="宋体" w:hAnsi="宋体" w:cs="宋体"/>
                <w:color w:val="000000"/>
                <w:kern w:val="0"/>
                <w:sz w:val="22"/>
              </w:rPr>
              <w:t>资产购置（7.5分）</w:t>
            </w:r>
          </w:p>
        </w:tc>
        <w:tc>
          <w:tcPr>
            <w:tcW w:w="4425" w:type="dxa"/>
            <w:tcBorders>
              <w:top w:val="nil"/>
              <w:left w:val="nil"/>
              <w:bottom w:val="single" w:color="auto" w:sz="4" w:space="0"/>
              <w:right w:val="single" w:color="auto" w:sz="4" w:space="0"/>
            </w:tcBorders>
            <w:shd w:val="clear" w:color="auto" w:fill="auto"/>
            <w:vAlign w:val="center"/>
          </w:tcPr>
          <w:p w14:paraId="3953FC33">
            <w:pPr>
              <w:widowControl/>
              <w:jc w:val="left"/>
              <w:rPr>
                <w:rFonts w:ascii="宋体" w:hAnsi="宋体" w:cs="宋体"/>
                <w:color w:val="000000"/>
                <w:kern w:val="0"/>
                <w:sz w:val="22"/>
              </w:rPr>
            </w:pPr>
            <w:r>
              <w:rPr>
                <w:rFonts w:hint="eastAsia" w:ascii="宋体" w:hAnsi="宋体" w:cs="宋体"/>
                <w:color w:val="000000"/>
                <w:kern w:val="0"/>
                <w:sz w:val="22"/>
              </w:rPr>
              <w:t>为景源里社区、德欣里社区、同安里社区等社区增设生活、出行、环保、绿化、节能、文体、宣传、教育等方面配套设施，40.00万元。</w:t>
            </w:r>
          </w:p>
        </w:tc>
        <w:tc>
          <w:tcPr>
            <w:tcW w:w="3984" w:type="dxa"/>
            <w:tcBorders>
              <w:top w:val="nil"/>
              <w:left w:val="nil"/>
              <w:bottom w:val="single" w:color="auto" w:sz="4" w:space="0"/>
              <w:right w:val="single" w:color="auto" w:sz="4" w:space="0"/>
            </w:tcBorders>
            <w:shd w:val="clear" w:color="auto" w:fill="auto"/>
            <w:vAlign w:val="center"/>
          </w:tcPr>
          <w:p w14:paraId="7FF3A131">
            <w:pPr>
              <w:widowControl/>
              <w:jc w:val="left"/>
              <w:rPr>
                <w:rFonts w:ascii="宋体" w:hAnsi="宋体" w:cs="宋体"/>
                <w:color w:val="000000"/>
                <w:kern w:val="0"/>
                <w:sz w:val="22"/>
              </w:rPr>
            </w:pPr>
            <w:r>
              <w:rPr>
                <w:rFonts w:hint="eastAsia" w:ascii="宋体" w:hAnsi="宋体" w:cs="宋体"/>
                <w:color w:val="000000"/>
                <w:kern w:val="0"/>
                <w:sz w:val="22"/>
              </w:rPr>
              <w:t>为景源里社区、德欣里社区、同安里社区等社区增设生活、出行、环保、绿化、节能、文体、宣传、教育等方面配套设施，40.00万元。</w:t>
            </w:r>
          </w:p>
        </w:tc>
        <w:tc>
          <w:tcPr>
            <w:tcW w:w="771" w:type="dxa"/>
            <w:tcBorders>
              <w:top w:val="nil"/>
              <w:left w:val="nil"/>
              <w:bottom w:val="single" w:color="auto" w:sz="4" w:space="0"/>
              <w:right w:val="single" w:color="auto" w:sz="12" w:space="0"/>
            </w:tcBorders>
            <w:shd w:val="clear" w:color="auto" w:fill="auto"/>
            <w:vAlign w:val="center"/>
          </w:tcPr>
          <w:p w14:paraId="76584153">
            <w:pPr>
              <w:widowControl/>
              <w:jc w:val="center"/>
              <w:rPr>
                <w:rFonts w:ascii="宋体" w:hAnsi="宋体" w:cs="宋体"/>
                <w:color w:val="000000"/>
                <w:kern w:val="0"/>
                <w:sz w:val="22"/>
              </w:rPr>
            </w:pPr>
            <w:r>
              <w:rPr>
                <w:rFonts w:hint="eastAsia" w:ascii="宋体" w:hAnsi="宋体" w:cs="宋体"/>
                <w:color w:val="000000"/>
                <w:kern w:val="0"/>
                <w:sz w:val="22"/>
              </w:rPr>
              <w:t>7.5</w:t>
            </w:r>
          </w:p>
        </w:tc>
      </w:tr>
      <w:tr w14:paraId="411586EB">
        <w:tblPrEx>
          <w:tblCellMar>
            <w:top w:w="0" w:type="dxa"/>
            <w:left w:w="108" w:type="dxa"/>
            <w:bottom w:w="0" w:type="dxa"/>
            <w:right w:w="108" w:type="dxa"/>
          </w:tblCellMar>
        </w:tblPrEx>
        <w:trPr>
          <w:trHeight w:val="44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247766A4">
            <w:pPr>
              <w:widowControl/>
              <w:jc w:val="left"/>
              <w:rPr>
                <w:rFonts w:ascii="宋体" w:hAnsi="宋体" w:cs="宋体"/>
                <w:color w:val="000000"/>
                <w:kern w:val="0"/>
                <w:sz w:val="22"/>
              </w:rPr>
            </w:pPr>
          </w:p>
        </w:tc>
        <w:tc>
          <w:tcPr>
            <w:tcW w:w="1324" w:type="dxa"/>
            <w:tcBorders>
              <w:top w:val="nil"/>
              <w:left w:val="nil"/>
              <w:bottom w:val="nil"/>
              <w:right w:val="single" w:color="auto" w:sz="4" w:space="0"/>
            </w:tcBorders>
            <w:shd w:val="clear" w:color="auto" w:fill="auto"/>
            <w:vAlign w:val="center"/>
          </w:tcPr>
          <w:p w14:paraId="3FD6C190">
            <w:pPr>
              <w:widowControl/>
              <w:jc w:val="center"/>
              <w:rPr>
                <w:rFonts w:ascii="宋体" w:hAnsi="宋体" w:cs="宋体"/>
                <w:color w:val="000000"/>
                <w:kern w:val="0"/>
                <w:sz w:val="22"/>
              </w:rPr>
            </w:pPr>
            <w:r>
              <w:rPr>
                <w:rFonts w:hint="eastAsia" w:ascii="宋体" w:hAnsi="宋体" w:cs="宋体"/>
                <w:color w:val="000000"/>
                <w:kern w:val="0"/>
                <w:sz w:val="22"/>
              </w:rPr>
              <w:t>质量指标（10分）</w:t>
            </w:r>
          </w:p>
        </w:tc>
        <w:tc>
          <w:tcPr>
            <w:tcW w:w="2375" w:type="dxa"/>
            <w:tcBorders>
              <w:top w:val="nil"/>
              <w:left w:val="nil"/>
              <w:bottom w:val="single" w:color="auto" w:sz="4" w:space="0"/>
              <w:right w:val="single" w:color="auto" w:sz="4" w:space="0"/>
            </w:tcBorders>
            <w:shd w:val="clear" w:color="auto" w:fill="auto"/>
            <w:vAlign w:val="center"/>
          </w:tcPr>
          <w:p w14:paraId="7535EEA3">
            <w:pPr>
              <w:widowControl/>
              <w:jc w:val="left"/>
              <w:rPr>
                <w:rFonts w:ascii="宋体" w:hAnsi="宋体" w:cs="宋体"/>
                <w:color w:val="000000"/>
                <w:kern w:val="0"/>
                <w:sz w:val="22"/>
              </w:rPr>
            </w:pPr>
            <w:r>
              <w:rPr>
                <w:rFonts w:hint="eastAsia" w:ascii="宋体" w:hAnsi="宋体" w:cs="宋体"/>
                <w:color w:val="000000"/>
                <w:kern w:val="0"/>
                <w:sz w:val="22"/>
              </w:rPr>
              <w:t>社区居民对当前生活水平的满意度（10分）</w:t>
            </w:r>
          </w:p>
        </w:tc>
        <w:tc>
          <w:tcPr>
            <w:tcW w:w="4425" w:type="dxa"/>
            <w:tcBorders>
              <w:top w:val="nil"/>
              <w:left w:val="nil"/>
              <w:bottom w:val="single" w:color="auto" w:sz="4" w:space="0"/>
              <w:right w:val="single" w:color="auto" w:sz="4" w:space="0"/>
            </w:tcBorders>
            <w:shd w:val="clear" w:color="auto" w:fill="auto"/>
            <w:vAlign w:val="center"/>
          </w:tcPr>
          <w:p w14:paraId="630CA633">
            <w:pPr>
              <w:widowControl/>
              <w:jc w:val="left"/>
              <w:rPr>
                <w:rFonts w:ascii="宋体" w:hAnsi="宋体" w:cs="宋体"/>
                <w:color w:val="000000"/>
                <w:kern w:val="0"/>
                <w:sz w:val="22"/>
              </w:rPr>
            </w:pPr>
            <w:r>
              <w:rPr>
                <w:rFonts w:hint="eastAsia" w:ascii="宋体" w:hAnsi="宋体" w:cs="宋体"/>
                <w:color w:val="000000"/>
                <w:kern w:val="0"/>
                <w:sz w:val="22"/>
              </w:rPr>
              <w:t>社区居民对当前生活水平的满意度95%</w:t>
            </w:r>
          </w:p>
        </w:tc>
        <w:tc>
          <w:tcPr>
            <w:tcW w:w="3984" w:type="dxa"/>
            <w:tcBorders>
              <w:top w:val="nil"/>
              <w:left w:val="nil"/>
              <w:bottom w:val="single" w:color="auto" w:sz="4" w:space="0"/>
              <w:right w:val="single" w:color="auto" w:sz="4" w:space="0"/>
            </w:tcBorders>
            <w:shd w:val="clear" w:color="auto" w:fill="auto"/>
            <w:vAlign w:val="center"/>
          </w:tcPr>
          <w:p w14:paraId="376C56AD">
            <w:pPr>
              <w:widowControl/>
              <w:jc w:val="center"/>
              <w:rPr>
                <w:rFonts w:ascii="宋体" w:hAnsi="宋体" w:cs="宋体"/>
                <w:color w:val="000000"/>
                <w:kern w:val="0"/>
                <w:sz w:val="22"/>
              </w:rPr>
            </w:pPr>
            <w:r>
              <w:rPr>
                <w:rFonts w:hint="eastAsia" w:ascii="宋体" w:hAnsi="宋体" w:cs="宋体"/>
                <w:color w:val="000000"/>
                <w:kern w:val="0"/>
                <w:sz w:val="22"/>
              </w:rPr>
              <w:t>96.00%</w:t>
            </w:r>
          </w:p>
        </w:tc>
        <w:tc>
          <w:tcPr>
            <w:tcW w:w="771" w:type="dxa"/>
            <w:tcBorders>
              <w:top w:val="nil"/>
              <w:left w:val="nil"/>
              <w:bottom w:val="single" w:color="auto" w:sz="4" w:space="0"/>
              <w:right w:val="single" w:color="auto" w:sz="12" w:space="0"/>
            </w:tcBorders>
            <w:shd w:val="clear" w:color="auto" w:fill="auto"/>
            <w:vAlign w:val="center"/>
          </w:tcPr>
          <w:p w14:paraId="4DA6A8A1">
            <w:pPr>
              <w:widowControl/>
              <w:jc w:val="center"/>
              <w:rPr>
                <w:rFonts w:ascii="宋体" w:hAnsi="宋体" w:cs="宋体"/>
                <w:color w:val="000000"/>
                <w:kern w:val="0"/>
                <w:sz w:val="22"/>
              </w:rPr>
            </w:pPr>
            <w:r>
              <w:rPr>
                <w:rFonts w:hint="eastAsia" w:ascii="宋体" w:hAnsi="宋体" w:cs="宋体"/>
                <w:color w:val="000000"/>
                <w:kern w:val="0"/>
                <w:sz w:val="22"/>
              </w:rPr>
              <w:t>10</w:t>
            </w:r>
          </w:p>
        </w:tc>
      </w:tr>
      <w:tr w14:paraId="4FD2456B">
        <w:tblPrEx>
          <w:tblCellMar>
            <w:top w:w="0" w:type="dxa"/>
            <w:left w:w="108" w:type="dxa"/>
            <w:bottom w:w="0" w:type="dxa"/>
            <w:right w:w="108" w:type="dxa"/>
          </w:tblCellMar>
        </w:tblPrEx>
        <w:trPr>
          <w:trHeight w:val="440" w:hRule="atLeast"/>
          <w:jc w:val="center"/>
        </w:trPr>
        <w:tc>
          <w:tcPr>
            <w:tcW w:w="1108" w:type="dxa"/>
            <w:vMerge w:val="continue"/>
            <w:tcBorders>
              <w:top w:val="nil"/>
              <w:left w:val="single" w:color="auto" w:sz="12" w:space="0"/>
              <w:bottom w:val="single" w:color="auto" w:sz="4" w:space="0"/>
              <w:right w:val="single" w:color="auto" w:sz="4" w:space="0"/>
            </w:tcBorders>
            <w:shd w:val="clear" w:color="auto" w:fill="auto"/>
            <w:vAlign w:val="center"/>
          </w:tcPr>
          <w:p w14:paraId="38489F7B">
            <w:pPr>
              <w:widowControl/>
              <w:jc w:val="left"/>
              <w:rPr>
                <w:rFonts w:ascii="宋体" w:hAnsi="宋体" w:cs="宋体"/>
                <w:color w:val="000000"/>
                <w:kern w:val="0"/>
                <w:sz w:val="22"/>
              </w:rPr>
            </w:pPr>
          </w:p>
        </w:tc>
        <w:tc>
          <w:tcPr>
            <w:tcW w:w="1324" w:type="dxa"/>
            <w:tcBorders>
              <w:top w:val="single" w:color="auto" w:sz="4" w:space="0"/>
              <w:left w:val="nil"/>
              <w:bottom w:val="single" w:color="auto" w:sz="4" w:space="0"/>
              <w:right w:val="single" w:color="auto" w:sz="4" w:space="0"/>
            </w:tcBorders>
            <w:shd w:val="clear" w:color="auto" w:fill="auto"/>
            <w:vAlign w:val="center"/>
          </w:tcPr>
          <w:p w14:paraId="1692099D">
            <w:pPr>
              <w:widowControl/>
              <w:jc w:val="center"/>
              <w:rPr>
                <w:rFonts w:ascii="宋体" w:hAnsi="宋体" w:cs="宋体"/>
                <w:color w:val="000000"/>
                <w:kern w:val="0"/>
                <w:sz w:val="22"/>
              </w:rPr>
            </w:pPr>
            <w:r>
              <w:rPr>
                <w:rFonts w:hint="eastAsia" w:ascii="宋体" w:hAnsi="宋体" w:cs="宋体"/>
                <w:color w:val="000000"/>
                <w:kern w:val="0"/>
                <w:sz w:val="22"/>
              </w:rPr>
              <w:t>时效指标  （5分）</w:t>
            </w:r>
          </w:p>
        </w:tc>
        <w:tc>
          <w:tcPr>
            <w:tcW w:w="2375" w:type="dxa"/>
            <w:tcBorders>
              <w:top w:val="nil"/>
              <w:left w:val="nil"/>
              <w:bottom w:val="single" w:color="auto" w:sz="4" w:space="0"/>
              <w:right w:val="single" w:color="auto" w:sz="4" w:space="0"/>
            </w:tcBorders>
            <w:shd w:val="clear" w:color="auto" w:fill="auto"/>
            <w:vAlign w:val="center"/>
          </w:tcPr>
          <w:p w14:paraId="3C69675C">
            <w:pPr>
              <w:widowControl/>
              <w:jc w:val="left"/>
              <w:rPr>
                <w:rFonts w:ascii="宋体" w:hAnsi="宋体" w:cs="宋体"/>
                <w:color w:val="000000"/>
                <w:kern w:val="0"/>
                <w:sz w:val="22"/>
              </w:rPr>
            </w:pPr>
            <w:r>
              <w:rPr>
                <w:rFonts w:hint="eastAsia" w:ascii="宋体" w:hAnsi="宋体" w:cs="宋体"/>
                <w:color w:val="000000"/>
                <w:kern w:val="0"/>
                <w:sz w:val="22"/>
              </w:rPr>
              <w:t>完成及时率（5分）</w:t>
            </w:r>
          </w:p>
        </w:tc>
        <w:tc>
          <w:tcPr>
            <w:tcW w:w="4425" w:type="dxa"/>
            <w:tcBorders>
              <w:top w:val="nil"/>
              <w:left w:val="nil"/>
              <w:bottom w:val="single" w:color="auto" w:sz="4" w:space="0"/>
              <w:right w:val="single" w:color="auto" w:sz="4" w:space="0"/>
            </w:tcBorders>
            <w:shd w:val="clear" w:color="auto" w:fill="auto"/>
            <w:vAlign w:val="center"/>
          </w:tcPr>
          <w:p w14:paraId="67A6DB3A">
            <w:pPr>
              <w:widowControl/>
              <w:jc w:val="left"/>
              <w:rPr>
                <w:rFonts w:ascii="宋体" w:hAnsi="宋体" w:cs="宋体"/>
                <w:color w:val="000000"/>
                <w:kern w:val="0"/>
                <w:sz w:val="22"/>
              </w:rPr>
            </w:pPr>
            <w:r>
              <w:rPr>
                <w:rFonts w:hint="eastAsia" w:ascii="宋体" w:hAnsi="宋体" w:cs="宋体"/>
                <w:color w:val="000000"/>
                <w:kern w:val="0"/>
                <w:sz w:val="22"/>
              </w:rPr>
              <w:t>项目完成及时性达到100.00%</w:t>
            </w:r>
          </w:p>
        </w:tc>
        <w:tc>
          <w:tcPr>
            <w:tcW w:w="3984" w:type="dxa"/>
            <w:tcBorders>
              <w:top w:val="nil"/>
              <w:left w:val="nil"/>
              <w:bottom w:val="single" w:color="auto" w:sz="4" w:space="0"/>
              <w:right w:val="single" w:color="auto" w:sz="4" w:space="0"/>
            </w:tcBorders>
            <w:shd w:val="clear" w:color="auto" w:fill="auto"/>
            <w:vAlign w:val="center"/>
          </w:tcPr>
          <w:p w14:paraId="7698391D">
            <w:pPr>
              <w:widowControl/>
              <w:jc w:val="center"/>
              <w:rPr>
                <w:rFonts w:ascii="宋体" w:hAnsi="宋体" w:cs="宋体"/>
                <w:color w:val="000000"/>
                <w:kern w:val="0"/>
                <w:sz w:val="22"/>
              </w:rPr>
            </w:pPr>
            <w:r>
              <w:rPr>
                <w:rFonts w:hint="eastAsia" w:ascii="宋体" w:hAnsi="宋体" w:cs="宋体"/>
                <w:color w:val="000000"/>
                <w:kern w:val="0"/>
                <w:sz w:val="22"/>
              </w:rPr>
              <w:t>100.00%</w:t>
            </w:r>
          </w:p>
        </w:tc>
        <w:tc>
          <w:tcPr>
            <w:tcW w:w="771" w:type="dxa"/>
            <w:tcBorders>
              <w:top w:val="nil"/>
              <w:left w:val="nil"/>
              <w:bottom w:val="single" w:color="auto" w:sz="4" w:space="0"/>
              <w:right w:val="single" w:color="auto" w:sz="12" w:space="0"/>
            </w:tcBorders>
            <w:shd w:val="clear" w:color="auto" w:fill="auto"/>
            <w:vAlign w:val="center"/>
          </w:tcPr>
          <w:p w14:paraId="018CC22A">
            <w:pPr>
              <w:widowControl/>
              <w:jc w:val="center"/>
              <w:rPr>
                <w:rFonts w:ascii="宋体" w:hAnsi="宋体" w:cs="宋体"/>
                <w:color w:val="000000"/>
                <w:kern w:val="0"/>
                <w:sz w:val="22"/>
              </w:rPr>
            </w:pPr>
            <w:r>
              <w:rPr>
                <w:rFonts w:hint="eastAsia" w:ascii="宋体" w:hAnsi="宋体" w:cs="宋体"/>
                <w:color w:val="000000"/>
                <w:kern w:val="0"/>
                <w:sz w:val="22"/>
              </w:rPr>
              <w:t>5</w:t>
            </w:r>
          </w:p>
        </w:tc>
      </w:tr>
      <w:tr w14:paraId="757B1E3C">
        <w:tblPrEx>
          <w:tblCellMar>
            <w:top w:w="0" w:type="dxa"/>
            <w:left w:w="108" w:type="dxa"/>
            <w:bottom w:w="0" w:type="dxa"/>
            <w:right w:w="108" w:type="dxa"/>
          </w:tblCellMar>
        </w:tblPrEx>
        <w:trPr>
          <w:trHeight w:val="440" w:hRule="atLeast"/>
          <w:jc w:val="center"/>
        </w:trPr>
        <w:tc>
          <w:tcPr>
            <w:tcW w:w="1321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74438C94">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71" w:type="dxa"/>
            <w:tcBorders>
              <w:top w:val="nil"/>
              <w:left w:val="nil"/>
              <w:bottom w:val="single" w:color="auto" w:sz="4" w:space="0"/>
              <w:right w:val="single" w:color="auto" w:sz="12" w:space="0"/>
            </w:tcBorders>
            <w:shd w:val="clear" w:color="auto" w:fill="auto"/>
            <w:vAlign w:val="center"/>
          </w:tcPr>
          <w:p w14:paraId="6075DB56">
            <w:pPr>
              <w:widowControl/>
              <w:jc w:val="center"/>
              <w:rPr>
                <w:rFonts w:ascii="宋体" w:hAnsi="宋体" w:cs="宋体"/>
                <w:b/>
                <w:bCs/>
                <w:color w:val="000000"/>
                <w:kern w:val="0"/>
                <w:sz w:val="22"/>
              </w:rPr>
            </w:pPr>
            <w:r>
              <w:rPr>
                <w:rFonts w:hint="eastAsia" w:ascii="宋体" w:hAnsi="宋体" w:cs="宋体"/>
                <w:b/>
                <w:bCs/>
                <w:color w:val="000000"/>
                <w:kern w:val="0"/>
                <w:sz w:val="22"/>
              </w:rPr>
              <w:t>30</w:t>
            </w:r>
          </w:p>
        </w:tc>
      </w:tr>
      <w:tr w14:paraId="29CFEB00">
        <w:tblPrEx>
          <w:tblCellMar>
            <w:top w:w="0" w:type="dxa"/>
            <w:left w:w="108" w:type="dxa"/>
            <w:bottom w:w="0" w:type="dxa"/>
            <w:right w:w="108" w:type="dxa"/>
          </w:tblCellMar>
        </w:tblPrEx>
        <w:trPr>
          <w:trHeight w:val="1101" w:hRule="atLeast"/>
          <w:jc w:val="center"/>
        </w:trPr>
        <w:tc>
          <w:tcPr>
            <w:tcW w:w="1108" w:type="dxa"/>
            <w:vMerge w:val="restart"/>
            <w:tcBorders>
              <w:top w:val="nil"/>
              <w:left w:val="single" w:color="auto" w:sz="12" w:space="0"/>
              <w:bottom w:val="single" w:color="000000" w:sz="4" w:space="0"/>
              <w:right w:val="single" w:color="auto" w:sz="4" w:space="0"/>
            </w:tcBorders>
            <w:shd w:val="clear" w:color="auto" w:fill="auto"/>
            <w:vAlign w:val="center"/>
          </w:tcPr>
          <w:p w14:paraId="7525E26C">
            <w:pPr>
              <w:widowControl/>
              <w:jc w:val="center"/>
              <w:rPr>
                <w:rFonts w:ascii="宋体" w:hAnsi="宋体" w:cs="宋体"/>
                <w:color w:val="000000"/>
                <w:kern w:val="0"/>
                <w:sz w:val="22"/>
              </w:rPr>
            </w:pPr>
            <w:r>
              <w:rPr>
                <w:rFonts w:hint="eastAsia" w:ascii="宋体" w:hAnsi="宋体" w:cs="宋体"/>
                <w:color w:val="000000"/>
                <w:kern w:val="0"/>
                <w:sz w:val="22"/>
              </w:rPr>
              <w:t>四、效果（30分）</w:t>
            </w:r>
          </w:p>
        </w:tc>
        <w:tc>
          <w:tcPr>
            <w:tcW w:w="1324" w:type="dxa"/>
            <w:tcBorders>
              <w:top w:val="nil"/>
              <w:left w:val="nil"/>
              <w:bottom w:val="single" w:color="auto" w:sz="4" w:space="0"/>
              <w:right w:val="single" w:color="auto" w:sz="4" w:space="0"/>
            </w:tcBorders>
            <w:shd w:val="clear" w:color="auto" w:fill="auto"/>
            <w:vAlign w:val="center"/>
          </w:tcPr>
          <w:p w14:paraId="31A2854A">
            <w:pPr>
              <w:widowControl/>
              <w:jc w:val="center"/>
              <w:rPr>
                <w:rFonts w:ascii="宋体" w:hAnsi="宋体" w:cs="宋体"/>
                <w:color w:val="000000"/>
                <w:kern w:val="0"/>
                <w:sz w:val="22"/>
              </w:rPr>
            </w:pPr>
            <w:r>
              <w:rPr>
                <w:rFonts w:hint="eastAsia" w:ascii="宋体" w:hAnsi="宋体" w:cs="宋体"/>
                <w:color w:val="000000"/>
                <w:kern w:val="0"/>
                <w:sz w:val="22"/>
              </w:rPr>
              <w:t>社会效益指标 （10分）</w:t>
            </w:r>
          </w:p>
        </w:tc>
        <w:tc>
          <w:tcPr>
            <w:tcW w:w="2375" w:type="dxa"/>
            <w:tcBorders>
              <w:top w:val="nil"/>
              <w:left w:val="nil"/>
              <w:bottom w:val="single" w:color="auto" w:sz="4" w:space="0"/>
              <w:right w:val="single" w:color="auto" w:sz="4" w:space="0"/>
            </w:tcBorders>
            <w:shd w:val="clear" w:color="auto" w:fill="auto"/>
            <w:vAlign w:val="center"/>
          </w:tcPr>
          <w:p w14:paraId="42777D75">
            <w:pPr>
              <w:widowControl/>
              <w:jc w:val="left"/>
              <w:rPr>
                <w:rFonts w:ascii="宋体" w:hAnsi="宋体" w:cs="宋体"/>
                <w:color w:val="000000"/>
                <w:kern w:val="0"/>
                <w:sz w:val="22"/>
              </w:rPr>
            </w:pPr>
            <w:r>
              <w:rPr>
                <w:rFonts w:hint="eastAsia" w:ascii="宋体" w:hAnsi="宋体" w:cs="宋体"/>
                <w:color w:val="000000"/>
                <w:kern w:val="0"/>
                <w:sz w:val="22"/>
              </w:rPr>
              <w:t>提升居民生活质量（10分）</w:t>
            </w:r>
          </w:p>
        </w:tc>
        <w:tc>
          <w:tcPr>
            <w:tcW w:w="4425" w:type="dxa"/>
            <w:tcBorders>
              <w:top w:val="nil"/>
              <w:left w:val="nil"/>
              <w:bottom w:val="single" w:color="auto" w:sz="4" w:space="0"/>
              <w:right w:val="single" w:color="auto" w:sz="4" w:space="0"/>
            </w:tcBorders>
            <w:shd w:val="clear" w:color="auto" w:fill="auto"/>
            <w:vAlign w:val="center"/>
          </w:tcPr>
          <w:p w14:paraId="6FD62585">
            <w:pPr>
              <w:widowControl/>
              <w:jc w:val="left"/>
              <w:rPr>
                <w:rFonts w:ascii="宋体" w:hAnsi="宋体" w:cs="宋体"/>
                <w:color w:val="000000"/>
                <w:kern w:val="0"/>
                <w:sz w:val="22"/>
              </w:rPr>
            </w:pPr>
            <w:r>
              <w:rPr>
                <w:rFonts w:hint="eastAsia" w:ascii="宋体" w:hAnsi="宋体" w:cs="宋体"/>
                <w:color w:val="000000"/>
                <w:kern w:val="0"/>
                <w:sz w:val="22"/>
              </w:rPr>
              <w:t>基层服务质量提高</w:t>
            </w:r>
          </w:p>
        </w:tc>
        <w:tc>
          <w:tcPr>
            <w:tcW w:w="3984" w:type="dxa"/>
            <w:tcBorders>
              <w:top w:val="nil"/>
              <w:left w:val="nil"/>
              <w:bottom w:val="single" w:color="auto" w:sz="4" w:space="0"/>
              <w:right w:val="single" w:color="auto" w:sz="4" w:space="0"/>
            </w:tcBorders>
            <w:shd w:val="clear" w:color="auto" w:fill="auto"/>
            <w:vAlign w:val="center"/>
          </w:tcPr>
          <w:p w14:paraId="07F0B2B2">
            <w:pPr>
              <w:widowControl/>
              <w:jc w:val="left"/>
              <w:rPr>
                <w:rFonts w:ascii="宋体" w:hAnsi="宋体" w:cs="宋体"/>
                <w:color w:val="000000"/>
                <w:kern w:val="0"/>
                <w:sz w:val="22"/>
              </w:rPr>
            </w:pPr>
            <w:r>
              <w:rPr>
                <w:rFonts w:hint="eastAsia" w:ascii="宋体" w:hAnsi="宋体" w:cs="宋体"/>
                <w:color w:val="000000"/>
                <w:kern w:val="0"/>
                <w:sz w:val="22"/>
              </w:rPr>
              <w:t>在积极促进居民消费水平提升的同时，不断加大工作力度，努力改善居民生活环境，丰富居民文化生活，充分满足广大居民日益增长的物质和精神生活需求，居民的生活质量得到全面提升</w:t>
            </w:r>
          </w:p>
        </w:tc>
        <w:tc>
          <w:tcPr>
            <w:tcW w:w="771" w:type="dxa"/>
            <w:tcBorders>
              <w:top w:val="nil"/>
              <w:left w:val="nil"/>
              <w:bottom w:val="single" w:color="auto" w:sz="4" w:space="0"/>
              <w:right w:val="single" w:color="auto" w:sz="12" w:space="0"/>
            </w:tcBorders>
            <w:shd w:val="clear" w:color="auto" w:fill="auto"/>
            <w:vAlign w:val="center"/>
          </w:tcPr>
          <w:p w14:paraId="11B84068">
            <w:pPr>
              <w:widowControl/>
              <w:jc w:val="center"/>
              <w:rPr>
                <w:rFonts w:ascii="宋体" w:hAnsi="宋体" w:cs="宋体"/>
                <w:color w:val="000000"/>
                <w:kern w:val="0"/>
                <w:sz w:val="22"/>
              </w:rPr>
            </w:pPr>
            <w:r>
              <w:rPr>
                <w:rFonts w:hint="eastAsia" w:ascii="宋体" w:hAnsi="宋体" w:cs="宋体"/>
                <w:color w:val="000000"/>
                <w:kern w:val="0"/>
                <w:sz w:val="22"/>
              </w:rPr>
              <w:t>9</w:t>
            </w:r>
          </w:p>
        </w:tc>
      </w:tr>
      <w:tr w14:paraId="6FE8FA01">
        <w:tblPrEx>
          <w:tblCellMar>
            <w:top w:w="0" w:type="dxa"/>
            <w:left w:w="108" w:type="dxa"/>
            <w:bottom w:w="0" w:type="dxa"/>
            <w:right w:w="108" w:type="dxa"/>
          </w:tblCellMar>
        </w:tblPrEx>
        <w:trPr>
          <w:trHeight w:val="880" w:hRule="atLeast"/>
          <w:jc w:val="center"/>
        </w:trPr>
        <w:tc>
          <w:tcPr>
            <w:tcW w:w="1108" w:type="dxa"/>
            <w:vMerge w:val="continue"/>
            <w:tcBorders>
              <w:top w:val="nil"/>
              <w:left w:val="single" w:color="auto" w:sz="12" w:space="0"/>
              <w:bottom w:val="single" w:color="000000" w:sz="4" w:space="0"/>
              <w:right w:val="single" w:color="auto" w:sz="4" w:space="0"/>
            </w:tcBorders>
            <w:shd w:val="clear" w:color="auto" w:fill="auto"/>
            <w:vAlign w:val="center"/>
          </w:tcPr>
          <w:p w14:paraId="543ECC59">
            <w:pPr>
              <w:widowControl/>
              <w:jc w:val="left"/>
              <w:rPr>
                <w:rFonts w:ascii="宋体" w:hAnsi="宋体" w:cs="宋体"/>
                <w:color w:val="000000"/>
                <w:kern w:val="0"/>
                <w:sz w:val="22"/>
              </w:rPr>
            </w:pPr>
          </w:p>
        </w:tc>
        <w:tc>
          <w:tcPr>
            <w:tcW w:w="1324" w:type="dxa"/>
            <w:tcBorders>
              <w:top w:val="nil"/>
              <w:left w:val="nil"/>
              <w:bottom w:val="single" w:color="auto" w:sz="4" w:space="0"/>
              <w:right w:val="single" w:color="auto" w:sz="4" w:space="0"/>
            </w:tcBorders>
            <w:shd w:val="clear" w:color="auto" w:fill="auto"/>
            <w:vAlign w:val="center"/>
          </w:tcPr>
          <w:p w14:paraId="0B6456EE">
            <w:pPr>
              <w:widowControl/>
              <w:jc w:val="center"/>
              <w:rPr>
                <w:rFonts w:ascii="宋体" w:hAnsi="宋体" w:cs="宋体"/>
                <w:color w:val="000000"/>
                <w:kern w:val="0"/>
                <w:sz w:val="22"/>
              </w:rPr>
            </w:pPr>
            <w:r>
              <w:rPr>
                <w:rFonts w:hint="eastAsia" w:ascii="宋体" w:hAnsi="宋体" w:cs="宋体"/>
                <w:color w:val="000000"/>
                <w:kern w:val="0"/>
                <w:sz w:val="22"/>
              </w:rPr>
              <w:t>可持续影响指标(10分)</w:t>
            </w:r>
          </w:p>
        </w:tc>
        <w:tc>
          <w:tcPr>
            <w:tcW w:w="2375" w:type="dxa"/>
            <w:tcBorders>
              <w:top w:val="nil"/>
              <w:left w:val="nil"/>
              <w:bottom w:val="single" w:color="auto" w:sz="4" w:space="0"/>
              <w:right w:val="single" w:color="auto" w:sz="4" w:space="0"/>
            </w:tcBorders>
            <w:shd w:val="clear" w:color="auto" w:fill="auto"/>
            <w:vAlign w:val="center"/>
          </w:tcPr>
          <w:p w14:paraId="3367FDF9">
            <w:pPr>
              <w:widowControl/>
              <w:jc w:val="left"/>
              <w:rPr>
                <w:rFonts w:ascii="宋体" w:hAnsi="宋体" w:cs="宋体"/>
                <w:color w:val="000000"/>
                <w:kern w:val="0"/>
                <w:sz w:val="22"/>
              </w:rPr>
            </w:pPr>
            <w:r>
              <w:rPr>
                <w:rFonts w:hint="eastAsia" w:ascii="宋体" w:hAnsi="宋体" w:cs="宋体"/>
                <w:color w:val="000000"/>
                <w:kern w:val="0"/>
                <w:sz w:val="22"/>
              </w:rPr>
              <w:t>可持续影响指标（10分）</w:t>
            </w:r>
          </w:p>
        </w:tc>
        <w:tc>
          <w:tcPr>
            <w:tcW w:w="4425" w:type="dxa"/>
            <w:tcBorders>
              <w:top w:val="nil"/>
              <w:left w:val="nil"/>
              <w:bottom w:val="single" w:color="auto" w:sz="4" w:space="0"/>
              <w:right w:val="single" w:color="auto" w:sz="4" w:space="0"/>
            </w:tcBorders>
            <w:shd w:val="clear" w:color="auto" w:fill="auto"/>
            <w:vAlign w:val="center"/>
          </w:tcPr>
          <w:p w14:paraId="273801C7">
            <w:pPr>
              <w:widowControl/>
              <w:jc w:val="left"/>
              <w:rPr>
                <w:rFonts w:ascii="宋体" w:hAnsi="宋体" w:cs="宋体"/>
                <w:color w:val="000000"/>
                <w:kern w:val="0"/>
                <w:sz w:val="22"/>
              </w:rPr>
            </w:pPr>
            <w:r>
              <w:rPr>
                <w:rFonts w:hint="eastAsia" w:ascii="宋体" w:hAnsi="宋体" w:cs="宋体"/>
                <w:color w:val="000000"/>
                <w:kern w:val="0"/>
                <w:sz w:val="22"/>
              </w:rPr>
              <w:t>持续发挥作用</w:t>
            </w:r>
          </w:p>
        </w:tc>
        <w:tc>
          <w:tcPr>
            <w:tcW w:w="3984" w:type="dxa"/>
            <w:tcBorders>
              <w:top w:val="nil"/>
              <w:left w:val="nil"/>
              <w:bottom w:val="single" w:color="auto" w:sz="4" w:space="0"/>
              <w:right w:val="single" w:color="auto" w:sz="4" w:space="0"/>
            </w:tcBorders>
            <w:shd w:val="clear" w:color="auto" w:fill="auto"/>
            <w:vAlign w:val="center"/>
          </w:tcPr>
          <w:p w14:paraId="6B5900A6">
            <w:pPr>
              <w:widowControl/>
              <w:jc w:val="left"/>
              <w:rPr>
                <w:rFonts w:ascii="宋体" w:hAnsi="宋体" w:cs="宋体"/>
                <w:color w:val="000000"/>
                <w:kern w:val="0"/>
                <w:sz w:val="22"/>
              </w:rPr>
            </w:pPr>
            <w:r>
              <w:rPr>
                <w:rFonts w:hint="eastAsia" w:ascii="宋体" w:hAnsi="宋体" w:cs="宋体"/>
                <w:color w:val="000000"/>
                <w:kern w:val="0"/>
                <w:sz w:val="22"/>
              </w:rPr>
              <w:t>项目的实施是持续性的，并建立了长效机制，</w:t>
            </w:r>
            <w:r>
              <w:rPr>
                <w:rFonts w:ascii="Arial" w:hAnsi="Arial" w:cs="Arial"/>
                <w:color w:val="333333"/>
                <w:szCs w:val="21"/>
                <w:shd w:val="clear" w:color="auto" w:fill="FFFFFF"/>
              </w:rPr>
              <w:t>既满足</w:t>
            </w:r>
            <w:r>
              <w:rPr>
                <w:rFonts w:hint="eastAsia" w:ascii="Arial" w:hAnsi="Arial" w:cs="Arial"/>
                <w:color w:val="333333"/>
                <w:szCs w:val="21"/>
                <w:shd w:val="clear" w:color="auto" w:fill="FFFFFF"/>
              </w:rPr>
              <w:t>社区</w:t>
            </w:r>
            <w:r>
              <w:rPr>
                <w:rFonts w:ascii="Arial" w:hAnsi="Arial" w:cs="Arial"/>
                <w:color w:val="333333"/>
                <w:szCs w:val="21"/>
                <w:shd w:val="clear" w:color="auto" w:fill="FFFFFF"/>
              </w:rPr>
              <w:t>当</w:t>
            </w:r>
            <w:r>
              <w:rPr>
                <w:rFonts w:hint="eastAsia" w:ascii="Arial" w:hAnsi="Arial" w:cs="Arial"/>
                <w:color w:val="333333"/>
                <w:szCs w:val="21"/>
                <w:shd w:val="clear" w:color="auto" w:fill="FFFFFF"/>
              </w:rPr>
              <w:t>前</w:t>
            </w:r>
            <w:r>
              <w:rPr>
                <w:rFonts w:ascii="Arial" w:hAnsi="Arial" w:cs="Arial"/>
                <w:color w:val="333333"/>
                <w:szCs w:val="21"/>
                <w:shd w:val="clear" w:color="auto" w:fill="FFFFFF"/>
              </w:rPr>
              <w:t>的需求，又不损害</w:t>
            </w:r>
            <w:r>
              <w:rPr>
                <w:rFonts w:hint="eastAsia" w:ascii="Arial" w:hAnsi="Arial" w:cs="Arial"/>
                <w:color w:val="333333"/>
                <w:szCs w:val="21"/>
                <w:shd w:val="clear" w:color="auto" w:fill="FFFFFF"/>
              </w:rPr>
              <w:t>社区后续</w:t>
            </w:r>
            <w:r>
              <w:rPr>
                <w:rFonts w:ascii="Arial" w:hAnsi="Arial" w:cs="Arial"/>
                <w:color w:val="333333"/>
                <w:szCs w:val="21"/>
                <w:shd w:val="clear" w:color="auto" w:fill="FFFFFF"/>
              </w:rPr>
              <w:t>的发展</w:t>
            </w:r>
          </w:p>
        </w:tc>
        <w:tc>
          <w:tcPr>
            <w:tcW w:w="771" w:type="dxa"/>
            <w:tcBorders>
              <w:top w:val="nil"/>
              <w:left w:val="nil"/>
              <w:bottom w:val="single" w:color="auto" w:sz="4" w:space="0"/>
              <w:right w:val="single" w:color="auto" w:sz="12" w:space="0"/>
            </w:tcBorders>
            <w:shd w:val="clear" w:color="auto" w:fill="auto"/>
            <w:vAlign w:val="center"/>
          </w:tcPr>
          <w:p w14:paraId="0BF7DB7D">
            <w:pPr>
              <w:widowControl/>
              <w:jc w:val="center"/>
              <w:rPr>
                <w:rFonts w:ascii="宋体" w:hAnsi="宋体" w:cs="宋体"/>
                <w:color w:val="000000"/>
                <w:kern w:val="0"/>
                <w:sz w:val="22"/>
              </w:rPr>
            </w:pPr>
            <w:r>
              <w:rPr>
                <w:rFonts w:hint="eastAsia" w:ascii="宋体" w:hAnsi="宋体" w:cs="宋体"/>
                <w:color w:val="000000"/>
                <w:kern w:val="0"/>
                <w:sz w:val="22"/>
              </w:rPr>
              <w:t>9</w:t>
            </w:r>
          </w:p>
        </w:tc>
      </w:tr>
      <w:tr w14:paraId="14C1652F">
        <w:tblPrEx>
          <w:tblCellMar>
            <w:top w:w="0" w:type="dxa"/>
            <w:left w:w="108" w:type="dxa"/>
            <w:bottom w:w="0" w:type="dxa"/>
            <w:right w:w="108" w:type="dxa"/>
          </w:tblCellMar>
        </w:tblPrEx>
        <w:trPr>
          <w:trHeight w:val="660" w:hRule="atLeast"/>
          <w:jc w:val="center"/>
        </w:trPr>
        <w:tc>
          <w:tcPr>
            <w:tcW w:w="1108" w:type="dxa"/>
            <w:vMerge w:val="continue"/>
            <w:tcBorders>
              <w:top w:val="nil"/>
              <w:left w:val="single" w:color="auto" w:sz="12" w:space="0"/>
              <w:bottom w:val="single" w:color="000000" w:sz="4" w:space="0"/>
              <w:right w:val="single" w:color="auto" w:sz="4" w:space="0"/>
            </w:tcBorders>
            <w:shd w:val="clear" w:color="auto" w:fill="auto"/>
            <w:vAlign w:val="center"/>
          </w:tcPr>
          <w:p w14:paraId="72626A9F">
            <w:pPr>
              <w:widowControl/>
              <w:jc w:val="left"/>
              <w:rPr>
                <w:rFonts w:ascii="宋体" w:hAnsi="宋体" w:cs="宋体"/>
                <w:color w:val="000000"/>
                <w:kern w:val="0"/>
                <w:sz w:val="22"/>
              </w:rPr>
            </w:pPr>
          </w:p>
        </w:tc>
        <w:tc>
          <w:tcPr>
            <w:tcW w:w="1324" w:type="dxa"/>
            <w:tcBorders>
              <w:top w:val="nil"/>
              <w:left w:val="nil"/>
              <w:bottom w:val="single" w:color="auto" w:sz="4" w:space="0"/>
              <w:right w:val="single" w:color="auto" w:sz="4" w:space="0"/>
            </w:tcBorders>
            <w:shd w:val="clear" w:color="auto" w:fill="auto"/>
            <w:vAlign w:val="center"/>
          </w:tcPr>
          <w:p w14:paraId="1EF8E764">
            <w:pPr>
              <w:widowControl/>
              <w:jc w:val="center"/>
              <w:rPr>
                <w:rFonts w:ascii="宋体" w:hAnsi="宋体" w:cs="宋体"/>
                <w:color w:val="000000"/>
                <w:kern w:val="0"/>
                <w:sz w:val="22"/>
              </w:rPr>
            </w:pPr>
            <w:r>
              <w:rPr>
                <w:rFonts w:hint="eastAsia" w:ascii="宋体" w:hAnsi="宋体" w:cs="宋体"/>
                <w:color w:val="000000"/>
                <w:kern w:val="0"/>
                <w:sz w:val="22"/>
              </w:rPr>
              <w:t>服务对象满意度指标 （10分）</w:t>
            </w:r>
          </w:p>
        </w:tc>
        <w:tc>
          <w:tcPr>
            <w:tcW w:w="2375" w:type="dxa"/>
            <w:tcBorders>
              <w:top w:val="nil"/>
              <w:left w:val="nil"/>
              <w:bottom w:val="single" w:color="auto" w:sz="4" w:space="0"/>
              <w:right w:val="single" w:color="auto" w:sz="4" w:space="0"/>
            </w:tcBorders>
            <w:shd w:val="clear" w:color="auto" w:fill="auto"/>
            <w:vAlign w:val="center"/>
          </w:tcPr>
          <w:p w14:paraId="06EDF6F3">
            <w:pPr>
              <w:widowControl/>
              <w:jc w:val="left"/>
              <w:rPr>
                <w:rFonts w:ascii="宋体" w:hAnsi="宋体" w:cs="宋体"/>
                <w:color w:val="000000"/>
                <w:kern w:val="0"/>
                <w:sz w:val="22"/>
              </w:rPr>
            </w:pPr>
            <w:r>
              <w:rPr>
                <w:rFonts w:hint="eastAsia" w:ascii="宋体" w:hAnsi="宋体" w:cs="宋体"/>
                <w:color w:val="000000"/>
                <w:kern w:val="0"/>
                <w:sz w:val="22"/>
              </w:rPr>
              <w:t>社会公众或服务对象满意度指标（10分）</w:t>
            </w:r>
          </w:p>
        </w:tc>
        <w:tc>
          <w:tcPr>
            <w:tcW w:w="4425" w:type="dxa"/>
            <w:tcBorders>
              <w:top w:val="nil"/>
              <w:left w:val="nil"/>
              <w:bottom w:val="single" w:color="auto" w:sz="4" w:space="0"/>
              <w:right w:val="single" w:color="auto" w:sz="4" w:space="0"/>
            </w:tcBorders>
            <w:shd w:val="clear" w:color="auto" w:fill="auto"/>
            <w:vAlign w:val="center"/>
          </w:tcPr>
          <w:p w14:paraId="606B76FA">
            <w:pPr>
              <w:widowControl/>
              <w:jc w:val="left"/>
              <w:rPr>
                <w:rFonts w:ascii="宋体" w:hAnsi="宋体" w:cs="宋体"/>
                <w:color w:val="000000"/>
                <w:kern w:val="0"/>
                <w:sz w:val="22"/>
              </w:rPr>
            </w:pPr>
            <w:r>
              <w:rPr>
                <w:rFonts w:hint="eastAsia" w:ascii="宋体" w:hAnsi="宋体" w:cs="宋体"/>
                <w:color w:val="000000"/>
                <w:kern w:val="0"/>
                <w:sz w:val="22"/>
              </w:rPr>
              <w:t>工作及服务质量投诉率为5.00%</w:t>
            </w:r>
          </w:p>
        </w:tc>
        <w:tc>
          <w:tcPr>
            <w:tcW w:w="3984" w:type="dxa"/>
            <w:tcBorders>
              <w:top w:val="nil"/>
              <w:left w:val="nil"/>
              <w:bottom w:val="single" w:color="auto" w:sz="4" w:space="0"/>
              <w:right w:val="single" w:color="auto" w:sz="4" w:space="0"/>
            </w:tcBorders>
            <w:shd w:val="clear" w:color="auto" w:fill="auto"/>
            <w:vAlign w:val="center"/>
          </w:tcPr>
          <w:p w14:paraId="0101AADF">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771" w:type="dxa"/>
            <w:tcBorders>
              <w:top w:val="nil"/>
              <w:left w:val="nil"/>
              <w:bottom w:val="single" w:color="auto" w:sz="4" w:space="0"/>
              <w:right w:val="single" w:color="auto" w:sz="12" w:space="0"/>
            </w:tcBorders>
            <w:shd w:val="clear" w:color="auto" w:fill="auto"/>
            <w:vAlign w:val="center"/>
          </w:tcPr>
          <w:p w14:paraId="58CE9AD6">
            <w:pPr>
              <w:widowControl/>
              <w:jc w:val="center"/>
              <w:rPr>
                <w:rFonts w:ascii="宋体" w:hAnsi="宋体" w:cs="宋体"/>
                <w:color w:val="000000"/>
                <w:kern w:val="0"/>
                <w:sz w:val="22"/>
              </w:rPr>
            </w:pPr>
            <w:r>
              <w:rPr>
                <w:rFonts w:hint="eastAsia" w:ascii="宋体" w:hAnsi="宋体" w:cs="宋体"/>
                <w:color w:val="000000"/>
                <w:kern w:val="0"/>
                <w:sz w:val="22"/>
              </w:rPr>
              <w:t>10</w:t>
            </w:r>
          </w:p>
        </w:tc>
      </w:tr>
      <w:tr w14:paraId="6871718B">
        <w:tblPrEx>
          <w:tblCellMar>
            <w:top w:w="0" w:type="dxa"/>
            <w:left w:w="108" w:type="dxa"/>
            <w:bottom w:w="0" w:type="dxa"/>
            <w:right w:w="108" w:type="dxa"/>
          </w:tblCellMar>
        </w:tblPrEx>
        <w:trPr>
          <w:trHeight w:val="440" w:hRule="atLeast"/>
          <w:jc w:val="center"/>
        </w:trPr>
        <w:tc>
          <w:tcPr>
            <w:tcW w:w="13216"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1037EAD8">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71" w:type="dxa"/>
            <w:tcBorders>
              <w:top w:val="nil"/>
              <w:left w:val="nil"/>
              <w:bottom w:val="single" w:color="auto" w:sz="4" w:space="0"/>
              <w:right w:val="single" w:color="auto" w:sz="12" w:space="0"/>
            </w:tcBorders>
            <w:shd w:val="clear" w:color="auto" w:fill="auto"/>
            <w:vAlign w:val="center"/>
          </w:tcPr>
          <w:p w14:paraId="4A31A71D">
            <w:pPr>
              <w:widowControl/>
              <w:jc w:val="center"/>
              <w:rPr>
                <w:rFonts w:ascii="宋体" w:hAnsi="宋体" w:cs="宋体"/>
                <w:b/>
                <w:bCs/>
                <w:color w:val="000000"/>
                <w:kern w:val="0"/>
                <w:sz w:val="22"/>
              </w:rPr>
            </w:pPr>
            <w:r>
              <w:rPr>
                <w:rFonts w:hint="eastAsia" w:ascii="宋体" w:hAnsi="宋体" w:cs="宋体"/>
                <w:b/>
                <w:bCs/>
                <w:color w:val="000000"/>
                <w:kern w:val="0"/>
                <w:sz w:val="22"/>
              </w:rPr>
              <w:t>28</w:t>
            </w:r>
          </w:p>
        </w:tc>
      </w:tr>
      <w:tr w14:paraId="20F91B5F">
        <w:tblPrEx>
          <w:tblCellMar>
            <w:top w:w="0" w:type="dxa"/>
            <w:left w:w="108" w:type="dxa"/>
            <w:bottom w:w="0" w:type="dxa"/>
            <w:right w:w="108" w:type="dxa"/>
          </w:tblCellMar>
        </w:tblPrEx>
        <w:trPr>
          <w:trHeight w:val="440" w:hRule="atLeast"/>
          <w:jc w:val="center"/>
        </w:trPr>
        <w:tc>
          <w:tcPr>
            <w:tcW w:w="13216" w:type="dxa"/>
            <w:gridSpan w:val="5"/>
            <w:tcBorders>
              <w:top w:val="single" w:color="auto" w:sz="4" w:space="0"/>
              <w:left w:val="single" w:color="auto" w:sz="12" w:space="0"/>
              <w:bottom w:val="single" w:color="auto" w:sz="12" w:space="0"/>
              <w:right w:val="single" w:color="000000" w:sz="4" w:space="0"/>
            </w:tcBorders>
            <w:shd w:val="clear" w:color="auto" w:fill="auto"/>
            <w:vAlign w:val="center"/>
          </w:tcPr>
          <w:p w14:paraId="731370D1">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71" w:type="dxa"/>
            <w:tcBorders>
              <w:top w:val="nil"/>
              <w:left w:val="nil"/>
              <w:bottom w:val="single" w:color="auto" w:sz="12" w:space="0"/>
              <w:right w:val="single" w:color="auto" w:sz="12" w:space="0"/>
            </w:tcBorders>
            <w:shd w:val="clear" w:color="auto" w:fill="auto"/>
            <w:vAlign w:val="center"/>
          </w:tcPr>
          <w:p w14:paraId="569B4B3D">
            <w:pPr>
              <w:widowControl/>
              <w:jc w:val="center"/>
              <w:rPr>
                <w:rFonts w:ascii="宋体" w:hAnsi="宋体" w:cs="宋体"/>
                <w:b/>
                <w:bCs/>
                <w:color w:val="000000"/>
                <w:kern w:val="0"/>
                <w:sz w:val="22"/>
              </w:rPr>
            </w:pPr>
            <w:r>
              <w:rPr>
                <w:rFonts w:hint="eastAsia" w:ascii="宋体" w:hAnsi="宋体" w:cs="宋体"/>
                <w:b/>
                <w:bCs/>
                <w:color w:val="000000"/>
                <w:kern w:val="0"/>
                <w:sz w:val="22"/>
              </w:rPr>
              <w:t>93.00</w:t>
            </w:r>
          </w:p>
        </w:tc>
      </w:tr>
    </w:tbl>
    <w:p w14:paraId="2CE0454E">
      <w:pPr>
        <w:spacing w:line="360" w:lineRule="auto"/>
        <w:ind w:firstLine="560" w:firstLineChars="200"/>
        <w:rPr>
          <w:rFonts w:hint="eastAsia" w:ascii="宋体" w:hAnsi="宋体"/>
          <w:sz w:val="28"/>
        </w:rPr>
      </w:pPr>
    </w:p>
    <w:p w14:paraId="7653EC97">
      <w:pPr>
        <w:widowControl/>
        <w:spacing w:line="600" w:lineRule="exact"/>
        <w:ind w:firstLine="640"/>
        <w:jc w:val="left"/>
        <w:rPr>
          <w:rFonts w:ascii="宋体" w:hAnsi="宋体" w:cs="宋体"/>
          <w:sz w:val="28"/>
          <w:szCs w:val="28"/>
        </w:rPr>
        <w:sectPr>
          <w:pgSz w:w="16838" w:h="11906" w:orient="landscape"/>
          <w:pgMar w:top="1800" w:right="1440" w:bottom="1800" w:left="1440" w:header="851" w:footer="992" w:gutter="0"/>
          <w:cols w:space="425" w:num="1"/>
          <w:docGrid w:type="lines" w:linePitch="312" w:charSpace="0"/>
        </w:sectPr>
      </w:pPr>
    </w:p>
    <w:p w14:paraId="1587DA36">
      <w:pPr>
        <w:widowControl/>
        <w:spacing w:line="600" w:lineRule="exact"/>
        <w:ind w:firstLine="640"/>
        <w:jc w:val="left"/>
        <w:rPr>
          <w:rFonts w:ascii="宋体" w:hAnsi="宋体" w:cs="宋体"/>
          <w:sz w:val="28"/>
          <w:szCs w:val="28"/>
        </w:rPr>
      </w:pPr>
      <w:r>
        <w:rPr>
          <w:rFonts w:hint="eastAsia" w:ascii="宋体" w:hAnsi="宋体" w:cs="宋体"/>
          <w:sz w:val="28"/>
          <w:szCs w:val="28"/>
        </w:rPr>
        <w:t>根据上表，分析如下：</w:t>
      </w:r>
    </w:p>
    <w:p w14:paraId="5E3B64E9">
      <w:pPr>
        <w:widowControl/>
        <w:spacing w:line="600" w:lineRule="exact"/>
        <w:ind w:firstLine="641"/>
        <w:jc w:val="left"/>
        <w:outlineLvl w:val="2"/>
        <w:rPr>
          <w:rFonts w:ascii="宋体" w:hAnsi="宋体" w:cs="宋体"/>
          <w:sz w:val="28"/>
          <w:szCs w:val="28"/>
        </w:rPr>
      </w:pPr>
      <w:r>
        <w:rPr>
          <w:rFonts w:hint="eastAsia" w:ascii="宋体" w:hAnsi="宋体" w:cs="宋体"/>
          <w:sz w:val="28"/>
          <w:szCs w:val="28"/>
        </w:rPr>
        <w:t>1、产出目标</w:t>
      </w:r>
    </w:p>
    <w:p w14:paraId="2DA7D18D">
      <w:pPr>
        <w:widowControl/>
        <w:spacing w:line="600" w:lineRule="exact"/>
        <w:ind w:firstLine="640"/>
        <w:jc w:val="left"/>
        <w:rPr>
          <w:rFonts w:ascii="宋体" w:hAnsi="宋体" w:cs="宋体"/>
          <w:sz w:val="28"/>
          <w:szCs w:val="28"/>
        </w:rPr>
      </w:pPr>
      <w:r>
        <w:rPr>
          <w:rFonts w:hint="eastAsia" w:ascii="宋体" w:hAnsi="宋体" w:cs="宋体"/>
          <w:sz w:val="28"/>
          <w:szCs w:val="28"/>
        </w:rPr>
        <w:t>（1）数量指标</w:t>
      </w:r>
    </w:p>
    <w:p w14:paraId="61B1028C">
      <w:pPr>
        <w:widowControl/>
        <w:spacing w:line="600" w:lineRule="exact"/>
        <w:ind w:firstLine="640"/>
        <w:jc w:val="left"/>
        <w:rPr>
          <w:rFonts w:ascii="宋体" w:hAnsi="宋体" w:cs="宋体"/>
          <w:sz w:val="28"/>
          <w:szCs w:val="28"/>
        </w:rPr>
      </w:pPr>
      <w:r>
        <w:rPr>
          <w:rFonts w:hint="eastAsia" w:ascii="宋体" w:hAnsi="宋体" w:cs="宋体"/>
          <w:sz w:val="28"/>
          <w:szCs w:val="28"/>
        </w:rPr>
        <w:t>如上表所示，数量指标购置相关资产及配套设施已完成。</w:t>
      </w:r>
    </w:p>
    <w:p w14:paraId="010D81B6">
      <w:pPr>
        <w:widowControl/>
        <w:spacing w:line="600" w:lineRule="exact"/>
        <w:ind w:firstLine="640"/>
        <w:jc w:val="left"/>
        <w:rPr>
          <w:rFonts w:ascii="宋体" w:hAnsi="宋体" w:cs="宋体"/>
          <w:sz w:val="28"/>
          <w:szCs w:val="28"/>
        </w:rPr>
      </w:pPr>
      <w:r>
        <w:rPr>
          <w:rFonts w:hint="eastAsia" w:ascii="宋体" w:hAnsi="宋体" w:cs="宋体"/>
          <w:sz w:val="28"/>
          <w:szCs w:val="28"/>
        </w:rPr>
        <w:t>（2）质量指标</w:t>
      </w:r>
    </w:p>
    <w:p w14:paraId="524C523F">
      <w:pPr>
        <w:widowControl/>
        <w:spacing w:line="600" w:lineRule="exact"/>
        <w:ind w:firstLine="640"/>
        <w:jc w:val="left"/>
        <w:rPr>
          <w:rFonts w:ascii="宋体" w:hAnsi="宋体" w:cs="宋体"/>
          <w:sz w:val="28"/>
          <w:szCs w:val="28"/>
        </w:rPr>
      </w:pPr>
      <w:r>
        <w:rPr>
          <w:rFonts w:hint="eastAsia" w:ascii="宋体" w:hAnsi="宋体" w:cs="宋体"/>
          <w:sz w:val="28"/>
          <w:szCs w:val="28"/>
        </w:rPr>
        <w:t>社区居民对当前生活水平的满意度96.00%，高于指标目标指1个百分点。从业务记录及现场抽查情况来看，配套设施建设质量较高，群众反响较好，美誉度高。从访问的社区居民的反馈情况来看，希望社区继续沿袭这一制度的社区居民数量较多，这也侧面印证了社区建设的工作是成功的。</w:t>
      </w:r>
    </w:p>
    <w:p w14:paraId="53554772">
      <w:pPr>
        <w:widowControl/>
        <w:spacing w:line="600" w:lineRule="exact"/>
        <w:ind w:firstLine="640"/>
        <w:jc w:val="left"/>
        <w:rPr>
          <w:rFonts w:ascii="宋体" w:hAnsi="宋体" w:cs="宋体"/>
          <w:sz w:val="28"/>
          <w:szCs w:val="28"/>
        </w:rPr>
      </w:pPr>
      <w:r>
        <w:rPr>
          <w:rFonts w:hint="eastAsia" w:ascii="宋体" w:hAnsi="宋体" w:cs="宋体"/>
          <w:sz w:val="28"/>
          <w:szCs w:val="28"/>
        </w:rPr>
        <w:t>（3）时效指标</w:t>
      </w:r>
    </w:p>
    <w:p w14:paraId="39A49168">
      <w:pPr>
        <w:widowControl/>
        <w:spacing w:line="600" w:lineRule="exact"/>
        <w:ind w:firstLine="640"/>
        <w:jc w:val="left"/>
        <w:rPr>
          <w:rFonts w:ascii="宋体" w:hAnsi="宋体" w:cs="宋体"/>
          <w:sz w:val="28"/>
          <w:szCs w:val="28"/>
        </w:rPr>
      </w:pPr>
      <w:r>
        <w:rPr>
          <w:rFonts w:hint="eastAsia" w:ascii="宋体" w:hAnsi="宋体" w:cs="宋体"/>
          <w:sz w:val="28"/>
          <w:szCs w:val="28"/>
        </w:rPr>
        <w:t>通过查看社区建设记录，访谈部分社区居民，项目完成及时性达到100%。</w:t>
      </w:r>
    </w:p>
    <w:p w14:paraId="7D76D880">
      <w:pPr>
        <w:spacing w:line="360" w:lineRule="auto"/>
        <w:ind w:firstLine="560" w:firstLineChars="200"/>
        <w:rPr>
          <w:rFonts w:hint="eastAsia" w:ascii="宋体" w:hAnsi="宋体" w:cs="宋体"/>
          <w:sz w:val="28"/>
          <w:szCs w:val="28"/>
        </w:rPr>
      </w:pPr>
      <w:r>
        <w:rPr>
          <w:rFonts w:hint="eastAsia" w:ascii="宋体" w:hAnsi="宋体" w:cs="宋体"/>
          <w:sz w:val="28"/>
          <w:szCs w:val="28"/>
        </w:rPr>
        <w:t>2.效果目标</w:t>
      </w:r>
    </w:p>
    <w:p w14:paraId="3ECD7540">
      <w:pPr>
        <w:spacing w:line="360" w:lineRule="auto"/>
        <w:ind w:firstLine="560" w:firstLineChars="200"/>
        <w:rPr>
          <w:rFonts w:hint="eastAsia" w:ascii="宋体" w:hAnsi="宋体" w:cs="宋体"/>
          <w:sz w:val="28"/>
          <w:szCs w:val="28"/>
        </w:rPr>
      </w:pPr>
      <w:r>
        <w:rPr>
          <w:rFonts w:hint="eastAsia" w:ascii="宋体" w:hAnsi="宋体" w:cs="宋体"/>
          <w:sz w:val="28"/>
          <w:szCs w:val="28"/>
        </w:rPr>
        <w:t>（1）社会效益指标</w:t>
      </w:r>
    </w:p>
    <w:p w14:paraId="3F1E43E0">
      <w:pPr>
        <w:spacing w:line="360" w:lineRule="auto"/>
        <w:ind w:firstLine="560" w:firstLineChars="200"/>
        <w:rPr>
          <w:rFonts w:hint="eastAsia" w:ascii="宋体" w:hAnsi="宋体" w:cs="宋体"/>
          <w:sz w:val="28"/>
          <w:szCs w:val="28"/>
        </w:rPr>
      </w:pPr>
      <w:r>
        <w:rPr>
          <w:rFonts w:hint="eastAsia" w:ascii="宋体" w:hAnsi="宋体" w:cs="宋体"/>
          <w:sz w:val="28"/>
          <w:szCs w:val="28"/>
        </w:rPr>
        <w:t>项目产生了良好的社会效益，为营造和谐稳定的社会氛围发挥了必要的作用，在积极促进居民消费水平提升的同时，不断加大工作力度，努力改善居民生活环境，丰富居民文化生活，充分满足广大居民日益增长的物质和精神生活需求，居民的生活质量得到全面提升。</w:t>
      </w:r>
    </w:p>
    <w:p w14:paraId="6E80E0AF">
      <w:pPr>
        <w:spacing w:line="360" w:lineRule="auto"/>
        <w:ind w:firstLine="560" w:firstLineChars="200"/>
        <w:rPr>
          <w:rFonts w:hint="eastAsia" w:ascii="宋体" w:hAnsi="宋体" w:cs="宋体"/>
          <w:sz w:val="28"/>
          <w:szCs w:val="28"/>
        </w:rPr>
      </w:pPr>
      <w:r>
        <w:rPr>
          <w:rFonts w:hint="eastAsia" w:ascii="宋体" w:hAnsi="宋体" w:cs="宋体"/>
          <w:sz w:val="28"/>
          <w:szCs w:val="28"/>
        </w:rPr>
        <w:t>（2）可持续影响指标</w:t>
      </w:r>
    </w:p>
    <w:p w14:paraId="447D9AEE">
      <w:pPr>
        <w:spacing w:line="360" w:lineRule="auto"/>
        <w:ind w:firstLine="560" w:firstLineChars="200"/>
        <w:rPr>
          <w:rFonts w:hint="eastAsia" w:ascii="宋体" w:hAnsi="宋体" w:cs="宋体"/>
          <w:sz w:val="28"/>
          <w:szCs w:val="28"/>
        </w:rPr>
      </w:pPr>
      <w:r>
        <w:rPr>
          <w:rFonts w:hint="eastAsia" w:ascii="宋体" w:hAnsi="宋体" w:cs="宋体"/>
          <w:sz w:val="28"/>
          <w:szCs w:val="28"/>
        </w:rPr>
        <w:t>项目的实施是持续性的，并建立了长效机制，既满足社区当前的需求，又不损害社区后续的发展。</w:t>
      </w:r>
    </w:p>
    <w:p w14:paraId="3C2AF623">
      <w:pPr>
        <w:spacing w:line="360" w:lineRule="auto"/>
        <w:ind w:firstLine="560" w:firstLineChars="200"/>
        <w:rPr>
          <w:rFonts w:hint="eastAsia" w:ascii="宋体" w:hAnsi="宋体" w:cs="宋体"/>
          <w:sz w:val="28"/>
          <w:szCs w:val="28"/>
        </w:rPr>
      </w:pPr>
      <w:r>
        <w:rPr>
          <w:rFonts w:hint="eastAsia" w:ascii="宋体" w:hAnsi="宋体" w:cs="宋体"/>
          <w:sz w:val="28"/>
          <w:szCs w:val="28"/>
        </w:rPr>
        <w:t>（3）社会公众或服务对象满意度指标</w:t>
      </w:r>
    </w:p>
    <w:p w14:paraId="748ED28D">
      <w:pPr>
        <w:spacing w:line="360" w:lineRule="auto"/>
        <w:ind w:firstLine="560" w:firstLineChars="200"/>
        <w:rPr>
          <w:rFonts w:hint="eastAsia" w:ascii="宋体" w:hAnsi="宋体" w:cs="宋体"/>
          <w:sz w:val="28"/>
          <w:szCs w:val="28"/>
        </w:rPr>
      </w:pPr>
      <w:r>
        <w:rPr>
          <w:rFonts w:hint="eastAsia" w:ascii="宋体" w:hAnsi="宋体" w:cs="宋体"/>
          <w:sz w:val="28"/>
          <w:szCs w:val="28"/>
        </w:rPr>
        <w:t>获得了群众的一致好评，群众投诉率仅为2.00%，项目完成情况较好。</w:t>
      </w:r>
    </w:p>
    <w:p w14:paraId="03565448">
      <w:pPr>
        <w:spacing w:line="360" w:lineRule="auto"/>
        <w:ind w:firstLine="562" w:firstLineChars="200"/>
        <w:rPr>
          <w:rFonts w:hint="eastAsia" w:ascii="宋体" w:hAnsi="宋体"/>
          <w:b/>
          <w:sz w:val="28"/>
          <w:szCs w:val="28"/>
        </w:rPr>
      </w:pPr>
      <w:r>
        <w:rPr>
          <w:rFonts w:hint="eastAsia" w:ascii="宋体" w:hAnsi="宋体"/>
          <w:b/>
          <w:sz w:val="28"/>
          <w:szCs w:val="28"/>
        </w:rPr>
        <w:t>三、自评结论</w:t>
      </w:r>
    </w:p>
    <w:p w14:paraId="2AF1DC91">
      <w:pPr>
        <w:spacing w:line="360" w:lineRule="auto"/>
        <w:ind w:firstLine="560" w:firstLineChars="200"/>
        <w:rPr>
          <w:rFonts w:ascii="宋体" w:hAnsi="宋体"/>
          <w:sz w:val="28"/>
          <w:szCs w:val="28"/>
        </w:rPr>
      </w:pPr>
      <w:r>
        <w:rPr>
          <w:rFonts w:hint="eastAsia" w:ascii="宋体" w:hAnsi="宋体"/>
          <w:sz w:val="28"/>
          <w:szCs w:val="28"/>
        </w:rPr>
        <w:t>（一）自评结论</w:t>
      </w:r>
    </w:p>
    <w:p w14:paraId="02B6E523">
      <w:pPr>
        <w:widowControl/>
        <w:spacing w:line="600" w:lineRule="exact"/>
        <w:ind w:firstLine="640"/>
        <w:jc w:val="left"/>
        <w:rPr>
          <w:rFonts w:ascii="宋体" w:hAnsi="宋体" w:cs="宋体"/>
          <w:sz w:val="28"/>
          <w:szCs w:val="28"/>
        </w:rPr>
      </w:pPr>
      <w:r>
        <w:rPr>
          <w:rFonts w:hint="eastAsia" w:ascii="宋体" w:hAnsi="宋体" w:cs="宋体"/>
          <w:sz w:val="28"/>
          <w:szCs w:val="28"/>
        </w:rPr>
        <w:t>经上述分析评价，我们认为：</w:t>
      </w:r>
    </w:p>
    <w:p w14:paraId="56F9874C">
      <w:pPr>
        <w:widowControl/>
        <w:spacing w:line="600" w:lineRule="exact"/>
        <w:ind w:firstLine="640"/>
        <w:jc w:val="left"/>
        <w:rPr>
          <w:rFonts w:ascii="宋体" w:hAnsi="宋体" w:cs="宋体"/>
          <w:sz w:val="28"/>
          <w:szCs w:val="28"/>
        </w:rPr>
      </w:pPr>
      <w:r>
        <w:rPr>
          <w:rFonts w:hint="eastAsia" w:ascii="宋体" w:hAnsi="宋体" w:cs="宋体"/>
          <w:sz w:val="28"/>
          <w:szCs w:val="28"/>
        </w:rPr>
        <w:t>2017年度“农民社区管理补助经费”项目立项依据较为充分，必要性突出，预算清晰可行。</w:t>
      </w:r>
    </w:p>
    <w:p w14:paraId="4E5A5066">
      <w:pPr>
        <w:widowControl/>
        <w:spacing w:line="600" w:lineRule="exact"/>
        <w:ind w:firstLine="640"/>
        <w:jc w:val="left"/>
        <w:rPr>
          <w:rFonts w:ascii="宋体" w:hAnsi="宋体" w:cs="宋体"/>
          <w:sz w:val="28"/>
          <w:szCs w:val="28"/>
        </w:rPr>
      </w:pPr>
      <w:r>
        <w:rPr>
          <w:rFonts w:hint="eastAsia" w:ascii="宋体" w:hAnsi="宋体" w:cs="宋体"/>
          <w:sz w:val="28"/>
          <w:szCs w:val="28"/>
        </w:rPr>
        <w:t>项目规范操作，程序到位，手续齐全，并实施了较好的管理和监督。</w:t>
      </w:r>
    </w:p>
    <w:p w14:paraId="57900B84">
      <w:pPr>
        <w:widowControl/>
        <w:spacing w:line="600" w:lineRule="exact"/>
        <w:ind w:firstLine="640"/>
        <w:jc w:val="left"/>
        <w:rPr>
          <w:rFonts w:ascii="宋体" w:hAnsi="宋体" w:cs="宋体"/>
          <w:sz w:val="28"/>
          <w:szCs w:val="28"/>
        </w:rPr>
      </w:pPr>
      <w:r>
        <w:rPr>
          <w:rFonts w:hint="eastAsia" w:ascii="宋体" w:hAnsi="宋体" w:cs="宋体"/>
          <w:sz w:val="28"/>
          <w:szCs w:val="28"/>
        </w:rPr>
        <w:t>从产出和效果上来看，较好的完成了年初制订的各项项目工作内容，实现了预期效果，取得一致好评。</w:t>
      </w:r>
    </w:p>
    <w:p w14:paraId="31929E7F">
      <w:pPr>
        <w:widowControl/>
        <w:spacing w:line="600" w:lineRule="exact"/>
        <w:ind w:firstLine="640"/>
        <w:jc w:val="left"/>
        <w:rPr>
          <w:rFonts w:ascii="宋体" w:hAnsi="宋体" w:cs="宋体"/>
          <w:sz w:val="28"/>
          <w:szCs w:val="28"/>
        </w:rPr>
      </w:pPr>
      <w:r>
        <w:rPr>
          <w:rFonts w:hint="eastAsia" w:ascii="宋体" w:hAnsi="宋体" w:cs="宋体"/>
          <w:sz w:val="28"/>
          <w:szCs w:val="28"/>
        </w:rPr>
        <w:t>综上，绩效评价综合得分为93分，评价结果为优。</w:t>
      </w:r>
    </w:p>
    <w:p w14:paraId="6D3F0E8C">
      <w:pPr>
        <w:widowControl/>
        <w:spacing w:line="600" w:lineRule="exact"/>
        <w:ind w:firstLine="640"/>
        <w:jc w:val="left"/>
        <w:rPr>
          <w:rFonts w:ascii="宋体" w:hAnsi="宋体" w:cs="黑体"/>
          <w:sz w:val="28"/>
          <w:szCs w:val="28"/>
        </w:rPr>
      </w:pPr>
      <w:r>
        <w:rPr>
          <w:rFonts w:hint="eastAsia" w:ascii="宋体" w:hAnsi="宋体" w:cs="黑体"/>
          <w:sz w:val="28"/>
          <w:szCs w:val="28"/>
        </w:rPr>
        <w:t>（二）主要经验，存在的问题和改进措施</w:t>
      </w:r>
    </w:p>
    <w:p w14:paraId="50CA50D2">
      <w:pPr>
        <w:widowControl/>
        <w:numPr>
          <w:ilvl w:val="0"/>
          <w:numId w:val="11"/>
        </w:numPr>
        <w:spacing w:line="600" w:lineRule="exact"/>
        <w:ind w:firstLine="640"/>
        <w:jc w:val="left"/>
        <w:rPr>
          <w:rFonts w:ascii="宋体" w:hAnsi="宋体"/>
          <w:sz w:val="28"/>
          <w:szCs w:val="28"/>
        </w:rPr>
      </w:pPr>
      <w:r>
        <w:rPr>
          <w:rFonts w:hint="eastAsia" w:ascii="宋体" w:hAnsi="宋体"/>
          <w:sz w:val="28"/>
          <w:szCs w:val="28"/>
        </w:rPr>
        <w:t>主要经验</w:t>
      </w:r>
    </w:p>
    <w:p w14:paraId="4955ADCA">
      <w:pPr>
        <w:widowControl/>
        <w:spacing w:line="600" w:lineRule="exact"/>
        <w:ind w:firstLine="560" w:firstLineChars="200"/>
        <w:jc w:val="left"/>
        <w:rPr>
          <w:rFonts w:hint="eastAsia" w:ascii="宋体" w:hAnsi="宋体"/>
          <w:sz w:val="28"/>
          <w:szCs w:val="28"/>
        </w:rPr>
      </w:pPr>
      <w:r>
        <w:rPr>
          <w:rFonts w:hint="eastAsia" w:ascii="宋体" w:hAnsi="宋体"/>
          <w:sz w:val="28"/>
          <w:szCs w:val="28"/>
        </w:rPr>
        <w:t>（1）坚持把人民群众的小事当作自己的大事，从人民群众所思所想所盼的事情做起，牢牢把握人民群众对美好生活的向往。</w:t>
      </w:r>
    </w:p>
    <w:p w14:paraId="1BE8A711">
      <w:pPr>
        <w:widowControl/>
        <w:spacing w:line="600" w:lineRule="exact"/>
        <w:ind w:firstLine="640"/>
        <w:jc w:val="left"/>
        <w:rPr>
          <w:rFonts w:hint="eastAsia" w:ascii="宋体" w:hAnsi="宋体"/>
          <w:sz w:val="28"/>
          <w:szCs w:val="28"/>
        </w:rPr>
      </w:pPr>
      <w:r>
        <w:rPr>
          <w:rFonts w:hint="eastAsia" w:ascii="宋体" w:hAnsi="宋体"/>
          <w:sz w:val="28"/>
          <w:szCs w:val="28"/>
        </w:rPr>
        <w:t>（2）积极推进新社区组建及管理服务工作，完善社区基础设施，加强物业服务监管。</w:t>
      </w:r>
    </w:p>
    <w:p w14:paraId="4A64BDFA">
      <w:pPr>
        <w:widowControl/>
        <w:spacing w:line="600" w:lineRule="exact"/>
        <w:ind w:firstLine="645"/>
        <w:jc w:val="left"/>
        <w:rPr>
          <w:rFonts w:hint="eastAsia" w:ascii="宋体" w:hAnsi="宋体"/>
          <w:sz w:val="28"/>
          <w:szCs w:val="28"/>
        </w:rPr>
      </w:pPr>
      <w:r>
        <w:rPr>
          <w:rFonts w:hint="eastAsia" w:ascii="宋体" w:hAnsi="宋体"/>
          <w:sz w:val="28"/>
          <w:szCs w:val="28"/>
        </w:rPr>
        <w:t>（3）强化街道政务服务分中心、各社区党群服务中心等重点服务平台的系统性建设，为辖区居民群众提供更加全面的综合性、更加精准的个性化服务项目。</w:t>
      </w:r>
    </w:p>
    <w:p w14:paraId="21C5F7DF">
      <w:pPr>
        <w:widowControl/>
        <w:spacing w:line="600" w:lineRule="exact"/>
        <w:jc w:val="left"/>
        <w:rPr>
          <w:rFonts w:ascii="宋体" w:hAnsi="宋体"/>
          <w:sz w:val="28"/>
          <w:szCs w:val="28"/>
        </w:rPr>
      </w:pPr>
      <w:r>
        <w:rPr>
          <w:rFonts w:hint="eastAsia" w:ascii="宋体" w:hAnsi="宋体"/>
          <w:sz w:val="28"/>
          <w:szCs w:val="28"/>
        </w:rPr>
        <w:t xml:space="preserve">    2、存在的问题</w:t>
      </w:r>
    </w:p>
    <w:p w14:paraId="09146EA5">
      <w:pPr>
        <w:widowControl/>
        <w:spacing w:line="600" w:lineRule="exact"/>
        <w:ind w:firstLine="560" w:firstLineChars="200"/>
        <w:jc w:val="left"/>
        <w:rPr>
          <w:rFonts w:hint="eastAsia" w:ascii="宋体" w:hAnsi="宋体"/>
          <w:sz w:val="28"/>
          <w:szCs w:val="28"/>
        </w:rPr>
      </w:pPr>
      <w:r>
        <w:rPr>
          <w:rFonts w:hint="eastAsia" w:ascii="宋体" w:hAnsi="宋体"/>
          <w:sz w:val="28"/>
          <w:szCs w:val="28"/>
        </w:rPr>
        <w:t>（1）社区干部培训管理方面相对薄弱，部分社区干部能动性</w:t>
      </w:r>
      <w:r>
        <w:rPr>
          <w:rFonts w:ascii="宋体" w:hAnsi="宋体"/>
          <w:sz w:val="28"/>
          <w:szCs w:val="28"/>
        </w:rPr>
        <w:t>不足</w:t>
      </w:r>
      <w:r>
        <w:rPr>
          <w:rFonts w:hint="eastAsia" w:ascii="宋体" w:hAnsi="宋体"/>
          <w:sz w:val="28"/>
          <w:szCs w:val="28"/>
        </w:rPr>
        <w:t>。</w:t>
      </w:r>
    </w:p>
    <w:p w14:paraId="7669B034">
      <w:pPr>
        <w:widowControl/>
        <w:spacing w:line="600" w:lineRule="exact"/>
        <w:ind w:firstLine="560" w:firstLineChars="200"/>
        <w:jc w:val="left"/>
        <w:rPr>
          <w:rFonts w:ascii="宋体" w:hAnsi="宋体"/>
          <w:sz w:val="28"/>
          <w:szCs w:val="28"/>
        </w:rPr>
      </w:pPr>
      <w:r>
        <w:rPr>
          <w:rFonts w:hint="eastAsia" w:ascii="宋体" w:hAnsi="宋体"/>
          <w:sz w:val="28"/>
          <w:szCs w:val="28"/>
        </w:rPr>
        <w:t>（2）还建社区规划设计滞后，基础设施不够完善，社区配套服务设施建设经费严重不足。</w:t>
      </w:r>
    </w:p>
    <w:p w14:paraId="1C8FA24A">
      <w:pPr>
        <w:widowControl/>
        <w:numPr>
          <w:ilvl w:val="0"/>
          <w:numId w:val="12"/>
        </w:numPr>
        <w:spacing w:line="600" w:lineRule="exact"/>
        <w:ind w:firstLine="640"/>
        <w:jc w:val="left"/>
        <w:rPr>
          <w:rFonts w:ascii="宋体" w:hAnsi="宋体" w:cs="宋体"/>
          <w:sz w:val="28"/>
          <w:szCs w:val="28"/>
        </w:rPr>
      </w:pPr>
      <w:r>
        <w:rPr>
          <w:rFonts w:hint="eastAsia" w:ascii="宋体" w:hAnsi="宋体" w:cs="宋体"/>
          <w:sz w:val="28"/>
          <w:szCs w:val="28"/>
        </w:rPr>
        <w:t>改进措施</w:t>
      </w:r>
    </w:p>
    <w:p w14:paraId="58530BA8">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1）加强社区干部的培训管理工作，加强农村社区管理组织队伍建设，建立管理人员问责机制，将社区管理工作纳入对农村社区管理人员的考核当中，用制度约束管理人员的行为。充分提高部分党员干部的能动性。</w:t>
      </w:r>
    </w:p>
    <w:p w14:paraId="164C3A3D">
      <w:pPr>
        <w:widowControl/>
        <w:spacing w:line="600" w:lineRule="exact"/>
        <w:ind w:firstLine="560" w:firstLineChars="200"/>
        <w:jc w:val="left"/>
        <w:rPr>
          <w:rFonts w:ascii="宋体" w:hAnsi="宋体"/>
          <w:sz w:val="28"/>
          <w:szCs w:val="28"/>
        </w:rPr>
      </w:pPr>
      <w:r>
        <w:rPr>
          <w:rFonts w:hint="eastAsia" w:ascii="宋体" w:hAnsi="宋体" w:cs="宋体"/>
          <w:sz w:val="28"/>
          <w:szCs w:val="28"/>
        </w:rPr>
        <w:t>（2）对于农村社区管理建设所需要的资金，首先，需要政府加大对农村社区的财政拨款力度，使农村社区有资金把公共设施建设起来地。其次，农村社区可以结合自身条件和优势来拉动企业和社会对其进行投资，用这部分资金来满足社区居民的文化和物资需要，让社区居民真正感受到社区管理建设给自身带来的好处。</w:t>
      </w:r>
    </w:p>
    <w:p w14:paraId="37425EE3">
      <w:pPr>
        <w:pStyle w:val="9"/>
        <w:widowControl w:val="0"/>
        <w:numPr>
          <w:ilvl w:val="0"/>
          <w:numId w:val="0"/>
        </w:numPr>
        <w:tabs>
          <w:tab w:val="left" w:pos="993"/>
          <w:tab w:val="left" w:pos="1418"/>
        </w:tabs>
        <w:spacing w:line="600" w:lineRule="exact"/>
        <w:jc w:val="left"/>
        <w:rPr>
          <w:rFonts w:hint="eastAsia"/>
          <w:sz w:val="28"/>
        </w:rPr>
      </w:pPr>
    </w:p>
    <w:p w14:paraId="22C4C6E2">
      <w:pPr>
        <w:pStyle w:val="9"/>
        <w:widowControl w:val="0"/>
        <w:numPr>
          <w:ilvl w:val="0"/>
          <w:numId w:val="0"/>
        </w:numPr>
        <w:tabs>
          <w:tab w:val="left" w:pos="993"/>
          <w:tab w:val="left" w:pos="1418"/>
        </w:tabs>
        <w:spacing w:line="600" w:lineRule="exact"/>
        <w:jc w:val="left"/>
        <w:rPr>
          <w:rFonts w:hint="eastAsia"/>
          <w:sz w:val="28"/>
        </w:rPr>
      </w:pPr>
    </w:p>
    <w:p w14:paraId="1F6C24E5">
      <w:pPr>
        <w:pStyle w:val="9"/>
        <w:widowControl w:val="0"/>
        <w:numPr>
          <w:ilvl w:val="0"/>
          <w:numId w:val="0"/>
        </w:numPr>
        <w:tabs>
          <w:tab w:val="left" w:pos="993"/>
          <w:tab w:val="left" w:pos="1418"/>
        </w:tabs>
        <w:spacing w:line="600" w:lineRule="exact"/>
        <w:jc w:val="left"/>
        <w:rPr>
          <w:rFonts w:hint="eastAsia"/>
          <w:sz w:val="28"/>
        </w:rPr>
      </w:pPr>
    </w:p>
    <w:p w14:paraId="22C9F4FA">
      <w:pPr>
        <w:pStyle w:val="9"/>
        <w:widowControl w:val="0"/>
        <w:numPr>
          <w:ilvl w:val="0"/>
          <w:numId w:val="0"/>
        </w:numPr>
        <w:tabs>
          <w:tab w:val="left" w:pos="993"/>
          <w:tab w:val="left" w:pos="1418"/>
        </w:tabs>
        <w:spacing w:line="600" w:lineRule="exact"/>
        <w:jc w:val="left"/>
        <w:rPr>
          <w:rFonts w:hint="eastAsia"/>
          <w:sz w:val="28"/>
        </w:rPr>
      </w:pPr>
    </w:p>
    <w:p w14:paraId="7C213FD4">
      <w:pPr>
        <w:pStyle w:val="9"/>
        <w:widowControl w:val="0"/>
        <w:numPr>
          <w:ilvl w:val="0"/>
          <w:numId w:val="0"/>
        </w:numPr>
        <w:tabs>
          <w:tab w:val="left" w:pos="993"/>
          <w:tab w:val="left" w:pos="1418"/>
        </w:tabs>
        <w:spacing w:line="600" w:lineRule="exact"/>
        <w:jc w:val="left"/>
        <w:rPr>
          <w:rFonts w:hint="eastAsia"/>
          <w:sz w:val="28"/>
        </w:rPr>
      </w:pPr>
    </w:p>
    <w:p w14:paraId="29E89525">
      <w:pPr>
        <w:pStyle w:val="9"/>
        <w:widowControl w:val="0"/>
        <w:numPr>
          <w:ilvl w:val="0"/>
          <w:numId w:val="0"/>
        </w:numPr>
        <w:tabs>
          <w:tab w:val="left" w:pos="993"/>
          <w:tab w:val="left" w:pos="1418"/>
        </w:tabs>
        <w:spacing w:line="600" w:lineRule="exact"/>
        <w:jc w:val="left"/>
        <w:rPr>
          <w:rFonts w:hint="eastAsia"/>
          <w:sz w:val="28"/>
        </w:rPr>
      </w:pPr>
    </w:p>
    <w:p w14:paraId="0D5B08A4">
      <w:pPr>
        <w:pStyle w:val="9"/>
        <w:widowControl w:val="0"/>
        <w:numPr>
          <w:ilvl w:val="0"/>
          <w:numId w:val="0"/>
        </w:numPr>
        <w:tabs>
          <w:tab w:val="left" w:pos="993"/>
          <w:tab w:val="left" w:pos="1418"/>
        </w:tabs>
        <w:spacing w:line="600" w:lineRule="exact"/>
        <w:jc w:val="left"/>
        <w:rPr>
          <w:rFonts w:hint="eastAsia"/>
          <w:sz w:val="28"/>
        </w:rPr>
      </w:pPr>
    </w:p>
    <w:p w14:paraId="2CF2E1D2">
      <w:pPr>
        <w:pStyle w:val="9"/>
        <w:widowControl w:val="0"/>
        <w:numPr>
          <w:ilvl w:val="0"/>
          <w:numId w:val="0"/>
        </w:numPr>
        <w:tabs>
          <w:tab w:val="left" w:pos="993"/>
          <w:tab w:val="left" w:pos="1418"/>
        </w:tabs>
        <w:spacing w:line="600" w:lineRule="exact"/>
        <w:jc w:val="left"/>
        <w:rPr>
          <w:rFonts w:hint="eastAsia"/>
          <w:sz w:val="28"/>
        </w:rPr>
      </w:pPr>
    </w:p>
    <w:p w14:paraId="0405CB91">
      <w:pPr>
        <w:pStyle w:val="9"/>
        <w:widowControl w:val="0"/>
        <w:numPr>
          <w:ilvl w:val="0"/>
          <w:numId w:val="0"/>
        </w:numPr>
        <w:tabs>
          <w:tab w:val="left" w:pos="993"/>
          <w:tab w:val="left" w:pos="1418"/>
        </w:tabs>
        <w:spacing w:line="600" w:lineRule="exact"/>
        <w:jc w:val="left"/>
        <w:rPr>
          <w:rFonts w:hint="eastAsia"/>
          <w:sz w:val="28"/>
        </w:rPr>
      </w:pPr>
    </w:p>
    <w:p w14:paraId="0FE50DA8">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0AD278BF">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1BA3BEE7">
      <w:pPr>
        <w:rPr>
          <w:rFonts w:hint="eastAsia"/>
          <w:sz w:val="32"/>
          <w:szCs w:val="32"/>
        </w:rPr>
      </w:pPr>
    </w:p>
    <w:p w14:paraId="21E01E59">
      <w:pPr>
        <w:rPr>
          <w:rFonts w:hint="eastAsia"/>
          <w:sz w:val="32"/>
          <w:szCs w:val="32"/>
        </w:rPr>
      </w:pPr>
    </w:p>
    <w:p w14:paraId="38C9102C">
      <w:pPr>
        <w:rPr>
          <w:rFonts w:hint="eastAsia"/>
          <w:sz w:val="32"/>
          <w:szCs w:val="32"/>
        </w:rPr>
      </w:pPr>
    </w:p>
    <w:p w14:paraId="4F41E7D9">
      <w:pPr>
        <w:rPr>
          <w:rFonts w:hint="eastAsia"/>
          <w:sz w:val="32"/>
          <w:szCs w:val="32"/>
        </w:rPr>
      </w:pPr>
    </w:p>
    <w:p w14:paraId="0B623C85">
      <w:pPr>
        <w:rPr>
          <w:sz w:val="32"/>
          <w:szCs w:val="32"/>
        </w:rPr>
      </w:pPr>
    </w:p>
    <w:p w14:paraId="05A09E37">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         村级正常运转经费        </w:t>
      </w:r>
      <w:r>
        <w:rPr>
          <w:sz w:val="32"/>
          <w:szCs w:val="32"/>
          <w:u w:val="single"/>
        </w:rPr>
        <w:t xml:space="preserve"> </w:t>
      </w:r>
      <w:r>
        <w:rPr>
          <w:rFonts w:hint="eastAsia"/>
          <w:sz w:val="32"/>
          <w:szCs w:val="32"/>
          <w:u w:val="single"/>
        </w:rPr>
        <w:t xml:space="preserve"> </w:t>
      </w:r>
    </w:p>
    <w:p w14:paraId="3B2EF1E7">
      <w:pPr>
        <w:ind w:left="420" w:leftChars="200"/>
        <w:rPr>
          <w:sz w:val="32"/>
          <w:szCs w:val="32"/>
        </w:rPr>
      </w:pPr>
      <w:r>
        <w:rPr>
          <w:rFonts w:hint="eastAsia"/>
          <w:sz w:val="32"/>
          <w:szCs w:val="32"/>
        </w:rPr>
        <w:t>项目单位：</w:t>
      </w:r>
      <w:r>
        <w:rPr>
          <w:rFonts w:hint="eastAsia"/>
          <w:sz w:val="32"/>
          <w:szCs w:val="32"/>
          <w:u w:val="single"/>
        </w:rPr>
        <w:t xml:space="preserve">武汉东湖新技术开发区九峰街道办事处 </w:t>
      </w:r>
    </w:p>
    <w:p w14:paraId="461FDD52">
      <w:pPr>
        <w:ind w:left="420" w:leftChars="200"/>
        <w:rPr>
          <w:sz w:val="32"/>
          <w:szCs w:val="32"/>
          <w:u w:val="single"/>
        </w:rPr>
      </w:pPr>
      <w:r>
        <w:rPr>
          <w:rFonts w:hint="eastAsia"/>
          <w:sz w:val="32"/>
          <w:szCs w:val="32"/>
        </w:rPr>
        <w:t>区财政局主管业务科室；</w:t>
      </w:r>
      <w:r>
        <w:rPr>
          <w:rFonts w:hint="eastAsia"/>
          <w:sz w:val="32"/>
          <w:szCs w:val="32"/>
          <w:u w:val="single"/>
        </w:rPr>
        <w:t xml:space="preserve">       （盖章）       </w:t>
      </w:r>
      <w:r>
        <w:rPr>
          <w:sz w:val="32"/>
          <w:szCs w:val="32"/>
          <w:u w:val="single"/>
        </w:rPr>
        <w:t xml:space="preserve"> </w:t>
      </w:r>
    </w:p>
    <w:p w14:paraId="61A018FC">
      <w:pPr>
        <w:ind w:left="420" w:leftChars="200"/>
        <w:rPr>
          <w:rFonts w:hint="eastAsia"/>
          <w:sz w:val="32"/>
          <w:szCs w:val="32"/>
        </w:rPr>
      </w:pPr>
      <w:r>
        <w:rPr>
          <w:rFonts w:hint="eastAsia"/>
          <w:sz w:val="32"/>
          <w:szCs w:val="32"/>
        </w:rPr>
        <w:t>评价机构：</w:t>
      </w:r>
      <w:r>
        <w:rPr>
          <w:rFonts w:hint="eastAsia"/>
          <w:sz w:val="32"/>
          <w:szCs w:val="32"/>
          <w:u w:val="single"/>
        </w:rPr>
        <w:t xml:space="preserve">武汉康力会计师事务有限责任公司 </w:t>
      </w:r>
      <w:r>
        <w:rPr>
          <w:sz w:val="32"/>
          <w:szCs w:val="32"/>
          <w:u w:val="single"/>
        </w:rPr>
        <w:t xml:space="preserve">    </w:t>
      </w:r>
    </w:p>
    <w:p w14:paraId="37641381">
      <w:pPr>
        <w:rPr>
          <w:sz w:val="32"/>
          <w:szCs w:val="32"/>
        </w:rPr>
      </w:pPr>
    </w:p>
    <w:p w14:paraId="50ABBC63">
      <w:pPr>
        <w:rPr>
          <w:rFonts w:hint="eastAsia"/>
          <w:sz w:val="32"/>
          <w:szCs w:val="32"/>
        </w:rPr>
      </w:pPr>
    </w:p>
    <w:p w14:paraId="39F842F3">
      <w:pPr>
        <w:rPr>
          <w:rFonts w:hint="eastAsia"/>
          <w:sz w:val="32"/>
          <w:szCs w:val="32"/>
        </w:rPr>
      </w:pPr>
    </w:p>
    <w:p w14:paraId="7B2A1D1F">
      <w:pPr>
        <w:rPr>
          <w:rFonts w:hint="eastAsia"/>
          <w:sz w:val="32"/>
          <w:szCs w:val="32"/>
        </w:rPr>
      </w:pPr>
    </w:p>
    <w:p w14:paraId="0A795F91">
      <w:pPr>
        <w:rPr>
          <w:sz w:val="32"/>
          <w:szCs w:val="32"/>
        </w:rPr>
      </w:pPr>
    </w:p>
    <w:p w14:paraId="032F3DC7">
      <w:pPr>
        <w:rPr>
          <w:rFonts w:hint="eastAsia"/>
          <w:sz w:val="32"/>
          <w:szCs w:val="32"/>
        </w:rPr>
      </w:pPr>
    </w:p>
    <w:p w14:paraId="5D766C4D">
      <w:pPr>
        <w:jc w:val="center"/>
        <w:rPr>
          <w:sz w:val="32"/>
          <w:szCs w:val="32"/>
        </w:rPr>
      </w:pPr>
      <w:r>
        <w:rPr>
          <w:rFonts w:hint="eastAsia"/>
          <w:sz w:val="32"/>
          <w:szCs w:val="32"/>
        </w:rPr>
        <w:t>2018年</w:t>
      </w:r>
      <w:r>
        <w:rPr>
          <w:sz w:val="32"/>
          <w:szCs w:val="32"/>
        </w:rPr>
        <w:t>5</w:t>
      </w:r>
      <w:r>
        <w:rPr>
          <w:rFonts w:hint="eastAsia"/>
          <w:sz w:val="32"/>
          <w:szCs w:val="32"/>
        </w:rPr>
        <w:t>月</w:t>
      </w:r>
    </w:p>
    <w:p w14:paraId="5D2FC2F8">
      <w:pPr>
        <w:widowControl/>
        <w:ind w:right="640"/>
        <w:jc w:val="center"/>
        <w:rPr>
          <w:rFonts w:ascii="方正宋黑简体" w:eastAsia="方正宋黑简体"/>
          <w:b/>
          <w:sz w:val="44"/>
          <w:szCs w:val="44"/>
        </w:rPr>
      </w:pPr>
      <w:r>
        <w:rPr>
          <w:sz w:val="32"/>
          <w:szCs w:val="32"/>
        </w:rPr>
        <w:br w:type="page"/>
      </w:r>
      <w:r>
        <w:rPr>
          <w:rFonts w:hint="eastAsia" w:ascii="方正宋黑简体" w:eastAsia="方正宋黑简体"/>
          <w:b/>
          <w:sz w:val="44"/>
          <w:szCs w:val="44"/>
        </w:rPr>
        <w:t>报 告 正 文</w:t>
      </w:r>
    </w:p>
    <w:p w14:paraId="58647420">
      <w:pPr>
        <w:widowControl/>
        <w:spacing w:line="600" w:lineRule="exact"/>
        <w:ind w:firstLine="640" w:firstLineChars="200"/>
        <w:jc w:val="left"/>
        <w:rPr>
          <w:rFonts w:ascii="宋体" w:hAnsi="宋体" w:cs="宋体"/>
          <w:sz w:val="32"/>
          <w:szCs w:val="32"/>
        </w:rPr>
      </w:pPr>
    </w:p>
    <w:p w14:paraId="50EB28F2">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根据《市人民政府关于推进预算绩效管理的意见》（武政[2013]95号）和《市财政局关于进一步加强预算绩效管理工作的通知》（武财绩[2015]465号）有关要求，按照《武汉东湖新技术开发区财政局关于印发2018年预算绩效评价工作方案的通知》（武新管财字[2018]26号），为强化支出责任，提高预算资金使用效益，</w:t>
      </w:r>
      <w:r>
        <w:rPr>
          <w:rFonts w:ascii="宋体" w:hAnsi="宋体" w:cs="宋体"/>
          <w:sz w:val="28"/>
          <w:szCs w:val="28"/>
        </w:rPr>
        <w:t>我</w:t>
      </w:r>
      <w:r>
        <w:rPr>
          <w:rFonts w:hint="eastAsia" w:ascii="宋体" w:hAnsi="宋体" w:cs="宋体"/>
          <w:sz w:val="28"/>
          <w:szCs w:val="28"/>
        </w:rPr>
        <w:t>单位</w:t>
      </w:r>
      <w:r>
        <w:rPr>
          <w:rFonts w:ascii="宋体" w:hAnsi="宋体" w:cs="宋体"/>
          <w:sz w:val="28"/>
          <w:szCs w:val="28"/>
        </w:rPr>
        <w:t>对照</w:t>
      </w:r>
      <w:r>
        <w:rPr>
          <w:rFonts w:hint="eastAsia" w:ascii="宋体" w:hAnsi="宋体" w:cs="宋体"/>
          <w:sz w:val="28"/>
          <w:szCs w:val="28"/>
        </w:rPr>
        <w:t>2017年度“村级正常运转经费”《项目</w:t>
      </w:r>
      <w:r>
        <w:rPr>
          <w:rFonts w:ascii="宋体" w:hAnsi="宋体" w:cs="宋体"/>
          <w:sz w:val="28"/>
          <w:szCs w:val="28"/>
        </w:rPr>
        <w:t>绩效</w:t>
      </w:r>
      <w:r>
        <w:rPr>
          <w:rFonts w:hint="eastAsia" w:ascii="宋体" w:hAnsi="宋体" w:cs="宋体"/>
          <w:sz w:val="28"/>
          <w:szCs w:val="28"/>
        </w:rPr>
        <w:t>目标编制说明》</w:t>
      </w:r>
      <w:r>
        <w:rPr>
          <w:rFonts w:ascii="宋体" w:hAnsi="宋体" w:cs="宋体"/>
          <w:sz w:val="28"/>
          <w:szCs w:val="28"/>
        </w:rPr>
        <w:t>，</w:t>
      </w:r>
      <w:r>
        <w:rPr>
          <w:rFonts w:hint="eastAsia" w:ascii="宋体" w:hAnsi="宋体" w:cs="宋体"/>
          <w:sz w:val="28"/>
          <w:szCs w:val="28"/>
        </w:rPr>
        <w:t>结合本单位的业务工作情况及补助经费的支出情况，</w:t>
      </w:r>
      <w:r>
        <w:rPr>
          <w:rFonts w:ascii="宋体" w:hAnsi="宋体" w:cs="宋体"/>
          <w:sz w:val="28"/>
          <w:szCs w:val="28"/>
        </w:rPr>
        <w:t>通过</w:t>
      </w:r>
      <w:r>
        <w:rPr>
          <w:rFonts w:hint="eastAsia" w:ascii="宋体" w:hAnsi="宋体" w:cs="宋体"/>
          <w:sz w:val="28"/>
          <w:szCs w:val="28"/>
        </w:rPr>
        <w:t>查阅、询问、访谈等方法</w:t>
      </w:r>
      <w:r>
        <w:rPr>
          <w:rFonts w:ascii="宋体" w:hAnsi="宋体" w:cs="宋体"/>
          <w:sz w:val="28"/>
          <w:szCs w:val="28"/>
        </w:rPr>
        <w:t>，对</w:t>
      </w:r>
      <w:r>
        <w:rPr>
          <w:rFonts w:hint="eastAsia" w:ascii="宋体" w:hAnsi="宋体" w:cs="宋体"/>
          <w:sz w:val="28"/>
          <w:szCs w:val="28"/>
        </w:rPr>
        <w:t>2017年度“村级正常运转经费”绩效管理情况和预算绩效目标的完成情况</w:t>
      </w:r>
      <w:r>
        <w:rPr>
          <w:rFonts w:ascii="宋体" w:hAnsi="宋体" w:cs="宋体"/>
          <w:sz w:val="28"/>
          <w:szCs w:val="28"/>
        </w:rPr>
        <w:t>进行了</w:t>
      </w:r>
      <w:r>
        <w:rPr>
          <w:rFonts w:hint="eastAsia" w:ascii="宋体" w:hAnsi="宋体" w:cs="宋体"/>
          <w:sz w:val="28"/>
          <w:szCs w:val="28"/>
        </w:rPr>
        <w:t>分析和评价</w:t>
      </w:r>
      <w:r>
        <w:rPr>
          <w:rFonts w:ascii="宋体" w:hAnsi="宋体" w:cs="宋体"/>
          <w:sz w:val="28"/>
          <w:szCs w:val="28"/>
        </w:rPr>
        <w:t>，现将绩效评价情况及评价结果报告如下：</w:t>
      </w:r>
    </w:p>
    <w:p w14:paraId="28589EBB">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一、项目基本情况</w:t>
      </w:r>
    </w:p>
    <w:p w14:paraId="1E37D5A9">
      <w:pPr>
        <w:spacing w:line="360" w:lineRule="auto"/>
        <w:ind w:firstLine="560" w:firstLineChars="200"/>
        <w:rPr>
          <w:rFonts w:ascii="宋体" w:hAnsi="宋体"/>
          <w:sz w:val="28"/>
          <w:szCs w:val="28"/>
        </w:rPr>
      </w:pPr>
      <w:r>
        <w:rPr>
          <w:rFonts w:hint="eastAsia" w:ascii="宋体" w:hAnsi="宋体"/>
          <w:sz w:val="28"/>
          <w:szCs w:val="28"/>
        </w:rPr>
        <w:t>（一）项目概况</w:t>
      </w:r>
    </w:p>
    <w:p w14:paraId="4AB64CBB">
      <w:pPr>
        <w:pStyle w:val="12"/>
        <w:ind w:firstLine="504" w:firstLineChars="180"/>
        <w:rPr>
          <w:rFonts w:ascii="宋体" w:hAnsi="宋体" w:cs="宋体"/>
          <w:sz w:val="28"/>
          <w:szCs w:val="28"/>
        </w:rPr>
      </w:pPr>
      <w:r>
        <w:rPr>
          <w:rFonts w:hint="eastAsia" w:ascii="宋体" w:hAnsi="宋体" w:cs="宋体"/>
          <w:sz w:val="28"/>
          <w:szCs w:val="28"/>
        </w:rPr>
        <w:t>武汉东湖新技术开发区九峰街道办事处隶属武汉东湖新技术开发区管委会，包括1个行政单位，9个“以钱养事”服务中心，5个事业单位；下设10个行政村，共83个小组，5个社区。</w:t>
      </w:r>
    </w:p>
    <w:p w14:paraId="7D78E220">
      <w:pPr>
        <w:spacing w:line="500" w:lineRule="auto"/>
        <w:ind w:firstLine="600"/>
        <w:rPr>
          <w:rFonts w:hint="eastAsia" w:ascii="宋体" w:hAnsi="宋体" w:cs="宋体"/>
          <w:sz w:val="28"/>
          <w:szCs w:val="28"/>
        </w:rPr>
      </w:pPr>
      <w:r>
        <w:rPr>
          <w:rFonts w:hint="eastAsia" w:ascii="宋体" w:hAnsi="宋体" w:cs="宋体"/>
          <w:sz w:val="28"/>
          <w:szCs w:val="28"/>
        </w:rPr>
        <w:t>为保障行政村村委会和村党支部正常运转以及各项工作平稳、顺利运行，预算设立“村级正常运转经费”。</w:t>
      </w:r>
    </w:p>
    <w:p w14:paraId="0C4166E2">
      <w:pPr>
        <w:spacing w:line="500" w:lineRule="auto"/>
        <w:ind w:firstLine="600"/>
        <w:rPr>
          <w:rFonts w:ascii="宋体" w:hAnsi="宋体" w:cs="宋体"/>
          <w:sz w:val="28"/>
          <w:szCs w:val="28"/>
        </w:rPr>
      </w:pPr>
      <w:r>
        <w:rPr>
          <w:rFonts w:hint="eastAsia" w:ascii="宋体" w:hAnsi="宋体" w:cs="宋体"/>
          <w:sz w:val="28"/>
          <w:szCs w:val="28"/>
        </w:rPr>
        <w:t>2017年度“村级正常运转经费”预算13.36万元，系离任村主职干部生活补助，标准为30人年享受补贴13.36万元。</w:t>
      </w:r>
    </w:p>
    <w:p w14:paraId="368294F6">
      <w:pPr>
        <w:widowControl/>
        <w:spacing w:line="600" w:lineRule="exact"/>
        <w:ind w:firstLine="560" w:firstLineChars="200"/>
        <w:jc w:val="left"/>
        <w:rPr>
          <w:rFonts w:hint="eastAsia" w:ascii="宋体" w:hAnsi="宋体"/>
          <w:sz w:val="28"/>
          <w:szCs w:val="28"/>
        </w:rPr>
      </w:pPr>
      <w:r>
        <w:rPr>
          <w:rFonts w:hint="eastAsia" w:ascii="宋体" w:hAnsi="宋体"/>
          <w:sz w:val="28"/>
          <w:szCs w:val="28"/>
        </w:rPr>
        <w:t>（二）项目预算绩效目标</w:t>
      </w:r>
    </w:p>
    <w:p w14:paraId="49628394">
      <w:pPr>
        <w:widowControl/>
        <w:spacing w:line="600" w:lineRule="exact"/>
        <w:ind w:firstLine="560" w:firstLineChars="200"/>
        <w:jc w:val="left"/>
        <w:rPr>
          <w:rFonts w:ascii="宋体" w:hAnsi="宋体"/>
          <w:sz w:val="28"/>
          <w:szCs w:val="28"/>
        </w:rPr>
      </w:pPr>
      <w:r>
        <w:rPr>
          <w:rFonts w:hint="eastAsia" w:ascii="宋体" w:hAnsi="宋体" w:cs="宋体"/>
          <w:sz w:val="28"/>
          <w:szCs w:val="28"/>
        </w:rPr>
        <w:t>“村级正常运转经费”项目总目标：进一步加强村级正常运转工作，提高管理服务水平和资金使用效益，切实保障行政村正常运行。</w:t>
      </w:r>
    </w:p>
    <w:p w14:paraId="5DAEC544">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年度绩效目标：保障行政村村级经费充足运转，确保离任村主职干部生活补助的发放精准、及时。</w:t>
      </w:r>
    </w:p>
    <w:p w14:paraId="0BDFCC8D">
      <w:pPr>
        <w:spacing w:line="360" w:lineRule="auto"/>
        <w:ind w:firstLine="560" w:firstLineChars="200"/>
        <w:rPr>
          <w:sz w:val="28"/>
          <w:szCs w:val="28"/>
        </w:rPr>
      </w:pPr>
      <w:r>
        <w:rPr>
          <w:sz w:val="28"/>
          <w:szCs w:val="28"/>
        </w:rPr>
        <w:t>1</w:t>
      </w:r>
      <w:r>
        <w:rPr>
          <w:rFonts w:hint="eastAsia"/>
          <w:sz w:val="28"/>
          <w:szCs w:val="28"/>
        </w:rPr>
        <w:t>．产出目标</w:t>
      </w:r>
    </w:p>
    <w:p w14:paraId="286D96E7">
      <w:pPr>
        <w:widowControl/>
        <w:spacing w:line="600" w:lineRule="exact"/>
        <w:ind w:firstLine="560" w:firstLineChars="200"/>
        <w:jc w:val="left"/>
        <w:rPr>
          <w:rFonts w:hint="eastAsia" w:ascii="宋体" w:hAnsi="宋体" w:cs="宋体"/>
          <w:sz w:val="28"/>
          <w:szCs w:val="28"/>
        </w:rPr>
      </w:pPr>
      <w:r>
        <w:rPr>
          <w:rFonts w:hint="eastAsia" w:ascii="宋体" w:hAnsi="宋体" w:cs="宋体"/>
          <w:sz w:val="28"/>
          <w:szCs w:val="28"/>
        </w:rPr>
        <w:t>产出目标包括数量指标、质量指标、时效指标和成本指标。</w:t>
      </w:r>
    </w:p>
    <w:p w14:paraId="55485EE9">
      <w:pPr>
        <w:widowControl/>
        <w:spacing w:line="600" w:lineRule="exact"/>
        <w:ind w:firstLine="560" w:firstLineChars="200"/>
        <w:jc w:val="left"/>
        <w:rPr>
          <w:rFonts w:hint="eastAsia" w:ascii="宋体" w:hAnsi="宋体" w:cs="宋体"/>
          <w:sz w:val="28"/>
          <w:szCs w:val="28"/>
        </w:rPr>
      </w:pPr>
      <w:r>
        <w:rPr>
          <w:rFonts w:hint="eastAsia" w:ascii="宋体" w:hAnsi="宋体" w:cs="宋体"/>
          <w:sz w:val="28"/>
          <w:szCs w:val="28"/>
        </w:rPr>
        <w:t>（1）数量指标：离任村主职干部生活补助13.36万元，标准为30人年享受补贴13.36万元。</w:t>
      </w:r>
    </w:p>
    <w:p w14:paraId="271B22E9">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（2）质量指标：离任村主职干部生活补助发放率为100.00%。</w:t>
      </w:r>
    </w:p>
    <w:p w14:paraId="1CC918DE">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（3）时效指标：补助资金当月发放。</w:t>
      </w:r>
    </w:p>
    <w:p w14:paraId="539196C2">
      <w:pPr>
        <w:widowControl/>
        <w:spacing w:line="600" w:lineRule="exact"/>
        <w:ind w:firstLine="560" w:firstLineChars="200"/>
        <w:jc w:val="left"/>
        <w:rPr>
          <w:rFonts w:hint="eastAsia"/>
          <w:sz w:val="28"/>
          <w:szCs w:val="28"/>
        </w:rPr>
      </w:pPr>
      <w:r>
        <w:rPr>
          <w:rFonts w:hint="eastAsia"/>
          <w:sz w:val="28"/>
          <w:szCs w:val="28"/>
        </w:rPr>
        <w:t>2．效果目标</w:t>
      </w:r>
    </w:p>
    <w:p w14:paraId="710091A8">
      <w:pPr>
        <w:widowControl/>
        <w:spacing w:line="600" w:lineRule="exact"/>
        <w:ind w:firstLine="560" w:firstLineChars="200"/>
        <w:jc w:val="left"/>
        <w:rPr>
          <w:rFonts w:ascii="宋体" w:hAnsi="宋体" w:cs="宋体"/>
          <w:sz w:val="28"/>
          <w:szCs w:val="28"/>
        </w:rPr>
      </w:pPr>
      <w:r>
        <w:rPr>
          <w:rFonts w:hint="eastAsia"/>
          <w:sz w:val="28"/>
          <w:szCs w:val="28"/>
        </w:rPr>
        <w:t>（</w:t>
      </w:r>
      <w:r>
        <w:rPr>
          <w:rFonts w:hint="eastAsia" w:ascii="宋体" w:hAnsi="宋体" w:cs="宋体"/>
          <w:sz w:val="28"/>
          <w:szCs w:val="28"/>
        </w:rPr>
        <w:t>1）经济效益指标：本项目为村级工作运转经费，不适用经济效益指标。</w:t>
      </w:r>
    </w:p>
    <w:p w14:paraId="601372EA">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（2）社会效益指标：保障行政村各项行政事务正常运转。</w:t>
      </w:r>
    </w:p>
    <w:p w14:paraId="0A235852">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（3）可持续影响指标:保障村级行政事务持续运转。</w:t>
      </w:r>
    </w:p>
    <w:p w14:paraId="39FFC304">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（4）社会公众或服务对象满意度指标：工作及服务质量投诉率为5%。</w:t>
      </w:r>
    </w:p>
    <w:p w14:paraId="156CE5E6">
      <w:pPr>
        <w:spacing w:line="360" w:lineRule="auto"/>
        <w:ind w:firstLine="560" w:firstLineChars="200"/>
        <w:rPr>
          <w:rFonts w:hint="eastAsia"/>
          <w:sz w:val="28"/>
        </w:rPr>
      </w:pPr>
    </w:p>
    <w:p w14:paraId="218E0915">
      <w:pPr>
        <w:spacing w:line="360" w:lineRule="auto"/>
        <w:ind w:firstLine="562" w:firstLineChars="200"/>
        <w:rPr>
          <w:rFonts w:hint="eastAsia" w:ascii="宋体" w:hAnsi="宋体"/>
          <w:b/>
          <w:sz w:val="28"/>
          <w:szCs w:val="28"/>
        </w:rPr>
      </w:pPr>
      <w:r>
        <w:rPr>
          <w:rFonts w:hint="eastAsia" w:ascii="宋体" w:hAnsi="宋体"/>
          <w:b/>
          <w:sz w:val="28"/>
          <w:szCs w:val="28"/>
        </w:rPr>
        <w:t>二、项目绩效分析</w:t>
      </w:r>
    </w:p>
    <w:p w14:paraId="06C6AADF">
      <w:pPr>
        <w:spacing w:line="360" w:lineRule="auto"/>
        <w:ind w:firstLine="560" w:firstLineChars="200"/>
        <w:rPr>
          <w:rFonts w:hint="eastAsia" w:ascii="宋体" w:hAnsi="宋体"/>
          <w:sz w:val="28"/>
          <w:szCs w:val="28"/>
        </w:rPr>
      </w:pPr>
      <w:r>
        <w:rPr>
          <w:rFonts w:hint="eastAsia" w:ascii="宋体" w:hAnsi="宋体"/>
          <w:sz w:val="28"/>
          <w:szCs w:val="28"/>
        </w:rPr>
        <w:t>（一）项目管理情况</w:t>
      </w:r>
    </w:p>
    <w:p w14:paraId="4D6AAC11">
      <w:pPr>
        <w:widowControl/>
        <w:spacing w:line="600" w:lineRule="exact"/>
        <w:ind w:firstLine="560" w:firstLineChars="200"/>
        <w:jc w:val="left"/>
        <w:outlineLvl w:val="2"/>
        <w:rPr>
          <w:rFonts w:hint="eastAsia" w:ascii="宋体" w:hAnsi="宋体"/>
          <w:sz w:val="28"/>
          <w:szCs w:val="28"/>
        </w:rPr>
      </w:pPr>
      <w:r>
        <w:rPr>
          <w:rFonts w:hint="eastAsia" w:ascii="宋体" w:hAnsi="宋体"/>
          <w:sz w:val="28"/>
          <w:szCs w:val="28"/>
        </w:rPr>
        <w:t>l．业务管理情况</w:t>
      </w:r>
    </w:p>
    <w:p w14:paraId="1D4CD6FB">
      <w:pPr>
        <w:widowControl/>
        <w:spacing w:line="600" w:lineRule="exact"/>
        <w:ind w:firstLine="560" w:firstLineChars="200"/>
        <w:jc w:val="left"/>
        <w:outlineLvl w:val="2"/>
        <w:rPr>
          <w:rFonts w:ascii="宋体" w:hAnsi="宋体" w:cs="宋体"/>
          <w:sz w:val="28"/>
          <w:szCs w:val="28"/>
        </w:rPr>
      </w:pPr>
      <w:r>
        <w:rPr>
          <w:rFonts w:hint="eastAsia" w:ascii="宋体" w:hAnsi="宋体" w:cs="宋体"/>
          <w:sz w:val="28"/>
          <w:szCs w:val="28"/>
        </w:rPr>
        <w:t>建立了村级正常运转经费工作机制：</w:t>
      </w:r>
    </w:p>
    <w:p w14:paraId="0478B353">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（1）合理发放离任村主职干部生活补助</w:t>
      </w:r>
    </w:p>
    <w:p w14:paraId="4C0CD136">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村级正常运转经费项目”是保障离任村主职干部生活补助的顺利发放而设立的。项目严格按照国家标准，并结合本地区情况发放村离任主职干部生活补助。从项目完成情况来看，村离任主职干部生活补助发放充足，时效性较强，发放及时。</w:t>
      </w:r>
    </w:p>
    <w:p w14:paraId="464733E9">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（2）村级经费投入充足</w:t>
      </w:r>
    </w:p>
    <w:p w14:paraId="1589A813">
      <w:pPr>
        <w:rPr>
          <w:rFonts w:ascii="宋体" w:hAnsi="宋体" w:cs="宋体"/>
          <w:sz w:val="28"/>
          <w:szCs w:val="28"/>
        </w:rPr>
      </w:pPr>
      <w:r>
        <w:rPr>
          <w:rFonts w:hint="eastAsia" w:ascii="宋体" w:hAnsi="宋体" w:cs="宋体"/>
          <w:sz w:val="28"/>
          <w:szCs w:val="28"/>
        </w:rPr>
        <w:t xml:space="preserve">     为保障行政村内有充足的经费进行运转，项目特为每个行政村拨付一定金额的款项，意在维持村内行政工作的顺利进行。这部分资金专款专用，不存在私自挪用、公私不分的现象。在对村级经费的检查过程中，未发现资金用途不清、私设小金库等现象。此外，行政村离任主职干部生活补助按政策发放，发放及时。</w:t>
      </w:r>
    </w:p>
    <w:p w14:paraId="0A9B6ED4">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（3）经费发放公开、透明</w:t>
      </w:r>
    </w:p>
    <w:p w14:paraId="29BD0B90">
      <w:pPr>
        <w:ind w:firstLine="560" w:firstLineChars="200"/>
        <w:rPr>
          <w:rFonts w:ascii="宋体" w:hAnsi="宋体" w:cs="宋体"/>
          <w:sz w:val="28"/>
          <w:szCs w:val="28"/>
        </w:rPr>
      </w:pPr>
      <w:r>
        <w:rPr>
          <w:rFonts w:hint="eastAsia" w:ascii="宋体" w:hAnsi="宋体" w:cs="宋体"/>
          <w:sz w:val="28"/>
          <w:szCs w:val="28"/>
        </w:rPr>
        <w:t>项目开启了村民监督机制，各行政村对离任主职干部生活补助金额进行公示，不存在暗箱操作、私发补助等现象。对个别村民存疑的情况，村委会干部详细解释，消除村民疑虑。</w:t>
      </w:r>
    </w:p>
    <w:p w14:paraId="596FB71D">
      <w:pPr>
        <w:widowControl/>
        <w:spacing w:line="600" w:lineRule="exact"/>
        <w:ind w:left="560"/>
        <w:jc w:val="left"/>
        <w:rPr>
          <w:rFonts w:hint="eastAsia" w:ascii="宋体" w:hAnsi="宋体" w:cs="宋体"/>
          <w:sz w:val="28"/>
          <w:szCs w:val="28"/>
        </w:rPr>
      </w:pPr>
      <w:r>
        <w:rPr>
          <w:rFonts w:hint="eastAsia" w:ascii="宋体" w:hAnsi="宋体" w:cs="宋体"/>
          <w:sz w:val="28"/>
          <w:szCs w:val="28"/>
        </w:rPr>
        <w:t>（4）项目验收</w:t>
      </w:r>
    </w:p>
    <w:p w14:paraId="44398EA8">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项目执行部门组织了专业的</w:t>
      </w:r>
      <w:r>
        <w:rPr>
          <w:rFonts w:ascii="宋体" w:hAnsi="宋体" w:cs="宋体"/>
          <w:sz w:val="28"/>
          <w:szCs w:val="28"/>
        </w:rPr>
        <w:t>验收组</w:t>
      </w:r>
      <w:r>
        <w:rPr>
          <w:rFonts w:hint="eastAsia" w:ascii="宋体" w:hAnsi="宋体" w:cs="宋体"/>
          <w:sz w:val="28"/>
          <w:szCs w:val="28"/>
        </w:rPr>
        <w:t>，</w:t>
      </w:r>
      <w:r>
        <w:rPr>
          <w:rFonts w:ascii="宋体" w:hAnsi="宋体" w:cs="宋体"/>
          <w:sz w:val="28"/>
          <w:szCs w:val="28"/>
        </w:rPr>
        <w:t>通过采取“听、查、看、访”的方法，对201</w:t>
      </w:r>
      <w:r>
        <w:rPr>
          <w:rFonts w:hint="eastAsia" w:ascii="宋体" w:hAnsi="宋体" w:cs="宋体"/>
          <w:sz w:val="28"/>
          <w:szCs w:val="28"/>
        </w:rPr>
        <w:t>7</w:t>
      </w:r>
      <w:r>
        <w:rPr>
          <w:rFonts w:ascii="宋体" w:hAnsi="宋体" w:cs="宋体"/>
          <w:sz w:val="28"/>
          <w:szCs w:val="28"/>
        </w:rPr>
        <w:t>年度</w:t>
      </w:r>
      <w:r>
        <w:rPr>
          <w:rFonts w:hint="eastAsia" w:ascii="宋体" w:hAnsi="宋体" w:cs="宋体"/>
          <w:sz w:val="28"/>
          <w:szCs w:val="28"/>
        </w:rPr>
        <w:t>“村级正常运转经费”</w:t>
      </w:r>
      <w:r>
        <w:rPr>
          <w:rFonts w:ascii="宋体" w:hAnsi="宋体" w:cs="宋体"/>
          <w:sz w:val="28"/>
          <w:szCs w:val="28"/>
        </w:rPr>
        <w:t>项目进行了检查验收和绩效评价。</w:t>
      </w:r>
      <w:r>
        <w:rPr>
          <w:rFonts w:hint="eastAsia" w:ascii="宋体" w:hAnsi="宋体" w:cs="宋体"/>
          <w:sz w:val="28"/>
          <w:szCs w:val="28"/>
        </w:rPr>
        <w:t>项目</w:t>
      </w:r>
      <w:r>
        <w:rPr>
          <w:rFonts w:ascii="宋体" w:hAnsi="宋体" w:cs="宋体"/>
          <w:sz w:val="28"/>
          <w:szCs w:val="28"/>
        </w:rPr>
        <w:t>验收组一致认为，</w:t>
      </w:r>
      <w:r>
        <w:rPr>
          <w:rFonts w:hint="eastAsia" w:ascii="宋体" w:hAnsi="宋体" w:cs="宋体"/>
          <w:sz w:val="28"/>
          <w:szCs w:val="28"/>
        </w:rPr>
        <w:t>武汉东湖新技术开发区九峰街道办事处</w:t>
      </w:r>
      <w:r>
        <w:rPr>
          <w:rFonts w:ascii="宋体" w:hAnsi="宋体" w:cs="宋体"/>
          <w:sz w:val="28"/>
          <w:szCs w:val="28"/>
        </w:rPr>
        <w:t>在201</w:t>
      </w:r>
      <w:r>
        <w:rPr>
          <w:rFonts w:hint="eastAsia" w:ascii="宋体" w:hAnsi="宋体" w:cs="宋体"/>
          <w:sz w:val="28"/>
          <w:szCs w:val="28"/>
        </w:rPr>
        <w:t>7</w:t>
      </w:r>
      <w:r>
        <w:rPr>
          <w:rFonts w:ascii="宋体" w:hAnsi="宋体" w:cs="宋体"/>
          <w:sz w:val="28"/>
          <w:szCs w:val="28"/>
        </w:rPr>
        <w:t>年度</w:t>
      </w:r>
      <w:r>
        <w:rPr>
          <w:rFonts w:hint="eastAsia" w:ascii="宋体" w:hAnsi="宋体" w:cs="宋体"/>
          <w:sz w:val="28"/>
          <w:szCs w:val="28"/>
        </w:rPr>
        <w:t>“村级正常运转经费”项</w:t>
      </w:r>
      <w:r>
        <w:rPr>
          <w:rFonts w:ascii="宋体" w:hAnsi="宋体" w:cs="宋体"/>
          <w:sz w:val="28"/>
          <w:szCs w:val="28"/>
        </w:rPr>
        <w:t>目实施中，严格贯彻国家</w:t>
      </w:r>
      <w:r>
        <w:rPr>
          <w:rFonts w:hint="eastAsia" w:ascii="宋体" w:hAnsi="宋体" w:cs="宋体"/>
          <w:sz w:val="28"/>
          <w:szCs w:val="28"/>
        </w:rPr>
        <w:t>的相关</w:t>
      </w:r>
      <w:r>
        <w:rPr>
          <w:rFonts w:ascii="宋体" w:hAnsi="宋体" w:cs="宋体"/>
          <w:sz w:val="28"/>
          <w:szCs w:val="28"/>
        </w:rPr>
        <w:t>政策、制度，较好的完成了上级下达的各项任务，项目管理较为规范，效益比较显著</w:t>
      </w:r>
      <w:r>
        <w:rPr>
          <w:rFonts w:hint="eastAsia" w:ascii="宋体" w:hAnsi="宋体" w:cs="宋体"/>
          <w:sz w:val="28"/>
          <w:szCs w:val="28"/>
        </w:rPr>
        <w:t>。</w:t>
      </w:r>
    </w:p>
    <w:p w14:paraId="0AB1CF6B">
      <w:pPr>
        <w:widowControl/>
        <w:spacing w:line="600" w:lineRule="exact"/>
        <w:ind w:firstLine="420" w:firstLineChars="150"/>
        <w:jc w:val="left"/>
        <w:rPr>
          <w:rFonts w:hint="eastAsia"/>
          <w:sz w:val="28"/>
        </w:rPr>
      </w:pPr>
      <w:r>
        <w:rPr>
          <w:rFonts w:hint="eastAsia"/>
          <w:sz w:val="28"/>
        </w:rPr>
        <w:t>2．财务管理情况</w:t>
      </w:r>
    </w:p>
    <w:p w14:paraId="14635C49">
      <w:pPr>
        <w:widowControl/>
        <w:spacing w:line="600" w:lineRule="exact"/>
        <w:ind w:firstLine="420" w:firstLineChars="150"/>
        <w:jc w:val="left"/>
        <w:rPr>
          <w:rFonts w:ascii="宋体" w:hAnsi="宋体"/>
          <w:sz w:val="28"/>
          <w:szCs w:val="28"/>
        </w:rPr>
      </w:pPr>
      <w:r>
        <w:rPr>
          <w:rFonts w:hint="eastAsia" w:ascii="宋体" w:hAnsi="宋体"/>
          <w:sz w:val="28"/>
          <w:szCs w:val="28"/>
        </w:rPr>
        <w:t>（1）项目支出预算安排情况</w:t>
      </w:r>
    </w:p>
    <w:p w14:paraId="66F9B4D2">
      <w:pPr>
        <w:spacing w:line="500" w:lineRule="auto"/>
        <w:ind w:firstLine="600"/>
        <w:rPr>
          <w:rFonts w:ascii="宋体" w:hAnsi="宋体" w:cs="宋体"/>
          <w:sz w:val="28"/>
          <w:szCs w:val="28"/>
        </w:rPr>
      </w:pPr>
      <w:r>
        <w:rPr>
          <w:rFonts w:hint="eastAsia" w:ascii="宋体" w:hAnsi="宋体"/>
          <w:sz w:val="28"/>
          <w:szCs w:val="28"/>
        </w:rPr>
        <w:t>项目支出预算安排情况为经费13.36万元，</w:t>
      </w:r>
      <w:r>
        <w:rPr>
          <w:rFonts w:hint="eastAsia" w:ascii="宋体" w:hAnsi="宋体" w:cs="宋体"/>
          <w:sz w:val="28"/>
          <w:szCs w:val="28"/>
        </w:rPr>
        <w:t>系离任村主职干部生活补助。</w:t>
      </w:r>
    </w:p>
    <w:p w14:paraId="36D75687">
      <w:pPr>
        <w:pStyle w:val="12"/>
        <w:ind w:firstLine="504" w:firstLineChars="180"/>
        <w:rPr>
          <w:rFonts w:hint="eastAsia" w:ascii="宋体" w:hAnsi="宋体" w:cs="宋体"/>
          <w:sz w:val="28"/>
          <w:szCs w:val="28"/>
        </w:rPr>
      </w:pPr>
      <w:r>
        <w:rPr>
          <w:rFonts w:hint="eastAsia" w:ascii="宋体" w:hAnsi="宋体" w:cs="宋体"/>
          <w:sz w:val="28"/>
          <w:szCs w:val="28"/>
        </w:rPr>
        <w:t>（2）项目实际资金到位情况</w:t>
      </w:r>
    </w:p>
    <w:p w14:paraId="691B3F2A">
      <w:pPr>
        <w:pStyle w:val="12"/>
        <w:ind w:firstLine="504" w:firstLineChars="180"/>
        <w:rPr>
          <w:rFonts w:hint="eastAsia" w:ascii="宋体" w:hAnsi="宋体" w:cs="宋体"/>
          <w:sz w:val="28"/>
          <w:szCs w:val="28"/>
        </w:rPr>
      </w:pPr>
      <w:r>
        <w:rPr>
          <w:rFonts w:hint="eastAsia" w:ascii="宋体" w:hAnsi="宋体" w:cs="宋体"/>
          <w:sz w:val="28"/>
          <w:szCs w:val="28"/>
        </w:rPr>
        <w:t>项目实际资金到位13.36万元，系离任村主职干部生活补助。</w:t>
      </w:r>
    </w:p>
    <w:p w14:paraId="1E1E7992">
      <w:pPr>
        <w:spacing w:line="360" w:lineRule="auto"/>
        <w:ind w:firstLine="560" w:firstLineChars="200"/>
        <w:rPr>
          <w:rFonts w:hint="eastAsia" w:ascii="宋体" w:hAnsi="宋体" w:cs="宋体"/>
          <w:sz w:val="28"/>
          <w:szCs w:val="28"/>
        </w:rPr>
      </w:pPr>
      <w:r>
        <w:rPr>
          <w:rFonts w:hint="eastAsia" w:ascii="宋体" w:hAnsi="宋体" w:cs="宋体"/>
          <w:sz w:val="28"/>
          <w:szCs w:val="28"/>
        </w:rPr>
        <w:t>（3）项目实际支出情况。</w:t>
      </w:r>
    </w:p>
    <w:p w14:paraId="05064A1C">
      <w:pPr>
        <w:pStyle w:val="12"/>
        <w:ind w:firstLine="504" w:firstLineChars="180"/>
        <w:rPr>
          <w:rFonts w:hint="eastAsia" w:ascii="宋体" w:hAnsi="宋体" w:cs="宋体"/>
          <w:sz w:val="28"/>
          <w:szCs w:val="28"/>
        </w:rPr>
      </w:pPr>
      <w:r>
        <w:rPr>
          <w:rFonts w:hint="eastAsia" w:ascii="宋体" w:hAnsi="宋体" w:cs="宋体"/>
          <w:sz w:val="28"/>
          <w:szCs w:val="28"/>
        </w:rPr>
        <w:t>项目实际支出13.36万元，系离任村主职干部生活补助。</w:t>
      </w:r>
    </w:p>
    <w:p w14:paraId="5AB9FDA8">
      <w:pPr>
        <w:spacing w:line="360" w:lineRule="auto"/>
        <w:ind w:firstLine="560" w:firstLineChars="200"/>
        <w:rPr>
          <w:rFonts w:hint="eastAsia" w:ascii="宋体" w:hAnsi="宋体" w:cs="宋体"/>
          <w:sz w:val="28"/>
          <w:szCs w:val="28"/>
        </w:rPr>
      </w:pPr>
      <w:r>
        <w:rPr>
          <w:rFonts w:hint="eastAsia" w:ascii="宋体" w:hAnsi="宋体" w:cs="宋体"/>
          <w:sz w:val="28"/>
          <w:szCs w:val="28"/>
        </w:rPr>
        <w:t>（4）项目实际与预算无差异。</w:t>
      </w:r>
    </w:p>
    <w:p w14:paraId="141350B1">
      <w:pPr>
        <w:spacing w:line="360" w:lineRule="auto"/>
        <w:ind w:firstLine="560" w:firstLineChars="200"/>
        <w:rPr>
          <w:rFonts w:hint="eastAsia" w:ascii="楷体_GB2312" w:eastAsia="楷体_GB2312"/>
          <w:sz w:val="28"/>
        </w:rPr>
      </w:pPr>
      <w:r>
        <w:rPr>
          <w:rFonts w:hint="eastAsia" w:ascii="楷体_GB2312" w:eastAsia="楷体_GB2312"/>
          <w:sz w:val="28"/>
        </w:rPr>
        <w:t>（二）项目预算绩效目标的完成情况</w:t>
      </w:r>
    </w:p>
    <w:p w14:paraId="70CBA878">
      <w:pPr>
        <w:widowControl/>
        <w:spacing w:line="600" w:lineRule="exact"/>
        <w:ind w:firstLine="640"/>
        <w:jc w:val="left"/>
        <w:rPr>
          <w:rFonts w:ascii="宋体" w:hAnsi="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sz w:val="28"/>
          <w:szCs w:val="28"/>
        </w:rPr>
        <w:t>依据年初</w:t>
      </w:r>
      <w:r>
        <w:rPr>
          <w:rFonts w:hint="eastAsia" w:ascii="宋体" w:hAnsi="宋体" w:cs="宋体"/>
          <w:sz w:val="28"/>
          <w:szCs w:val="28"/>
        </w:rPr>
        <w:t>“村级正常运转经费”《项目</w:t>
      </w:r>
      <w:r>
        <w:rPr>
          <w:rFonts w:ascii="宋体" w:hAnsi="宋体" w:cs="宋体"/>
          <w:sz w:val="28"/>
          <w:szCs w:val="28"/>
        </w:rPr>
        <w:t>绩效</w:t>
      </w:r>
      <w:r>
        <w:rPr>
          <w:rFonts w:hint="eastAsia" w:ascii="宋体" w:hAnsi="宋体" w:cs="宋体"/>
          <w:sz w:val="28"/>
          <w:szCs w:val="28"/>
        </w:rPr>
        <w:t>目标编制说明》，结合2017年度项目实际实施情况，对部分绩效指标做出相应的调整，以期更准确、更有效地反映本项目的绩效情况，具体情况如下表《项目预算绩效评价表》。</w:t>
      </w:r>
    </w:p>
    <w:p w14:paraId="1AA1C404">
      <w:pPr>
        <w:widowControl/>
        <w:spacing w:after="156" w:afterLines="50" w:line="600" w:lineRule="exact"/>
        <w:jc w:val="left"/>
        <w:rPr>
          <w:rFonts w:ascii="方正楷体简体" w:eastAsia="方正楷体简体"/>
          <w:b/>
          <w:sz w:val="28"/>
          <w:szCs w:val="28"/>
        </w:rPr>
      </w:pPr>
      <w:r>
        <w:rPr>
          <w:rFonts w:hint="eastAsia" w:ascii="方正楷体简体" w:eastAsia="方正楷体简体"/>
          <w:b/>
          <w:sz w:val="28"/>
          <w:szCs w:val="28"/>
        </w:rPr>
        <w:t>表：项目预算绩效评价表</w:t>
      </w:r>
    </w:p>
    <w:tbl>
      <w:tblPr>
        <w:tblStyle w:val="5"/>
        <w:tblW w:w="13893" w:type="dxa"/>
        <w:jc w:val="center"/>
        <w:tblLayout w:type="fixed"/>
        <w:tblCellMar>
          <w:top w:w="0" w:type="dxa"/>
          <w:left w:w="108" w:type="dxa"/>
          <w:bottom w:w="0" w:type="dxa"/>
          <w:right w:w="108" w:type="dxa"/>
        </w:tblCellMar>
      </w:tblPr>
      <w:tblGrid>
        <w:gridCol w:w="1107"/>
        <w:gridCol w:w="1321"/>
        <w:gridCol w:w="2375"/>
        <w:gridCol w:w="4429"/>
        <w:gridCol w:w="3982"/>
        <w:gridCol w:w="679"/>
      </w:tblGrid>
      <w:tr w14:paraId="13EAAC1D">
        <w:tblPrEx>
          <w:tblCellMar>
            <w:top w:w="0" w:type="dxa"/>
            <w:left w:w="108" w:type="dxa"/>
            <w:bottom w:w="0" w:type="dxa"/>
            <w:right w:w="108" w:type="dxa"/>
          </w:tblCellMar>
        </w:tblPrEx>
        <w:trPr>
          <w:trHeight w:val="522" w:hRule="atLeast"/>
          <w:tblHeader/>
          <w:jc w:val="center"/>
        </w:trPr>
        <w:tc>
          <w:tcPr>
            <w:tcW w:w="1107" w:type="dxa"/>
            <w:tcBorders>
              <w:top w:val="single" w:color="auto" w:sz="12" w:space="0"/>
              <w:left w:val="single" w:color="auto" w:sz="12" w:space="0"/>
              <w:bottom w:val="single" w:color="auto" w:sz="4" w:space="0"/>
              <w:right w:val="single" w:color="auto" w:sz="4" w:space="0"/>
            </w:tcBorders>
            <w:shd w:val="clear" w:color="auto" w:fill="auto"/>
            <w:vAlign w:val="center"/>
          </w:tcPr>
          <w:p w14:paraId="29A2BA63">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1321" w:type="dxa"/>
            <w:tcBorders>
              <w:top w:val="single" w:color="auto" w:sz="12" w:space="0"/>
              <w:left w:val="nil"/>
              <w:bottom w:val="single" w:color="auto" w:sz="4" w:space="0"/>
              <w:right w:val="single" w:color="auto" w:sz="4" w:space="0"/>
            </w:tcBorders>
            <w:shd w:val="clear" w:color="auto" w:fill="auto"/>
            <w:vAlign w:val="center"/>
          </w:tcPr>
          <w:p w14:paraId="385B0773">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2375" w:type="dxa"/>
            <w:tcBorders>
              <w:top w:val="single" w:color="auto" w:sz="12" w:space="0"/>
              <w:left w:val="nil"/>
              <w:bottom w:val="single" w:color="auto" w:sz="4" w:space="0"/>
              <w:right w:val="single" w:color="auto" w:sz="4" w:space="0"/>
            </w:tcBorders>
            <w:shd w:val="clear" w:color="auto" w:fill="auto"/>
            <w:vAlign w:val="center"/>
          </w:tcPr>
          <w:p w14:paraId="2279D90D">
            <w:pPr>
              <w:widowControl/>
              <w:jc w:val="center"/>
              <w:rPr>
                <w:rFonts w:ascii="宋体" w:hAnsi="宋体" w:cs="宋体"/>
                <w:b/>
                <w:bCs/>
                <w:color w:val="000000"/>
                <w:kern w:val="0"/>
                <w:szCs w:val="21"/>
              </w:rPr>
            </w:pPr>
            <w:r>
              <w:rPr>
                <w:rFonts w:hint="eastAsia" w:ascii="宋体" w:hAnsi="宋体" w:cs="宋体"/>
                <w:b/>
                <w:bCs/>
                <w:color w:val="000000"/>
                <w:kern w:val="0"/>
                <w:szCs w:val="21"/>
              </w:rPr>
              <w:t>三级指标</w:t>
            </w:r>
          </w:p>
        </w:tc>
        <w:tc>
          <w:tcPr>
            <w:tcW w:w="4429" w:type="dxa"/>
            <w:tcBorders>
              <w:top w:val="single" w:color="auto" w:sz="12" w:space="0"/>
              <w:left w:val="nil"/>
              <w:bottom w:val="single" w:color="auto" w:sz="4" w:space="0"/>
              <w:right w:val="single" w:color="auto" w:sz="4" w:space="0"/>
            </w:tcBorders>
            <w:shd w:val="clear" w:color="auto" w:fill="auto"/>
            <w:vAlign w:val="center"/>
          </w:tcPr>
          <w:p w14:paraId="0470A616">
            <w:pPr>
              <w:widowControl/>
              <w:jc w:val="center"/>
              <w:rPr>
                <w:rFonts w:ascii="宋体" w:hAnsi="宋体" w:cs="宋体"/>
                <w:b/>
                <w:bCs/>
                <w:color w:val="000000"/>
                <w:kern w:val="0"/>
                <w:szCs w:val="21"/>
              </w:rPr>
            </w:pPr>
            <w:r>
              <w:rPr>
                <w:rFonts w:hint="eastAsia" w:ascii="宋体" w:hAnsi="宋体" w:cs="宋体"/>
                <w:b/>
                <w:bCs/>
                <w:color w:val="000000"/>
                <w:kern w:val="0"/>
                <w:szCs w:val="21"/>
              </w:rPr>
              <w:t>指标说明</w:t>
            </w:r>
          </w:p>
        </w:tc>
        <w:tc>
          <w:tcPr>
            <w:tcW w:w="3982" w:type="dxa"/>
            <w:tcBorders>
              <w:top w:val="single" w:color="auto" w:sz="12" w:space="0"/>
              <w:left w:val="nil"/>
              <w:bottom w:val="single" w:color="auto" w:sz="4" w:space="0"/>
              <w:right w:val="single" w:color="auto" w:sz="4" w:space="0"/>
            </w:tcBorders>
            <w:shd w:val="clear" w:color="auto" w:fill="auto"/>
            <w:vAlign w:val="center"/>
          </w:tcPr>
          <w:p w14:paraId="11472633">
            <w:pPr>
              <w:widowControl/>
              <w:jc w:val="center"/>
              <w:rPr>
                <w:rFonts w:ascii="宋体" w:hAnsi="宋体" w:cs="宋体"/>
                <w:b/>
                <w:bCs/>
                <w:color w:val="000000"/>
                <w:kern w:val="0"/>
                <w:szCs w:val="21"/>
              </w:rPr>
            </w:pPr>
            <w:r>
              <w:rPr>
                <w:rFonts w:hint="eastAsia" w:ascii="宋体" w:hAnsi="宋体" w:cs="宋体"/>
                <w:b/>
                <w:bCs/>
                <w:color w:val="000000"/>
                <w:kern w:val="0"/>
                <w:szCs w:val="21"/>
              </w:rPr>
              <w:t>实际情况（实现值）</w:t>
            </w:r>
          </w:p>
        </w:tc>
        <w:tc>
          <w:tcPr>
            <w:tcW w:w="679" w:type="dxa"/>
            <w:tcBorders>
              <w:top w:val="single" w:color="auto" w:sz="12" w:space="0"/>
              <w:left w:val="nil"/>
              <w:bottom w:val="single" w:color="auto" w:sz="4" w:space="0"/>
              <w:right w:val="single" w:color="auto" w:sz="12" w:space="0"/>
            </w:tcBorders>
            <w:shd w:val="clear" w:color="auto" w:fill="auto"/>
            <w:vAlign w:val="center"/>
          </w:tcPr>
          <w:p w14:paraId="45CF581F">
            <w:pPr>
              <w:widowControl/>
              <w:jc w:val="center"/>
              <w:rPr>
                <w:rFonts w:ascii="宋体" w:hAnsi="宋体" w:cs="宋体"/>
                <w:b/>
                <w:bCs/>
                <w:color w:val="000000"/>
                <w:kern w:val="0"/>
                <w:szCs w:val="21"/>
              </w:rPr>
            </w:pPr>
            <w:r>
              <w:rPr>
                <w:rFonts w:hint="eastAsia" w:ascii="宋体" w:hAnsi="宋体" w:cs="宋体"/>
                <w:b/>
                <w:bCs/>
                <w:color w:val="000000"/>
                <w:kern w:val="0"/>
                <w:szCs w:val="21"/>
              </w:rPr>
              <w:t>评价得分</w:t>
            </w:r>
          </w:p>
        </w:tc>
      </w:tr>
      <w:tr w14:paraId="5E1D71D7">
        <w:tblPrEx>
          <w:tblCellMar>
            <w:top w:w="0" w:type="dxa"/>
            <w:left w:w="108" w:type="dxa"/>
            <w:bottom w:w="0" w:type="dxa"/>
            <w:right w:w="108" w:type="dxa"/>
          </w:tblCellMar>
        </w:tblPrEx>
        <w:trPr>
          <w:trHeight w:val="501" w:hRule="atLeast"/>
          <w:jc w:val="center"/>
        </w:trPr>
        <w:tc>
          <w:tcPr>
            <w:tcW w:w="1107" w:type="dxa"/>
            <w:vMerge w:val="restart"/>
            <w:tcBorders>
              <w:top w:val="nil"/>
              <w:left w:val="single" w:color="auto" w:sz="12" w:space="0"/>
              <w:bottom w:val="single" w:color="auto" w:sz="4" w:space="0"/>
              <w:right w:val="single" w:color="auto" w:sz="4" w:space="0"/>
            </w:tcBorders>
            <w:shd w:val="clear" w:color="auto" w:fill="auto"/>
            <w:vAlign w:val="center"/>
          </w:tcPr>
          <w:p w14:paraId="672B568F">
            <w:pPr>
              <w:widowControl/>
              <w:jc w:val="center"/>
              <w:rPr>
                <w:rFonts w:ascii="宋体" w:hAnsi="宋体" w:cs="宋体"/>
                <w:color w:val="000000"/>
                <w:kern w:val="0"/>
                <w:szCs w:val="21"/>
              </w:rPr>
            </w:pPr>
            <w:r>
              <w:rPr>
                <w:rFonts w:hint="eastAsia" w:ascii="宋体" w:hAnsi="宋体" w:cs="宋体"/>
                <w:color w:val="000000"/>
                <w:kern w:val="0"/>
                <w:szCs w:val="21"/>
              </w:rPr>
              <w:t>一、投入（20分）</w:t>
            </w:r>
          </w:p>
        </w:tc>
        <w:tc>
          <w:tcPr>
            <w:tcW w:w="1321" w:type="dxa"/>
            <w:vMerge w:val="restart"/>
            <w:tcBorders>
              <w:top w:val="nil"/>
              <w:left w:val="single" w:color="auto" w:sz="4" w:space="0"/>
              <w:bottom w:val="single" w:color="000000" w:sz="4" w:space="0"/>
              <w:right w:val="single" w:color="auto" w:sz="4" w:space="0"/>
            </w:tcBorders>
            <w:shd w:val="clear" w:color="auto" w:fill="auto"/>
            <w:vAlign w:val="center"/>
          </w:tcPr>
          <w:p w14:paraId="21916520">
            <w:pPr>
              <w:widowControl/>
              <w:jc w:val="center"/>
              <w:rPr>
                <w:rFonts w:ascii="宋体" w:hAnsi="宋体" w:cs="宋体"/>
                <w:color w:val="000000"/>
                <w:kern w:val="0"/>
                <w:szCs w:val="21"/>
              </w:rPr>
            </w:pPr>
            <w:r>
              <w:rPr>
                <w:rFonts w:hint="eastAsia" w:ascii="宋体" w:hAnsi="宋体" w:cs="宋体"/>
                <w:color w:val="000000"/>
                <w:kern w:val="0"/>
                <w:szCs w:val="21"/>
              </w:rPr>
              <w:t>项目立项（10分）</w:t>
            </w:r>
          </w:p>
        </w:tc>
        <w:tc>
          <w:tcPr>
            <w:tcW w:w="2375" w:type="dxa"/>
            <w:tcBorders>
              <w:top w:val="nil"/>
              <w:left w:val="nil"/>
              <w:bottom w:val="single" w:color="auto" w:sz="4" w:space="0"/>
              <w:right w:val="single" w:color="auto" w:sz="4" w:space="0"/>
            </w:tcBorders>
            <w:shd w:val="clear" w:color="auto" w:fill="auto"/>
            <w:vAlign w:val="center"/>
          </w:tcPr>
          <w:p w14:paraId="10F8490C">
            <w:pPr>
              <w:widowControl/>
              <w:jc w:val="left"/>
              <w:rPr>
                <w:rFonts w:ascii="宋体" w:hAnsi="宋体" w:cs="宋体"/>
                <w:color w:val="000000"/>
                <w:kern w:val="0"/>
                <w:szCs w:val="21"/>
              </w:rPr>
            </w:pPr>
            <w:r>
              <w:rPr>
                <w:rFonts w:hint="eastAsia" w:ascii="宋体" w:hAnsi="宋体" w:cs="宋体"/>
                <w:color w:val="000000"/>
                <w:kern w:val="0"/>
                <w:szCs w:val="21"/>
              </w:rPr>
              <w:t>项目立项规范性（5分）</w:t>
            </w:r>
          </w:p>
        </w:tc>
        <w:tc>
          <w:tcPr>
            <w:tcW w:w="4429" w:type="dxa"/>
            <w:tcBorders>
              <w:top w:val="nil"/>
              <w:left w:val="nil"/>
              <w:bottom w:val="single" w:color="auto" w:sz="4" w:space="0"/>
              <w:right w:val="single" w:color="auto" w:sz="4" w:space="0"/>
            </w:tcBorders>
            <w:shd w:val="clear" w:color="auto" w:fill="auto"/>
            <w:vAlign w:val="center"/>
          </w:tcPr>
          <w:p w14:paraId="725F6E9B">
            <w:pPr>
              <w:widowControl/>
              <w:jc w:val="left"/>
              <w:rPr>
                <w:rFonts w:ascii="宋体" w:hAnsi="宋体" w:cs="宋体"/>
                <w:color w:val="000000"/>
                <w:kern w:val="0"/>
                <w:szCs w:val="21"/>
              </w:rPr>
            </w:pPr>
            <w:r>
              <w:rPr>
                <w:rFonts w:hint="eastAsia" w:ascii="宋体" w:hAnsi="宋体" w:cs="宋体"/>
                <w:color w:val="000000"/>
                <w:kern w:val="0"/>
                <w:szCs w:val="21"/>
              </w:rPr>
              <w:t>项目的申请、设立过程是否符合相关要求，用以反映和考核项目立项的规范情况。</w:t>
            </w:r>
          </w:p>
        </w:tc>
        <w:tc>
          <w:tcPr>
            <w:tcW w:w="3982" w:type="dxa"/>
            <w:tcBorders>
              <w:top w:val="nil"/>
              <w:left w:val="nil"/>
              <w:bottom w:val="single" w:color="auto" w:sz="4" w:space="0"/>
              <w:right w:val="single" w:color="auto" w:sz="4" w:space="0"/>
            </w:tcBorders>
            <w:shd w:val="clear" w:color="auto" w:fill="auto"/>
            <w:vAlign w:val="center"/>
          </w:tcPr>
          <w:p w14:paraId="1342B8AE">
            <w:pPr>
              <w:widowControl/>
              <w:jc w:val="left"/>
              <w:rPr>
                <w:rFonts w:ascii="宋体" w:hAnsi="宋体" w:cs="宋体"/>
                <w:color w:val="000000"/>
                <w:kern w:val="0"/>
                <w:szCs w:val="21"/>
              </w:rPr>
            </w:pPr>
            <w:r>
              <w:rPr>
                <w:rFonts w:hint="eastAsia" w:ascii="宋体" w:hAnsi="宋体" w:cs="宋体"/>
                <w:color w:val="000000"/>
                <w:kern w:val="0"/>
                <w:szCs w:val="21"/>
              </w:rPr>
              <w:t>本项目经费为持续性、常年性项目，项目立项规范，符合相关政策要求。</w:t>
            </w:r>
          </w:p>
        </w:tc>
        <w:tc>
          <w:tcPr>
            <w:tcW w:w="679" w:type="dxa"/>
            <w:tcBorders>
              <w:top w:val="nil"/>
              <w:left w:val="nil"/>
              <w:bottom w:val="single" w:color="auto" w:sz="4" w:space="0"/>
              <w:right w:val="single" w:color="auto" w:sz="12" w:space="0"/>
            </w:tcBorders>
            <w:shd w:val="clear" w:color="auto" w:fill="auto"/>
            <w:vAlign w:val="center"/>
          </w:tcPr>
          <w:p w14:paraId="2167326C">
            <w:pPr>
              <w:widowControl/>
              <w:jc w:val="center"/>
              <w:rPr>
                <w:rFonts w:ascii="宋体" w:hAnsi="宋体" w:cs="宋体"/>
                <w:color w:val="000000"/>
                <w:kern w:val="0"/>
                <w:szCs w:val="21"/>
              </w:rPr>
            </w:pPr>
            <w:r>
              <w:rPr>
                <w:rFonts w:hint="eastAsia" w:ascii="宋体" w:hAnsi="宋体" w:cs="宋体"/>
                <w:color w:val="000000"/>
                <w:kern w:val="0"/>
                <w:szCs w:val="21"/>
              </w:rPr>
              <w:t>5</w:t>
            </w:r>
          </w:p>
        </w:tc>
      </w:tr>
      <w:tr w14:paraId="1719C5C5">
        <w:tblPrEx>
          <w:tblCellMar>
            <w:top w:w="0" w:type="dxa"/>
            <w:left w:w="108" w:type="dxa"/>
            <w:bottom w:w="0" w:type="dxa"/>
            <w:right w:w="108" w:type="dxa"/>
          </w:tblCellMar>
        </w:tblPrEx>
        <w:trPr>
          <w:trHeight w:val="1002"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11310E84">
            <w:pPr>
              <w:widowControl/>
              <w:jc w:val="left"/>
              <w:rPr>
                <w:rFonts w:ascii="宋体" w:hAnsi="宋体" w:cs="宋体"/>
                <w:color w:val="000000"/>
                <w:kern w:val="0"/>
                <w:szCs w:val="21"/>
              </w:rPr>
            </w:pPr>
          </w:p>
        </w:tc>
        <w:tc>
          <w:tcPr>
            <w:tcW w:w="1321" w:type="dxa"/>
            <w:vMerge w:val="continue"/>
            <w:tcBorders>
              <w:top w:val="nil"/>
              <w:left w:val="single" w:color="auto" w:sz="4" w:space="0"/>
              <w:bottom w:val="single" w:color="000000" w:sz="4" w:space="0"/>
              <w:right w:val="single" w:color="auto" w:sz="4" w:space="0"/>
            </w:tcBorders>
            <w:shd w:val="clear" w:color="auto" w:fill="auto"/>
            <w:vAlign w:val="center"/>
          </w:tcPr>
          <w:p w14:paraId="32109878">
            <w:pPr>
              <w:widowControl/>
              <w:jc w:val="left"/>
              <w:rPr>
                <w:rFonts w:ascii="宋体" w:hAnsi="宋体" w:cs="宋体"/>
                <w:color w:val="000000"/>
                <w:kern w:val="0"/>
                <w:szCs w:val="21"/>
              </w:rPr>
            </w:pPr>
          </w:p>
        </w:tc>
        <w:tc>
          <w:tcPr>
            <w:tcW w:w="2375" w:type="dxa"/>
            <w:tcBorders>
              <w:top w:val="nil"/>
              <w:left w:val="nil"/>
              <w:bottom w:val="single" w:color="auto" w:sz="4" w:space="0"/>
              <w:right w:val="single" w:color="auto" w:sz="4" w:space="0"/>
            </w:tcBorders>
            <w:shd w:val="clear" w:color="auto" w:fill="auto"/>
            <w:vAlign w:val="center"/>
          </w:tcPr>
          <w:p w14:paraId="039A9E89">
            <w:pPr>
              <w:widowControl/>
              <w:jc w:val="left"/>
              <w:rPr>
                <w:rFonts w:ascii="宋体" w:hAnsi="宋体" w:cs="宋体"/>
                <w:color w:val="000000"/>
                <w:kern w:val="0"/>
                <w:szCs w:val="21"/>
              </w:rPr>
            </w:pPr>
            <w:r>
              <w:rPr>
                <w:rFonts w:hint="eastAsia" w:ascii="宋体" w:hAnsi="宋体" w:cs="宋体"/>
                <w:color w:val="000000"/>
                <w:kern w:val="0"/>
                <w:szCs w:val="21"/>
              </w:rPr>
              <w:t>绩效目标合理性（5分）</w:t>
            </w:r>
          </w:p>
        </w:tc>
        <w:tc>
          <w:tcPr>
            <w:tcW w:w="4429" w:type="dxa"/>
            <w:tcBorders>
              <w:top w:val="nil"/>
              <w:left w:val="nil"/>
              <w:bottom w:val="single" w:color="auto" w:sz="4" w:space="0"/>
              <w:right w:val="single" w:color="auto" w:sz="4" w:space="0"/>
            </w:tcBorders>
            <w:shd w:val="clear" w:color="auto" w:fill="auto"/>
            <w:vAlign w:val="center"/>
          </w:tcPr>
          <w:p w14:paraId="7394918B">
            <w:pPr>
              <w:widowControl/>
              <w:jc w:val="left"/>
              <w:rPr>
                <w:rFonts w:ascii="宋体" w:hAnsi="宋体" w:cs="宋体"/>
                <w:color w:val="000000"/>
                <w:kern w:val="0"/>
                <w:szCs w:val="21"/>
              </w:rPr>
            </w:pPr>
            <w:r>
              <w:rPr>
                <w:rFonts w:hint="eastAsia" w:ascii="宋体" w:hAnsi="宋体" w:cs="宋体"/>
                <w:color w:val="000000"/>
                <w:kern w:val="0"/>
                <w:szCs w:val="21"/>
              </w:rPr>
              <w:t>项目是否设定绩效目标和绩效指标，所设定的绩效目标和指标是否符合实际，用以反映和考核项目绩效目标与项目实施的相符情况。</w:t>
            </w:r>
          </w:p>
        </w:tc>
        <w:tc>
          <w:tcPr>
            <w:tcW w:w="3982" w:type="dxa"/>
            <w:tcBorders>
              <w:top w:val="nil"/>
              <w:left w:val="nil"/>
              <w:bottom w:val="single" w:color="auto" w:sz="4" w:space="0"/>
              <w:right w:val="single" w:color="auto" w:sz="4" w:space="0"/>
            </w:tcBorders>
            <w:shd w:val="clear" w:color="auto" w:fill="auto"/>
            <w:vAlign w:val="center"/>
          </w:tcPr>
          <w:p w14:paraId="651B7C1C">
            <w:pPr>
              <w:widowControl/>
              <w:jc w:val="left"/>
              <w:rPr>
                <w:rFonts w:ascii="宋体" w:hAnsi="宋体" w:cs="宋体"/>
                <w:color w:val="000000"/>
                <w:kern w:val="0"/>
                <w:szCs w:val="21"/>
              </w:rPr>
            </w:pPr>
            <w:r>
              <w:rPr>
                <w:rFonts w:hint="eastAsia" w:ascii="宋体" w:hAnsi="宋体" w:cs="宋体"/>
                <w:color w:val="000000"/>
                <w:kern w:val="0"/>
                <w:szCs w:val="21"/>
              </w:rPr>
              <w:t>项目设定了绩效目标和绩效指标，所设定的绩效目标和指标基本符合实际，但设立的指标较为粗略，部分难以有效体现项目效果。</w:t>
            </w:r>
          </w:p>
        </w:tc>
        <w:tc>
          <w:tcPr>
            <w:tcW w:w="679" w:type="dxa"/>
            <w:tcBorders>
              <w:top w:val="nil"/>
              <w:left w:val="nil"/>
              <w:bottom w:val="single" w:color="auto" w:sz="4" w:space="0"/>
              <w:right w:val="single" w:color="auto" w:sz="12" w:space="0"/>
            </w:tcBorders>
            <w:shd w:val="clear" w:color="auto" w:fill="auto"/>
            <w:vAlign w:val="center"/>
          </w:tcPr>
          <w:p w14:paraId="6251261D">
            <w:pPr>
              <w:widowControl/>
              <w:jc w:val="center"/>
              <w:rPr>
                <w:rFonts w:ascii="宋体" w:hAnsi="宋体" w:cs="宋体"/>
                <w:color w:val="000000"/>
                <w:kern w:val="0"/>
                <w:szCs w:val="21"/>
              </w:rPr>
            </w:pPr>
            <w:r>
              <w:rPr>
                <w:rFonts w:hint="eastAsia" w:ascii="宋体" w:hAnsi="宋体" w:cs="宋体"/>
                <w:color w:val="000000"/>
                <w:kern w:val="0"/>
                <w:szCs w:val="21"/>
              </w:rPr>
              <w:t>4</w:t>
            </w:r>
          </w:p>
        </w:tc>
      </w:tr>
      <w:tr w14:paraId="296EAE80">
        <w:tblPrEx>
          <w:tblCellMar>
            <w:top w:w="0" w:type="dxa"/>
            <w:left w:w="108" w:type="dxa"/>
            <w:bottom w:w="0" w:type="dxa"/>
            <w:right w:w="108" w:type="dxa"/>
          </w:tblCellMar>
        </w:tblPrEx>
        <w:trPr>
          <w:trHeight w:val="752"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30133C4C">
            <w:pPr>
              <w:widowControl/>
              <w:jc w:val="left"/>
              <w:rPr>
                <w:rFonts w:ascii="宋体" w:hAnsi="宋体" w:cs="宋体"/>
                <w:color w:val="000000"/>
                <w:kern w:val="0"/>
                <w:szCs w:val="21"/>
              </w:rPr>
            </w:pPr>
          </w:p>
        </w:tc>
        <w:tc>
          <w:tcPr>
            <w:tcW w:w="1321" w:type="dxa"/>
            <w:vMerge w:val="restart"/>
            <w:tcBorders>
              <w:top w:val="nil"/>
              <w:left w:val="single" w:color="auto" w:sz="4" w:space="0"/>
              <w:bottom w:val="single" w:color="000000" w:sz="4" w:space="0"/>
              <w:right w:val="single" w:color="auto" w:sz="4" w:space="0"/>
            </w:tcBorders>
            <w:shd w:val="clear" w:color="auto" w:fill="auto"/>
            <w:vAlign w:val="center"/>
          </w:tcPr>
          <w:p w14:paraId="3AF3A81D">
            <w:pPr>
              <w:widowControl/>
              <w:jc w:val="center"/>
              <w:rPr>
                <w:rFonts w:ascii="宋体" w:hAnsi="宋体" w:cs="宋体"/>
                <w:color w:val="000000"/>
                <w:kern w:val="0"/>
                <w:szCs w:val="21"/>
              </w:rPr>
            </w:pPr>
            <w:r>
              <w:rPr>
                <w:rFonts w:hint="eastAsia" w:ascii="宋体" w:hAnsi="宋体" w:cs="宋体"/>
                <w:color w:val="000000"/>
                <w:kern w:val="0"/>
                <w:szCs w:val="21"/>
              </w:rPr>
              <w:t>资金落实（10分）</w:t>
            </w:r>
          </w:p>
        </w:tc>
        <w:tc>
          <w:tcPr>
            <w:tcW w:w="2375" w:type="dxa"/>
            <w:tcBorders>
              <w:top w:val="nil"/>
              <w:left w:val="nil"/>
              <w:bottom w:val="single" w:color="auto" w:sz="4" w:space="0"/>
              <w:right w:val="single" w:color="auto" w:sz="4" w:space="0"/>
            </w:tcBorders>
            <w:shd w:val="clear" w:color="auto" w:fill="auto"/>
            <w:vAlign w:val="center"/>
          </w:tcPr>
          <w:p w14:paraId="074106A1">
            <w:pPr>
              <w:widowControl/>
              <w:jc w:val="left"/>
              <w:rPr>
                <w:rFonts w:ascii="宋体" w:hAnsi="宋体" w:cs="宋体"/>
                <w:color w:val="000000"/>
                <w:kern w:val="0"/>
                <w:szCs w:val="21"/>
              </w:rPr>
            </w:pPr>
            <w:r>
              <w:rPr>
                <w:rFonts w:hint="eastAsia" w:ascii="宋体" w:hAnsi="宋体" w:cs="宋体"/>
                <w:color w:val="000000"/>
                <w:kern w:val="0"/>
                <w:szCs w:val="21"/>
              </w:rPr>
              <w:t>资金到位率（5分）</w:t>
            </w:r>
          </w:p>
        </w:tc>
        <w:tc>
          <w:tcPr>
            <w:tcW w:w="4429" w:type="dxa"/>
            <w:tcBorders>
              <w:top w:val="nil"/>
              <w:left w:val="nil"/>
              <w:bottom w:val="single" w:color="auto" w:sz="4" w:space="0"/>
              <w:right w:val="single" w:color="auto" w:sz="4" w:space="0"/>
            </w:tcBorders>
            <w:shd w:val="clear" w:color="auto" w:fill="auto"/>
            <w:vAlign w:val="center"/>
          </w:tcPr>
          <w:p w14:paraId="3C5FAB6D">
            <w:pPr>
              <w:widowControl/>
              <w:jc w:val="left"/>
              <w:rPr>
                <w:rFonts w:ascii="宋体" w:hAnsi="宋体" w:cs="宋体"/>
                <w:color w:val="000000"/>
                <w:kern w:val="0"/>
                <w:szCs w:val="21"/>
              </w:rPr>
            </w:pPr>
            <w:r>
              <w:rPr>
                <w:rFonts w:hint="eastAsia" w:ascii="宋体" w:hAnsi="宋体" w:cs="宋体"/>
                <w:color w:val="000000"/>
                <w:kern w:val="0"/>
                <w:szCs w:val="21"/>
              </w:rPr>
              <w:t>实际到位资金与计划投入资金的比率，用以反映和考核资金落实情况对项目实施的总体保障程度。</w:t>
            </w:r>
          </w:p>
        </w:tc>
        <w:tc>
          <w:tcPr>
            <w:tcW w:w="3982" w:type="dxa"/>
            <w:tcBorders>
              <w:top w:val="nil"/>
              <w:left w:val="nil"/>
              <w:bottom w:val="single" w:color="auto" w:sz="4" w:space="0"/>
              <w:right w:val="single" w:color="auto" w:sz="4" w:space="0"/>
            </w:tcBorders>
            <w:shd w:val="clear" w:color="auto" w:fill="auto"/>
            <w:vAlign w:val="center"/>
          </w:tcPr>
          <w:p w14:paraId="5C783E2E">
            <w:pPr>
              <w:widowControl/>
              <w:jc w:val="left"/>
              <w:rPr>
                <w:rFonts w:ascii="宋体" w:hAnsi="宋体" w:cs="宋体"/>
                <w:color w:val="000000"/>
                <w:kern w:val="0"/>
                <w:szCs w:val="21"/>
              </w:rPr>
            </w:pPr>
            <w:r>
              <w:rPr>
                <w:rFonts w:hint="eastAsia" w:ascii="宋体" w:hAnsi="宋体" w:cs="宋体"/>
                <w:color w:val="000000"/>
                <w:kern w:val="0"/>
                <w:szCs w:val="21"/>
              </w:rPr>
              <w:t>预算批复金额13.36万元与预算申报金额一致，实际支出资金13.36万元，资金到位率100.00%。</w:t>
            </w:r>
          </w:p>
        </w:tc>
        <w:tc>
          <w:tcPr>
            <w:tcW w:w="679" w:type="dxa"/>
            <w:tcBorders>
              <w:top w:val="nil"/>
              <w:left w:val="nil"/>
              <w:bottom w:val="single" w:color="auto" w:sz="4" w:space="0"/>
              <w:right w:val="single" w:color="auto" w:sz="12" w:space="0"/>
            </w:tcBorders>
            <w:shd w:val="clear" w:color="auto" w:fill="auto"/>
            <w:vAlign w:val="center"/>
          </w:tcPr>
          <w:p w14:paraId="623DD29A">
            <w:pPr>
              <w:widowControl/>
              <w:jc w:val="center"/>
              <w:rPr>
                <w:rFonts w:ascii="宋体" w:hAnsi="宋体" w:cs="宋体"/>
                <w:color w:val="000000"/>
                <w:kern w:val="0"/>
                <w:szCs w:val="21"/>
              </w:rPr>
            </w:pPr>
            <w:r>
              <w:rPr>
                <w:rFonts w:hint="eastAsia" w:ascii="宋体" w:hAnsi="宋体" w:cs="宋体"/>
                <w:color w:val="000000"/>
                <w:kern w:val="0"/>
                <w:szCs w:val="21"/>
              </w:rPr>
              <w:t>5</w:t>
            </w:r>
          </w:p>
        </w:tc>
      </w:tr>
      <w:tr w14:paraId="3865A4A3">
        <w:tblPrEx>
          <w:tblCellMar>
            <w:top w:w="0" w:type="dxa"/>
            <w:left w:w="108" w:type="dxa"/>
            <w:bottom w:w="0" w:type="dxa"/>
            <w:right w:w="108" w:type="dxa"/>
          </w:tblCellMar>
        </w:tblPrEx>
        <w:trPr>
          <w:trHeight w:val="501"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1D2465C3">
            <w:pPr>
              <w:widowControl/>
              <w:jc w:val="left"/>
              <w:rPr>
                <w:rFonts w:ascii="宋体" w:hAnsi="宋体" w:cs="宋体"/>
                <w:color w:val="000000"/>
                <w:kern w:val="0"/>
                <w:szCs w:val="21"/>
              </w:rPr>
            </w:pPr>
          </w:p>
        </w:tc>
        <w:tc>
          <w:tcPr>
            <w:tcW w:w="1321" w:type="dxa"/>
            <w:vMerge w:val="continue"/>
            <w:tcBorders>
              <w:top w:val="nil"/>
              <w:left w:val="single" w:color="auto" w:sz="4" w:space="0"/>
              <w:bottom w:val="single" w:color="000000" w:sz="4" w:space="0"/>
              <w:right w:val="single" w:color="auto" w:sz="4" w:space="0"/>
            </w:tcBorders>
            <w:shd w:val="clear" w:color="auto" w:fill="auto"/>
            <w:vAlign w:val="center"/>
          </w:tcPr>
          <w:p w14:paraId="6F3A7DCC">
            <w:pPr>
              <w:widowControl/>
              <w:jc w:val="left"/>
              <w:rPr>
                <w:rFonts w:ascii="宋体" w:hAnsi="宋体" w:cs="宋体"/>
                <w:color w:val="000000"/>
                <w:kern w:val="0"/>
                <w:szCs w:val="21"/>
              </w:rPr>
            </w:pPr>
          </w:p>
        </w:tc>
        <w:tc>
          <w:tcPr>
            <w:tcW w:w="2375" w:type="dxa"/>
            <w:tcBorders>
              <w:top w:val="nil"/>
              <w:left w:val="nil"/>
              <w:bottom w:val="single" w:color="auto" w:sz="4" w:space="0"/>
              <w:right w:val="single" w:color="auto" w:sz="4" w:space="0"/>
            </w:tcBorders>
            <w:shd w:val="clear" w:color="auto" w:fill="auto"/>
            <w:vAlign w:val="center"/>
          </w:tcPr>
          <w:p w14:paraId="4FC79ACA">
            <w:pPr>
              <w:widowControl/>
              <w:jc w:val="left"/>
              <w:rPr>
                <w:rFonts w:ascii="宋体" w:hAnsi="宋体" w:cs="宋体"/>
                <w:color w:val="000000"/>
                <w:kern w:val="0"/>
                <w:szCs w:val="21"/>
              </w:rPr>
            </w:pPr>
            <w:r>
              <w:rPr>
                <w:rFonts w:hint="eastAsia" w:ascii="宋体" w:hAnsi="宋体" w:cs="宋体"/>
                <w:color w:val="000000"/>
                <w:kern w:val="0"/>
                <w:szCs w:val="21"/>
              </w:rPr>
              <w:t>到位及时率（5分）</w:t>
            </w:r>
          </w:p>
        </w:tc>
        <w:tc>
          <w:tcPr>
            <w:tcW w:w="4429" w:type="dxa"/>
            <w:tcBorders>
              <w:top w:val="nil"/>
              <w:left w:val="nil"/>
              <w:bottom w:val="single" w:color="auto" w:sz="4" w:space="0"/>
              <w:right w:val="single" w:color="auto" w:sz="4" w:space="0"/>
            </w:tcBorders>
            <w:shd w:val="clear" w:color="auto" w:fill="auto"/>
            <w:vAlign w:val="center"/>
          </w:tcPr>
          <w:p w14:paraId="74CD1891">
            <w:pPr>
              <w:widowControl/>
              <w:jc w:val="left"/>
              <w:rPr>
                <w:rFonts w:ascii="宋体" w:hAnsi="宋体" w:cs="宋体"/>
                <w:color w:val="000000"/>
                <w:kern w:val="0"/>
                <w:szCs w:val="21"/>
              </w:rPr>
            </w:pPr>
            <w:r>
              <w:rPr>
                <w:rFonts w:hint="eastAsia" w:ascii="宋体" w:hAnsi="宋体" w:cs="宋体"/>
                <w:color w:val="000000"/>
                <w:kern w:val="0"/>
                <w:szCs w:val="21"/>
              </w:rPr>
              <w:t>及时到位资金与应到位资金的比率，用以反映和考核项目资金落实的及时性程度。</w:t>
            </w:r>
          </w:p>
        </w:tc>
        <w:tc>
          <w:tcPr>
            <w:tcW w:w="3982" w:type="dxa"/>
            <w:tcBorders>
              <w:top w:val="nil"/>
              <w:left w:val="nil"/>
              <w:bottom w:val="single" w:color="auto" w:sz="4" w:space="0"/>
              <w:right w:val="single" w:color="auto" w:sz="4" w:space="0"/>
            </w:tcBorders>
            <w:shd w:val="clear" w:color="auto" w:fill="auto"/>
            <w:vAlign w:val="center"/>
          </w:tcPr>
          <w:p w14:paraId="7CB18BBB">
            <w:pPr>
              <w:widowControl/>
              <w:jc w:val="left"/>
              <w:rPr>
                <w:rFonts w:ascii="宋体" w:hAnsi="宋体" w:cs="宋体"/>
                <w:color w:val="000000"/>
                <w:kern w:val="0"/>
                <w:szCs w:val="21"/>
              </w:rPr>
            </w:pPr>
            <w:r>
              <w:rPr>
                <w:rFonts w:hint="eastAsia" w:ascii="宋体" w:hAnsi="宋体" w:cs="宋体"/>
                <w:color w:val="000000"/>
                <w:kern w:val="0"/>
                <w:szCs w:val="21"/>
              </w:rPr>
              <w:t>及时拨付各村项目资金，资金到位及时率100.00%</w:t>
            </w:r>
          </w:p>
        </w:tc>
        <w:tc>
          <w:tcPr>
            <w:tcW w:w="679" w:type="dxa"/>
            <w:tcBorders>
              <w:top w:val="nil"/>
              <w:left w:val="nil"/>
              <w:bottom w:val="single" w:color="auto" w:sz="4" w:space="0"/>
              <w:right w:val="single" w:color="auto" w:sz="12" w:space="0"/>
            </w:tcBorders>
            <w:shd w:val="clear" w:color="auto" w:fill="auto"/>
            <w:vAlign w:val="center"/>
          </w:tcPr>
          <w:p w14:paraId="06E28A0D">
            <w:pPr>
              <w:widowControl/>
              <w:jc w:val="center"/>
              <w:rPr>
                <w:rFonts w:ascii="宋体" w:hAnsi="宋体" w:cs="宋体"/>
                <w:color w:val="000000"/>
                <w:kern w:val="0"/>
                <w:szCs w:val="21"/>
              </w:rPr>
            </w:pPr>
            <w:r>
              <w:rPr>
                <w:rFonts w:hint="eastAsia" w:ascii="宋体" w:hAnsi="宋体" w:cs="宋体"/>
                <w:color w:val="000000"/>
                <w:kern w:val="0"/>
                <w:szCs w:val="21"/>
              </w:rPr>
              <w:t>5</w:t>
            </w:r>
          </w:p>
        </w:tc>
      </w:tr>
      <w:tr w14:paraId="0C837095">
        <w:tblPrEx>
          <w:tblCellMar>
            <w:top w:w="0" w:type="dxa"/>
            <w:left w:w="108" w:type="dxa"/>
            <w:bottom w:w="0" w:type="dxa"/>
            <w:right w:w="108" w:type="dxa"/>
          </w:tblCellMar>
        </w:tblPrEx>
        <w:trPr>
          <w:trHeight w:val="522" w:hRule="atLeast"/>
          <w:jc w:val="center"/>
        </w:trPr>
        <w:tc>
          <w:tcPr>
            <w:tcW w:w="13214"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5D41690B">
            <w:pPr>
              <w:widowControl/>
              <w:jc w:val="center"/>
              <w:rPr>
                <w:rFonts w:ascii="宋体" w:hAnsi="宋体" w:cs="宋体"/>
                <w:b/>
                <w:bCs/>
                <w:color w:val="000000"/>
                <w:kern w:val="0"/>
                <w:szCs w:val="21"/>
              </w:rPr>
            </w:pPr>
            <w:r>
              <w:rPr>
                <w:rFonts w:hint="eastAsia" w:ascii="宋体" w:hAnsi="宋体" w:cs="宋体"/>
                <w:b/>
                <w:bCs/>
                <w:color w:val="000000"/>
                <w:kern w:val="0"/>
                <w:szCs w:val="21"/>
              </w:rPr>
              <w:t>投入指标得分小计</w:t>
            </w:r>
          </w:p>
        </w:tc>
        <w:tc>
          <w:tcPr>
            <w:tcW w:w="679" w:type="dxa"/>
            <w:tcBorders>
              <w:top w:val="nil"/>
              <w:left w:val="nil"/>
              <w:bottom w:val="single" w:color="auto" w:sz="4" w:space="0"/>
              <w:right w:val="single" w:color="auto" w:sz="12" w:space="0"/>
            </w:tcBorders>
            <w:shd w:val="clear" w:color="auto" w:fill="auto"/>
            <w:vAlign w:val="center"/>
          </w:tcPr>
          <w:p w14:paraId="5337ADF3">
            <w:pPr>
              <w:widowControl/>
              <w:jc w:val="center"/>
              <w:rPr>
                <w:rFonts w:ascii="宋体" w:hAnsi="宋体" w:cs="宋体"/>
                <w:b/>
                <w:bCs/>
                <w:color w:val="000000"/>
                <w:kern w:val="0"/>
                <w:szCs w:val="21"/>
              </w:rPr>
            </w:pPr>
            <w:r>
              <w:rPr>
                <w:rFonts w:hint="eastAsia" w:ascii="宋体" w:hAnsi="宋体" w:cs="宋体"/>
                <w:b/>
                <w:bCs/>
                <w:color w:val="000000"/>
                <w:kern w:val="0"/>
                <w:szCs w:val="21"/>
              </w:rPr>
              <w:t>19</w:t>
            </w:r>
          </w:p>
        </w:tc>
      </w:tr>
      <w:tr w14:paraId="6A59DB39">
        <w:tblPrEx>
          <w:tblCellMar>
            <w:top w:w="0" w:type="dxa"/>
            <w:left w:w="108" w:type="dxa"/>
            <w:bottom w:w="0" w:type="dxa"/>
            <w:right w:w="108" w:type="dxa"/>
          </w:tblCellMar>
        </w:tblPrEx>
        <w:trPr>
          <w:trHeight w:val="501" w:hRule="atLeast"/>
          <w:jc w:val="center"/>
        </w:trPr>
        <w:tc>
          <w:tcPr>
            <w:tcW w:w="1107" w:type="dxa"/>
            <w:vMerge w:val="restart"/>
            <w:tcBorders>
              <w:top w:val="nil"/>
              <w:left w:val="single" w:color="auto" w:sz="12" w:space="0"/>
              <w:bottom w:val="single" w:color="auto" w:sz="4" w:space="0"/>
              <w:right w:val="single" w:color="auto" w:sz="4" w:space="0"/>
            </w:tcBorders>
            <w:shd w:val="clear" w:color="auto" w:fill="auto"/>
            <w:vAlign w:val="center"/>
          </w:tcPr>
          <w:p w14:paraId="018B6245">
            <w:pPr>
              <w:widowControl/>
              <w:jc w:val="center"/>
              <w:rPr>
                <w:rFonts w:ascii="宋体" w:hAnsi="宋体" w:cs="宋体"/>
                <w:color w:val="000000"/>
                <w:kern w:val="0"/>
                <w:szCs w:val="21"/>
              </w:rPr>
            </w:pPr>
            <w:r>
              <w:rPr>
                <w:rFonts w:hint="eastAsia" w:ascii="宋体" w:hAnsi="宋体" w:cs="宋体"/>
                <w:color w:val="000000"/>
                <w:kern w:val="0"/>
                <w:szCs w:val="21"/>
              </w:rPr>
              <w:t>二、过程（20分）</w:t>
            </w:r>
          </w:p>
        </w:tc>
        <w:tc>
          <w:tcPr>
            <w:tcW w:w="1321" w:type="dxa"/>
            <w:vMerge w:val="restart"/>
            <w:tcBorders>
              <w:top w:val="nil"/>
              <w:left w:val="single" w:color="auto" w:sz="4" w:space="0"/>
              <w:bottom w:val="single" w:color="000000" w:sz="4" w:space="0"/>
              <w:right w:val="single" w:color="auto" w:sz="4" w:space="0"/>
            </w:tcBorders>
            <w:shd w:val="clear" w:color="auto" w:fill="auto"/>
            <w:vAlign w:val="center"/>
          </w:tcPr>
          <w:p w14:paraId="44927481">
            <w:pPr>
              <w:widowControl/>
              <w:jc w:val="center"/>
              <w:rPr>
                <w:rFonts w:ascii="宋体" w:hAnsi="宋体" w:cs="宋体"/>
                <w:color w:val="000000"/>
                <w:kern w:val="0"/>
                <w:szCs w:val="21"/>
              </w:rPr>
            </w:pPr>
            <w:r>
              <w:rPr>
                <w:rFonts w:hint="eastAsia" w:ascii="宋体" w:hAnsi="宋体" w:cs="宋体"/>
                <w:color w:val="000000"/>
                <w:kern w:val="0"/>
                <w:szCs w:val="21"/>
              </w:rPr>
              <w:t>项目管理（10分）</w:t>
            </w:r>
          </w:p>
        </w:tc>
        <w:tc>
          <w:tcPr>
            <w:tcW w:w="2375" w:type="dxa"/>
            <w:tcBorders>
              <w:top w:val="nil"/>
              <w:left w:val="nil"/>
              <w:bottom w:val="single" w:color="auto" w:sz="4" w:space="0"/>
              <w:right w:val="single" w:color="auto" w:sz="4" w:space="0"/>
            </w:tcBorders>
            <w:shd w:val="clear" w:color="auto" w:fill="auto"/>
            <w:vAlign w:val="center"/>
          </w:tcPr>
          <w:p w14:paraId="18934B47">
            <w:pPr>
              <w:widowControl/>
              <w:jc w:val="left"/>
              <w:rPr>
                <w:rFonts w:ascii="宋体" w:hAnsi="宋体" w:cs="宋体"/>
                <w:color w:val="000000"/>
                <w:kern w:val="0"/>
                <w:szCs w:val="21"/>
              </w:rPr>
            </w:pPr>
            <w:r>
              <w:rPr>
                <w:rFonts w:hint="eastAsia" w:ascii="宋体" w:hAnsi="宋体" w:cs="宋体"/>
                <w:color w:val="000000"/>
                <w:kern w:val="0"/>
                <w:szCs w:val="21"/>
              </w:rPr>
              <w:t>管理制度健全性（5分）</w:t>
            </w:r>
          </w:p>
        </w:tc>
        <w:tc>
          <w:tcPr>
            <w:tcW w:w="4429" w:type="dxa"/>
            <w:tcBorders>
              <w:top w:val="nil"/>
              <w:left w:val="nil"/>
              <w:bottom w:val="single" w:color="auto" w:sz="4" w:space="0"/>
              <w:right w:val="single" w:color="auto" w:sz="4" w:space="0"/>
            </w:tcBorders>
            <w:shd w:val="clear" w:color="auto" w:fill="auto"/>
            <w:vAlign w:val="center"/>
          </w:tcPr>
          <w:p w14:paraId="6133F398">
            <w:pPr>
              <w:widowControl/>
              <w:jc w:val="left"/>
              <w:rPr>
                <w:rFonts w:ascii="宋体" w:hAnsi="宋体" w:cs="宋体"/>
                <w:color w:val="000000"/>
                <w:kern w:val="0"/>
                <w:szCs w:val="21"/>
              </w:rPr>
            </w:pPr>
            <w:r>
              <w:rPr>
                <w:rFonts w:hint="eastAsia" w:ascii="宋体" w:hAnsi="宋体" w:cs="宋体"/>
                <w:color w:val="000000"/>
                <w:kern w:val="0"/>
                <w:szCs w:val="21"/>
              </w:rPr>
              <w:t>项目管理制度是否健全，用以反映和考核项目管理制度对项目顺利实施的保障情况。</w:t>
            </w:r>
          </w:p>
        </w:tc>
        <w:tc>
          <w:tcPr>
            <w:tcW w:w="3982" w:type="dxa"/>
            <w:vMerge w:val="restart"/>
            <w:tcBorders>
              <w:top w:val="nil"/>
              <w:left w:val="single" w:color="auto" w:sz="4" w:space="0"/>
              <w:bottom w:val="single" w:color="000000" w:sz="4" w:space="0"/>
              <w:right w:val="single" w:color="auto" w:sz="4" w:space="0"/>
            </w:tcBorders>
            <w:shd w:val="clear" w:color="auto" w:fill="auto"/>
            <w:vAlign w:val="center"/>
          </w:tcPr>
          <w:p w14:paraId="1BCB4CD0">
            <w:pPr>
              <w:widowControl/>
              <w:jc w:val="left"/>
              <w:rPr>
                <w:rFonts w:ascii="宋体" w:hAnsi="宋体" w:cs="宋体"/>
                <w:color w:val="000000"/>
                <w:kern w:val="0"/>
                <w:szCs w:val="21"/>
              </w:rPr>
            </w:pPr>
            <w:r>
              <w:rPr>
                <w:rFonts w:hint="eastAsia" w:ascii="宋体" w:hAnsi="宋体" w:cs="宋体"/>
                <w:color w:val="000000"/>
                <w:kern w:val="0"/>
                <w:szCs w:val="21"/>
              </w:rPr>
              <w:t>建立了村级正常运转经费工作机制，合理发放行政村离任村主职干部生活补助，村级经费投入充足，经费发放公开、透明。</w:t>
            </w:r>
          </w:p>
        </w:tc>
        <w:tc>
          <w:tcPr>
            <w:tcW w:w="679" w:type="dxa"/>
            <w:tcBorders>
              <w:top w:val="nil"/>
              <w:left w:val="nil"/>
              <w:bottom w:val="single" w:color="auto" w:sz="4" w:space="0"/>
              <w:right w:val="single" w:color="auto" w:sz="12" w:space="0"/>
            </w:tcBorders>
            <w:shd w:val="clear" w:color="auto" w:fill="auto"/>
            <w:vAlign w:val="center"/>
          </w:tcPr>
          <w:p w14:paraId="1EB95887">
            <w:pPr>
              <w:widowControl/>
              <w:jc w:val="center"/>
              <w:rPr>
                <w:rFonts w:ascii="宋体" w:hAnsi="宋体" w:cs="宋体"/>
                <w:color w:val="000000"/>
                <w:kern w:val="0"/>
                <w:szCs w:val="21"/>
              </w:rPr>
            </w:pPr>
            <w:r>
              <w:rPr>
                <w:rFonts w:hint="eastAsia" w:ascii="宋体" w:hAnsi="宋体" w:cs="宋体"/>
                <w:color w:val="000000"/>
                <w:kern w:val="0"/>
                <w:szCs w:val="21"/>
              </w:rPr>
              <w:t>4</w:t>
            </w:r>
          </w:p>
        </w:tc>
      </w:tr>
      <w:tr w14:paraId="1A270149">
        <w:tblPrEx>
          <w:tblCellMar>
            <w:top w:w="0" w:type="dxa"/>
            <w:left w:w="108" w:type="dxa"/>
            <w:bottom w:w="0" w:type="dxa"/>
            <w:right w:w="108" w:type="dxa"/>
          </w:tblCellMar>
        </w:tblPrEx>
        <w:trPr>
          <w:trHeight w:val="501"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0B1FCC81">
            <w:pPr>
              <w:widowControl/>
              <w:jc w:val="left"/>
              <w:rPr>
                <w:rFonts w:ascii="宋体" w:hAnsi="宋体" w:cs="宋体"/>
                <w:color w:val="000000"/>
                <w:kern w:val="0"/>
                <w:szCs w:val="21"/>
              </w:rPr>
            </w:pPr>
          </w:p>
        </w:tc>
        <w:tc>
          <w:tcPr>
            <w:tcW w:w="1321" w:type="dxa"/>
            <w:vMerge w:val="continue"/>
            <w:tcBorders>
              <w:top w:val="nil"/>
              <w:left w:val="single" w:color="auto" w:sz="4" w:space="0"/>
              <w:bottom w:val="single" w:color="000000" w:sz="4" w:space="0"/>
              <w:right w:val="single" w:color="auto" w:sz="4" w:space="0"/>
            </w:tcBorders>
            <w:shd w:val="clear" w:color="auto" w:fill="auto"/>
            <w:vAlign w:val="center"/>
          </w:tcPr>
          <w:p w14:paraId="4A46CD28">
            <w:pPr>
              <w:widowControl/>
              <w:jc w:val="left"/>
              <w:rPr>
                <w:rFonts w:ascii="宋体" w:hAnsi="宋体" w:cs="宋体"/>
                <w:color w:val="000000"/>
                <w:kern w:val="0"/>
                <w:szCs w:val="21"/>
              </w:rPr>
            </w:pPr>
          </w:p>
        </w:tc>
        <w:tc>
          <w:tcPr>
            <w:tcW w:w="2375" w:type="dxa"/>
            <w:tcBorders>
              <w:top w:val="nil"/>
              <w:left w:val="nil"/>
              <w:bottom w:val="single" w:color="auto" w:sz="4" w:space="0"/>
              <w:right w:val="single" w:color="auto" w:sz="4" w:space="0"/>
            </w:tcBorders>
            <w:shd w:val="clear" w:color="auto" w:fill="auto"/>
            <w:vAlign w:val="center"/>
          </w:tcPr>
          <w:p w14:paraId="7F6E5F71">
            <w:pPr>
              <w:widowControl/>
              <w:jc w:val="left"/>
              <w:rPr>
                <w:rFonts w:ascii="宋体" w:hAnsi="宋体" w:cs="宋体"/>
                <w:color w:val="000000"/>
                <w:kern w:val="0"/>
                <w:szCs w:val="21"/>
              </w:rPr>
            </w:pPr>
            <w:r>
              <w:rPr>
                <w:rFonts w:hint="eastAsia" w:ascii="宋体" w:hAnsi="宋体" w:cs="宋体"/>
                <w:color w:val="000000"/>
                <w:kern w:val="0"/>
                <w:szCs w:val="21"/>
              </w:rPr>
              <w:t>管理制度执行有效性 （5分）</w:t>
            </w:r>
          </w:p>
        </w:tc>
        <w:tc>
          <w:tcPr>
            <w:tcW w:w="4429" w:type="dxa"/>
            <w:tcBorders>
              <w:top w:val="nil"/>
              <w:left w:val="nil"/>
              <w:bottom w:val="single" w:color="auto" w:sz="4" w:space="0"/>
              <w:right w:val="single" w:color="auto" w:sz="4" w:space="0"/>
            </w:tcBorders>
            <w:shd w:val="clear" w:color="auto" w:fill="auto"/>
            <w:vAlign w:val="center"/>
          </w:tcPr>
          <w:p w14:paraId="4B79207D">
            <w:pPr>
              <w:widowControl/>
              <w:jc w:val="left"/>
              <w:rPr>
                <w:rFonts w:ascii="宋体" w:hAnsi="宋体" w:cs="宋体"/>
                <w:color w:val="000000"/>
                <w:kern w:val="0"/>
                <w:szCs w:val="21"/>
              </w:rPr>
            </w:pPr>
            <w:r>
              <w:rPr>
                <w:rFonts w:hint="eastAsia" w:ascii="宋体" w:hAnsi="宋体" w:cs="宋体"/>
                <w:color w:val="000000"/>
                <w:kern w:val="0"/>
                <w:szCs w:val="21"/>
              </w:rPr>
              <w:t>项目实施是否符合相关项目管理规定，用以反映和考核项目管理制度的有效执行情况。</w:t>
            </w:r>
          </w:p>
        </w:tc>
        <w:tc>
          <w:tcPr>
            <w:tcW w:w="3982" w:type="dxa"/>
            <w:vMerge w:val="continue"/>
            <w:tcBorders>
              <w:top w:val="nil"/>
              <w:left w:val="single" w:color="auto" w:sz="4" w:space="0"/>
              <w:bottom w:val="single" w:color="000000" w:sz="4" w:space="0"/>
              <w:right w:val="single" w:color="auto" w:sz="4" w:space="0"/>
            </w:tcBorders>
            <w:shd w:val="clear" w:color="auto" w:fill="auto"/>
            <w:vAlign w:val="center"/>
          </w:tcPr>
          <w:p w14:paraId="12204EC8">
            <w:pPr>
              <w:widowControl/>
              <w:jc w:val="left"/>
              <w:rPr>
                <w:rFonts w:ascii="宋体" w:hAnsi="宋体" w:cs="宋体"/>
                <w:color w:val="000000"/>
                <w:kern w:val="0"/>
                <w:szCs w:val="21"/>
              </w:rPr>
            </w:pPr>
          </w:p>
        </w:tc>
        <w:tc>
          <w:tcPr>
            <w:tcW w:w="679" w:type="dxa"/>
            <w:tcBorders>
              <w:top w:val="nil"/>
              <w:left w:val="nil"/>
              <w:bottom w:val="single" w:color="auto" w:sz="4" w:space="0"/>
              <w:right w:val="single" w:color="auto" w:sz="12" w:space="0"/>
            </w:tcBorders>
            <w:shd w:val="clear" w:color="auto" w:fill="auto"/>
            <w:vAlign w:val="center"/>
          </w:tcPr>
          <w:p w14:paraId="65A3D4D3">
            <w:pPr>
              <w:widowControl/>
              <w:jc w:val="center"/>
              <w:rPr>
                <w:rFonts w:ascii="宋体" w:hAnsi="宋体" w:cs="宋体"/>
                <w:color w:val="000000"/>
                <w:kern w:val="0"/>
                <w:szCs w:val="21"/>
              </w:rPr>
            </w:pPr>
            <w:r>
              <w:rPr>
                <w:rFonts w:hint="eastAsia" w:ascii="宋体" w:hAnsi="宋体" w:cs="宋体"/>
                <w:color w:val="000000"/>
                <w:kern w:val="0"/>
                <w:szCs w:val="21"/>
              </w:rPr>
              <w:t>4</w:t>
            </w:r>
          </w:p>
        </w:tc>
      </w:tr>
      <w:tr w14:paraId="617068F5">
        <w:tblPrEx>
          <w:tblCellMar>
            <w:top w:w="0" w:type="dxa"/>
            <w:left w:w="108" w:type="dxa"/>
            <w:bottom w:w="0" w:type="dxa"/>
            <w:right w:w="108" w:type="dxa"/>
          </w:tblCellMar>
        </w:tblPrEx>
        <w:trPr>
          <w:trHeight w:val="752"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5E8D7BCE">
            <w:pPr>
              <w:widowControl/>
              <w:jc w:val="left"/>
              <w:rPr>
                <w:rFonts w:ascii="宋体" w:hAnsi="宋体" w:cs="宋体"/>
                <w:color w:val="000000"/>
                <w:kern w:val="0"/>
                <w:szCs w:val="21"/>
              </w:rPr>
            </w:pPr>
          </w:p>
        </w:tc>
        <w:tc>
          <w:tcPr>
            <w:tcW w:w="1321" w:type="dxa"/>
            <w:vMerge w:val="restart"/>
            <w:tcBorders>
              <w:top w:val="nil"/>
              <w:left w:val="single" w:color="auto" w:sz="4" w:space="0"/>
              <w:bottom w:val="single" w:color="000000" w:sz="4" w:space="0"/>
              <w:right w:val="single" w:color="auto" w:sz="4" w:space="0"/>
            </w:tcBorders>
            <w:shd w:val="clear" w:color="auto" w:fill="auto"/>
            <w:vAlign w:val="center"/>
          </w:tcPr>
          <w:p w14:paraId="039BE2F5">
            <w:pPr>
              <w:widowControl/>
              <w:jc w:val="center"/>
              <w:rPr>
                <w:rFonts w:ascii="宋体" w:hAnsi="宋体" w:cs="宋体"/>
                <w:color w:val="000000"/>
                <w:kern w:val="0"/>
                <w:szCs w:val="21"/>
              </w:rPr>
            </w:pPr>
            <w:r>
              <w:rPr>
                <w:rFonts w:hint="eastAsia" w:ascii="宋体" w:hAnsi="宋体" w:cs="宋体"/>
                <w:color w:val="000000"/>
                <w:kern w:val="0"/>
                <w:szCs w:val="21"/>
              </w:rPr>
              <w:t>财务管理（10分）</w:t>
            </w:r>
          </w:p>
        </w:tc>
        <w:tc>
          <w:tcPr>
            <w:tcW w:w="2375" w:type="dxa"/>
            <w:tcBorders>
              <w:top w:val="nil"/>
              <w:left w:val="nil"/>
              <w:bottom w:val="single" w:color="auto" w:sz="4" w:space="0"/>
              <w:right w:val="single" w:color="auto" w:sz="4" w:space="0"/>
            </w:tcBorders>
            <w:shd w:val="clear" w:color="auto" w:fill="auto"/>
            <w:vAlign w:val="center"/>
          </w:tcPr>
          <w:p w14:paraId="12069901">
            <w:pPr>
              <w:widowControl/>
              <w:jc w:val="left"/>
              <w:rPr>
                <w:rFonts w:ascii="宋体" w:hAnsi="宋体" w:cs="宋体"/>
                <w:color w:val="000000"/>
                <w:kern w:val="0"/>
                <w:szCs w:val="21"/>
              </w:rPr>
            </w:pPr>
            <w:r>
              <w:rPr>
                <w:rFonts w:hint="eastAsia" w:ascii="宋体" w:hAnsi="宋体" w:cs="宋体"/>
                <w:color w:val="000000"/>
                <w:kern w:val="0"/>
                <w:szCs w:val="21"/>
              </w:rPr>
              <w:t>财务制度健全性（5分）</w:t>
            </w:r>
          </w:p>
        </w:tc>
        <w:tc>
          <w:tcPr>
            <w:tcW w:w="4429" w:type="dxa"/>
            <w:tcBorders>
              <w:top w:val="nil"/>
              <w:left w:val="nil"/>
              <w:bottom w:val="single" w:color="auto" w:sz="4" w:space="0"/>
              <w:right w:val="single" w:color="auto" w:sz="4" w:space="0"/>
            </w:tcBorders>
            <w:shd w:val="clear" w:color="auto" w:fill="auto"/>
            <w:vAlign w:val="center"/>
          </w:tcPr>
          <w:p w14:paraId="5212A88B">
            <w:pPr>
              <w:widowControl/>
              <w:jc w:val="left"/>
              <w:rPr>
                <w:rFonts w:ascii="宋体" w:hAnsi="宋体" w:cs="宋体"/>
                <w:color w:val="000000"/>
                <w:kern w:val="0"/>
                <w:szCs w:val="21"/>
              </w:rPr>
            </w:pPr>
            <w:r>
              <w:rPr>
                <w:rFonts w:hint="eastAsia" w:ascii="宋体" w:hAnsi="宋体" w:cs="宋体"/>
                <w:color w:val="000000"/>
                <w:kern w:val="0"/>
                <w:szCs w:val="21"/>
              </w:rPr>
              <w:t>项目实施单位的财务制度是否健全，用以反映和考核财务管理制度对资金规范、安全运行的保障情况。</w:t>
            </w:r>
          </w:p>
        </w:tc>
        <w:tc>
          <w:tcPr>
            <w:tcW w:w="3982" w:type="dxa"/>
            <w:vMerge w:val="restart"/>
            <w:tcBorders>
              <w:top w:val="nil"/>
              <w:left w:val="single" w:color="auto" w:sz="4" w:space="0"/>
              <w:bottom w:val="single" w:color="000000" w:sz="4" w:space="0"/>
              <w:right w:val="single" w:color="auto" w:sz="4" w:space="0"/>
            </w:tcBorders>
            <w:shd w:val="clear" w:color="auto" w:fill="auto"/>
            <w:vAlign w:val="center"/>
          </w:tcPr>
          <w:p w14:paraId="5E8B5B3B">
            <w:pPr>
              <w:widowControl/>
              <w:jc w:val="left"/>
              <w:rPr>
                <w:rFonts w:hint="eastAsia" w:ascii="宋体" w:hAnsi="宋体" w:cs="宋体"/>
                <w:color w:val="000000"/>
                <w:kern w:val="0"/>
                <w:szCs w:val="21"/>
              </w:rPr>
            </w:pPr>
            <w:r>
              <w:rPr>
                <w:rFonts w:hint="eastAsia" w:ascii="宋体" w:hAnsi="宋体" w:cs="宋体"/>
                <w:color w:val="000000"/>
                <w:kern w:val="0"/>
                <w:szCs w:val="21"/>
              </w:rPr>
              <w:t>制订了严格的财务管理措施，尤其对各项经费的开支明确了授权和审核、签批流程，每项支出均有迹可循。</w:t>
            </w:r>
          </w:p>
          <w:p w14:paraId="45BB4289">
            <w:pPr>
              <w:widowControl/>
              <w:jc w:val="left"/>
              <w:rPr>
                <w:rFonts w:ascii="宋体" w:hAnsi="宋体" w:cs="宋体"/>
                <w:color w:val="000000"/>
                <w:kern w:val="0"/>
                <w:szCs w:val="21"/>
              </w:rPr>
            </w:pPr>
            <w:r>
              <w:rPr>
                <w:rFonts w:hint="eastAsia" w:ascii="宋体" w:hAnsi="宋体" w:cs="宋体"/>
                <w:color w:val="000000"/>
                <w:kern w:val="0"/>
                <w:szCs w:val="21"/>
              </w:rPr>
              <w:t>会计账簿中重要支出事项原始单据或记录手续齐全，单证规范，标准相符，财务把关严格，会计核算准确、完整。</w:t>
            </w:r>
          </w:p>
        </w:tc>
        <w:tc>
          <w:tcPr>
            <w:tcW w:w="679" w:type="dxa"/>
            <w:tcBorders>
              <w:top w:val="nil"/>
              <w:left w:val="nil"/>
              <w:bottom w:val="single" w:color="auto" w:sz="4" w:space="0"/>
              <w:right w:val="single" w:color="auto" w:sz="12" w:space="0"/>
            </w:tcBorders>
            <w:shd w:val="clear" w:color="auto" w:fill="auto"/>
            <w:vAlign w:val="center"/>
          </w:tcPr>
          <w:p w14:paraId="2A46B189">
            <w:pPr>
              <w:widowControl/>
              <w:jc w:val="center"/>
              <w:rPr>
                <w:rFonts w:ascii="宋体" w:hAnsi="宋体" w:cs="宋体"/>
                <w:color w:val="000000"/>
                <w:kern w:val="0"/>
                <w:szCs w:val="21"/>
              </w:rPr>
            </w:pPr>
            <w:r>
              <w:rPr>
                <w:rFonts w:hint="eastAsia" w:ascii="宋体" w:hAnsi="宋体" w:cs="宋体"/>
                <w:color w:val="000000"/>
                <w:kern w:val="0"/>
                <w:szCs w:val="21"/>
              </w:rPr>
              <w:t>4</w:t>
            </w:r>
          </w:p>
        </w:tc>
      </w:tr>
      <w:tr w14:paraId="3E78ABD1">
        <w:tblPrEx>
          <w:tblCellMar>
            <w:top w:w="0" w:type="dxa"/>
            <w:left w:w="108" w:type="dxa"/>
            <w:bottom w:w="0" w:type="dxa"/>
            <w:right w:w="108" w:type="dxa"/>
          </w:tblCellMar>
        </w:tblPrEx>
        <w:trPr>
          <w:trHeight w:val="752"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1B073FA6">
            <w:pPr>
              <w:widowControl/>
              <w:jc w:val="left"/>
              <w:rPr>
                <w:rFonts w:ascii="宋体" w:hAnsi="宋体" w:cs="宋体"/>
                <w:color w:val="000000"/>
                <w:kern w:val="0"/>
                <w:szCs w:val="21"/>
              </w:rPr>
            </w:pPr>
          </w:p>
        </w:tc>
        <w:tc>
          <w:tcPr>
            <w:tcW w:w="1321" w:type="dxa"/>
            <w:vMerge w:val="continue"/>
            <w:tcBorders>
              <w:top w:val="nil"/>
              <w:left w:val="single" w:color="auto" w:sz="4" w:space="0"/>
              <w:bottom w:val="single" w:color="000000" w:sz="4" w:space="0"/>
              <w:right w:val="single" w:color="auto" w:sz="4" w:space="0"/>
            </w:tcBorders>
            <w:shd w:val="clear" w:color="auto" w:fill="auto"/>
            <w:vAlign w:val="center"/>
          </w:tcPr>
          <w:p w14:paraId="7FC49AC5">
            <w:pPr>
              <w:widowControl/>
              <w:jc w:val="left"/>
              <w:rPr>
                <w:rFonts w:ascii="宋体" w:hAnsi="宋体" w:cs="宋体"/>
                <w:color w:val="000000"/>
                <w:kern w:val="0"/>
                <w:szCs w:val="21"/>
              </w:rPr>
            </w:pPr>
          </w:p>
        </w:tc>
        <w:tc>
          <w:tcPr>
            <w:tcW w:w="2375" w:type="dxa"/>
            <w:tcBorders>
              <w:top w:val="nil"/>
              <w:left w:val="nil"/>
              <w:bottom w:val="single" w:color="auto" w:sz="4" w:space="0"/>
              <w:right w:val="single" w:color="auto" w:sz="4" w:space="0"/>
            </w:tcBorders>
            <w:shd w:val="clear" w:color="auto" w:fill="auto"/>
            <w:vAlign w:val="center"/>
          </w:tcPr>
          <w:p w14:paraId="5056E281">
            <w:pPr>
              <w:widowControl/>
              <w:jc w:val="left"/>
              <w:rPr>
                <w:rFonts w:ascii="宋体" w:hAnsi="宋体" w:cs="宋体"/>
                <w:color w:val="000000"/>
                <w:kern w:val="0"/>
                <w:szCs w:val="21"/>
              </w:rPr>
            </w:pPr>
            <w:r>
              <w:rPr>
                <w:rFonts w:hint="eastAsia" w:ascii="宋体" w:hAnsi="宋体" w:cs="宋体"/>
                <w:color w:val="000000"/>
                <w:kern w:val="0"/>
                <w:szCs w:val="21"/>
              </w:rPr>
              <w:t>财务制度执行有效性 （5分）</w:t>
            </w:r>
          </w:p>
        </w:tc>
        <w:tc>
          <w:tcPr>
            <w:tcW w:w="4429" w:type="dxa"/>
            <w:tcBorders>
              <w:top w:val="nil"/>
              <w:left w:val="nil"/>
              <w:bottom w:val="single" w:color="auto" w:sz="4" w:space="0"/>
              <w:right w:val="single" w:color="auto" w:sz="4" w:space="0"/>
            </w:tcBorders>
            <w:shd w:val="clear" w:color="auto" w:fill="auto"/>
            <w:vAlign w:val="center"/>
          </w:tcPr>
          <w:p w14:paraId="5F637A76">
            <w:pPr>
              <w:widowControl/>
              <w:jc w:val="left"/>
              <w:rPr>
                <w:rFonts w:ascii="宋体" w:hAnsi="宋体" w:cs="宋体"/>
                <w:color w:val="000000"/>
                <w:kern w:val="0"/>
                <w:szCs w:val="21"/>
              </w:rPr>
            </w:pPr>
            <w:r>
              <w:rPr>
                <w:rFonts w:hint="eastAsia" w:ascii="宋体" w:hAnsi="宋体" w:cs="宋体"/>
                <w:color w:val="000000"/>
                <w:kern w:val="0"/>
                <w:szCs w:val="21"/>
              </w:rPr>
              <w:t>项目资金使用和监管是否符合相关的财务管理制度规定，用以反映和考核项目资金的规范运行和安全保障情况。</w:t>
            </w:r>
          </w:p>
        </w:tc>
        <w:tc>
          <w:tcPr>
            <w:tcW w:w="3982" w:type="dxa"/>
            <w:vMerge w:val="continue"/>
            <w:tcBorders>
              <w:top w:val="nil"/>
              <w:left w:val="single" w:color="auto" w:sz="4" w:space="0"/>
              <w:bottom w:val="single" w:color="000000" w:sz="4" w:space="0"/>
              <w:right w:val="single" w:color="auto" w:sz="4" w:space="0"/>
            </w:tcBorders>
            <w:shd w:val="clear" w:color="auto" w:fill="auto"/>
            <w:vAlign w:val="center"/>
          </w:tcPr>
          <w:p w14:paraId="3E533280">
            <w:pPr>
              <w:widowControl/>
              <w:jc w:val="left"/>
              <w:rPr>
                <w:rFonts w:ascii="宋体" w:hAnsi="宋体" w:cs="宋体"/>
                <w:color w:val="000000"/>
                <w:kern w:val="0"/>
                <w:szCs w:val="21"/>
              </w:rPr>
            </w:pPr>
          </w:p>
        </w:tc>
        <w:tc>
          <w:tcPr>
            <w:tcW w:w="679" w:type="dxa"/>
            <w:tcBorders>
              <w:top w:val="nil"/>
              <w:left w:val="nil"/>
              <w:bottom w:val="single" w:color="auto" w:sz="4" w:space="0"/>
              <w:right w:val="single" w:color="auto" w:sz="12" w:space="0"/>
            </w:tcBorders>
            <w:shd w:val="clear" w:color="auto" w:fill="auto"/>
            <w:vAlign w:val="center"/>
          </w:tcPr>
          <w:p w14:paraId="3231CAA4">
            <w:pPr>
              <w:widowControl/>
              <w:jc w:val="center"/>
              <w:rPr>
                <w:rFonts w:ascii="宋体" w:hAnsi="宋体" w:cs="宋体"/>
                <w:color w:val="000000"/>
                <w:kern w:val="0"/>
                <w:szCs w:val="21"/>
              </w:rPr>
            </w:pPr>
            <w:r>
              <w:rPr>
                <w:rFonts w:hint="eastAsia" w:ascii="宋体" w:hAnsi="宋体" w:cs="宋体"/>
                <w:color w:val="000000"/>
                <w:kern w:val="0"/>
                <w:szCs w:val="21"/>
              </w:rPr>
              <w:t>4</w:t>
            </w:r>
          </w:p>
        </w:tc>
      </w:tr>
      <w:tr w14:paraId="2B428DD2">
        <w:tblPrEx>
          <w:tblCellMar>
            <w:top w:w="0" w:type="dxa"/>
            <w:left w:w="108" w:type="dxa"/>
            <w:bottom w:w="0" w:type="dxa"/>
            <w:right w:w="108" w:type="dxa"/>
          </w:tblCellMar>
        </w:tblPrEx>
        <w:trPr>
          <w:trHeight w:val="522" w:hRule="atLeast"/>
          <w:jc w:val="center"/>
        </w:trPr>
        <w:tc>
          <w:tcPr>
            <w:tcW w:w="13214"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4F796A40">
            <w:pPr>
              <w:widowControl/>
              <w:jc w:val="center"/>
              <w:rPr>
                <w:rFonts w:ascii="宋体" w:hAnsi="宋体" w:cs="宋体"/>
                <w:b/>
                <w:bCs/>
                <w:color w:val="000000"/>
                <w:kern w:val="0"/>
                <w:szCs w:val="21"/>
              </w:rPr>
            </w:pPr>
            <w:r>
              <w:rPr>
                <w:rFonts w:hint="eastAsia" w:ascii="宋体" w:hAnsi="宋体" w:cs="宋体"/>
                <w:b/>
                <w:bCs/>
                <w:color w:val="000000"/>
                <w:kern w:val="0"/>
                <w:szCs w:val="21"/>
              </w:rPr>
              <w:t>过程指标得分小计</w:t>
            </w:r>
          </w:p>
        </w:tc>
        <w:tc>
          <w:tcPr>
            <w:tcW w:w="679" w:type="dxa"/>
            <w:tcBorders>
              <w:top w:val="nil"/>
              <w:left w:val="nil"/>
              <w:bottom w:val="single" w:color="auto" w:sz="4" w:space="0"/>
              <w:right w:val="single" w:color="auto" w:sz="12" w:space="0"/>
            </w:tcBorders>
            <w:shd w:val="clear" w:color="auto" w:fill="auto"/>
            <w:vAlign w:val="center"/>
          </w:tcPr>
          <w:p w14:paraId="491B763C">
            <w:pPr>
              <w:widowControl/>
              <w:jc w:val="center"/>
              <w:rPr>
                <w:rFonts w:ascii="宋体" w:hAnsi="宋体" w:cs="宋体"/>
                <w:b/>
                <w:bCs/>
                <w:color w:val="000000"/>
                <w:kern w:val="0"/>
                <w:szCs w:val="21"/>
              </w:rPr>
            </w:pPr>
            <w:r>
              <w:rPr>
                <w:rFonts w:hint="eastAsia" w:ascii="宋体" w:hAnsi="宋体" w:cs="宋体"/>
                <w:b/>
                <w:bCs/>
                <w:color w:val="000000"/>
                <w:kern w:val="0"/>
                <w:szCs w:val="21"/>
              </w:rPr>
              <w:t>16</w:t>
            </w:r>
          </w:p>
        </w:tc>
      </w:tr>
      <w:tr w14:paraId="4C682009">
        <w:tblPrEx>
          <w:tblCellMar>
            <w:top w:w="0" w:type="dxa"/>
            <w:left w:w="108" w:type="dxa"/>
            <w:bottom w:w="0" w:type="dxa"/>
            <w:right w:w="108" w:type="dxa"/>
          </w:tblCellMar>
        </w:tblPrEx>
        <w:trPr>
          <w:trHeight w:val="501" w:hRule="atLeast"/>
          <w:jc w:val="center"/>
        </w:trPr>
        <w:tc>
          <w:tcPr>
            <w:tcW w:w="1107" w:type="dxa"/>
            <w:vMerge w:val="restart"/>
            <w:tcBorders>
              <w:top w:val="nil"/>
              <w:left w:val="single" w:color="auto" w:sz="12" w:space="0"/>
              <w:bottom w:val="single" w:color="auto" w:sz="4" w:space="0"/>
              <w:right w:val="single" w:color="auto" w:sz="4" w:space="0"/>
            </w:tcBorders>
            <w:shd w:val="clear" w:color="auto" w:fill="auto"/>
            <w:vAlign w:val="center"/>
          </w:tcPr>
          <w:p w14:paraId="1FC4A02F">
            <w:pPr>
              <w:widowControl/>
              <w:jc w:val="center"/>
              <w:rPr>
                <w:rFonts w:ascii="宋体" w:hAnsi="宋体" w:cs="宋体"/>
                <w:color w:val="000000"/>
                <w:kern w:val="0"/>
                <w:szCs w:val="21"/>
              </w:rPr>
            </w:pPr>
            <w:r>
              <w:rPr>
                <w:rFonts w:hint="eastAsia" w:ascii="宋体" w:hAnsi="宋体" w:cs="宋体"/>
                <w:color w:val="000000"/>
                <w:kern w:val="0"/>
                <w:szCs w:val="21"/>
              </w:rPr>
              <w:t>三、产出（30分）</w:t>
            </w:r>
          </w:p>
        </w:tc>
        <w:tc>
          <w:tcPr>
            <w:tcW w:w="1321" w:type="dxa"/>
            <w:tcBorders>
              <w:top w:val="nil"/>
              <w:left w:val="single" w:color="auto" w:sz="4" w:space="0"/>
              <w:bottom w:val="single" w:color="000000" w:sz="4" w:space="0"/>
              <w:right w:val="single" w:color="auto" w:sz="4" w:space="0"/>
            </w:tcBorders>
            <w:shd w:val="clear" w:color="auto" w:fill="auto"/>
            <w:vAlign w:val="center"/>
          </w:tcPr>
          <w:p w14:paraId="52003598">
            <w:pPr>
              <w:widowControl/>
              <w:jc w:val="center"/>
              <w:rPr>
                <w:rFonts w:ascii="宋体" w:hAnsi="宋体" w:cs="宋体"/>
                <w:color w:val="000000"/>
                <w:kern w:val="0"/>
                <w:szCs w:val="21"/>
              </w:rPr>
            </w:pPr>
            <w:r>
              <w:rPr>
                <w:rFonts w:hint="eastAsia" w:ascii="宋体" w:hAnsi="宋体" w:cs="宋体"/>
                <w:color w:val="000000"/>
                <w:kern w:val="0"/>
                <w:szCs w:val="21"/>
              </w:rPr>
              <w:t>数量指标（15分）</w:t>
            </w:r>
          </w:p>
        </w:tc>
        <w:tc>
          <w:tcPr>
            <w:tcW w:w="2375" w:type="dxa"/>
            <w:tcBorders>
              <w:top w:val="nil"/>
              <w:left w:val="nil"/>
              <w:bottom w:val="single" w:color="auto" w:sz="4" w:space="0"/>
              <w:right w:val="single" w:color="auto" w:sz="4" w:space="0"/>
            </w:tcBorders>
            <w:shd w:val="clear" w:color="auto" w:fill="auto"/>
            <w:vAlign w:val="center"/>
          </w:tcPr>
          <w:p w14:paraId="70823EFB">
            <w:pPr>
              <w:widowControl/>
              <w:jc w:val="left"/>
              <w:rPr>
                <w:rFonts w:ascii="宋体" w:hAnsi="宋体" w:cs="宋体"/>
                <w:color w:val="000000"/>
                <w:kern w:val="0"/>
                <w:szCs w:val="21"/>
              </w:rPr>
            </w:pPr>
            <w:r>
              <w:rPr>
                <w:rFonts w:hint="eastAsia" w:ascii="宋体" w:hAnsi="宋体" w:cs="宋体"/>
                <w:color w:val="000000"/>
                <w:kern w:val="0"/>
                <w:szCs w:val="21"/>
              </w:rPr>
              <w:t>离任村主职干部生活补助（15分）</w:t>
            </w:r>
          </w:p>
        </w:tc>
        <w:tc>
          <w:tcPr>
            <w:tcW w:w="4429" w:type="dxa"/>
            <w:tcBorders>
              <w:top w:val="nil"/>
              <w:left w:val="nil"/>
              <w:bottom w:val="single" w:color="auto" w:sz="4" w:space="0"/>
              <w:right w:val="single" w:color="auto" w:sz="4" w:space="0"/>
            </w:tcBorders>
            <w:shd w:val="clear" w:color="auto" w:fill="auto"/>
            <w:vAlign w:val="center"/>
          </w:tcPr>
          <w:p w14:paraId="68FAD5D5">
            <w:pPr>
              <w:widowControl/>
              <w:jc w:val="left"/>
              <w:rPr>
                <w:rFonts w:ascii="宋体" w:hAnsi="宋体" w:cs="宋体"/>
                <w:color w:val="000000"/>
                <w:kern w:val="0"/>
                <w:szCs w:val="21"/>
              </w:rPr>
            </w:pPr>
            <w:r>
              <w:rPr>
                <w:rFonts w:hint="eastAsia" w:ascii="宋体" w:hAnsi="宋体" w:cs="宋体"/>
                <w:color w:val="000000"/>
                <w:kern w:val="0"/>
                <w:szCs w:val="21"/>
              </w:rPr>
              <w:t>离任村主职干部生活补助13.36万元，用于离任村主职干部生活补助，标准为30人年享受补贴13.36万元</w:t>
            </w:r>
          </w:p>
        </w:tc>
        <w:tc>
          <w:tcPr>
            <w:tcW w:w="3982" w:type="dxa"/>
            <w:tcBorders>
              <w:top w:val="nil"/>
              <w:left w:val="nil"/>
              <w:bottom w:val="single" w:color="auto" w:sz="4" w:space="0"/>
              <w:right w:val="single" w:color="auto" w:sz="4" w:space="0"/>
            </w:tcBorders>
            <w:shd w:val="clear" w:color="auto" w:fill="auto"/>
            <w:vAlign w:val="center"/>
          </w:tcPr>
          <w:p w14:paraId="139C36DF">
            <w:pPr>
              <w:widowControl/>
              <w:jc w:val="center"/>
              <w:rPr>
                <w:rFonts w:ascii="宋体" w:hAnsi="宋体" w:cs="宋体"/>
                <w:color w:val="000000"/>
                <w:kern w:val="0"/>
                <w:szCs w:val="21"/>
              </w:rPr>
            </w:pPr>
            <w:r>
              <w:rPr>
                <w:rFonts w:hint="eastAsia" w:ascii="宋体" w:hAnsi="宋体" w:cs="宋体"/>
                <w:color w:val="000000"/>
                <w:kern w:val="0"/>
                <w:szCs w:val="21"/>
              </w:rPr>
              <w:t>13.36万元</w:t>
            </w:r>
          </w:p>
        </w:tc>
        <w:tc>
          <w:tcPr>
            <w:tcW w:w="679" w:type="dxa"/>
            <w:tcBorders>
              <w:top w:val="nil"/>
              <w:left w:val="nil"/>
              <w:bottom w:val="single" w:color="auto" w:sz="4" w:space="0"/>
              <w:right w:val="single" w:color="auto" w:sz="12" w:space="0"/>
            </w:tcBorders>
            <w:shd w:val="clear" w:color="auto" w:fill="auto"/>
            <w:vAlign w:val="center"/>
          </w:tcPr>
          <w:p w14:paraId="18AE0848">
            <w:pPr>
              <w:widowControl/>
              <w:jc w:val="center"/>
              <w:rPr>
                <w:rFonts w:ascii="宋体" w:hAnsi="宋体" w:cs="宋体"/>
                <w:color w:val="000000"/>
                <w:kern w:val="0"/>
                <w:szCs w:val="21"/>
              </w:rPr>
            </w:pPr>
            <w:r>
              <w:rPr>
                <w:rFonts w:hint="eastAsia" w:ascii="宋体" w:hAnsi="宋体" w:cs="宋体"/>
                <w:color w:val="000000"/>
                <w:kern w:val="0"/>
                <w:szCs w:val="21"/>
              </w:rPr>
              <w:t>15</w:t>
            </w:r>
          </w:p>
        </w:tc>
      </w:tr>
      <w:tr w14:paraId="34AF5105">
        <w:tblPrEx>
          <w:tblCellMar>
            <w:top w:w="0" w:type="dxa"/>
            <w:left w:w="108" w:type="dxa"/>
            <w:bottom w:w="0" w:type="dxa"/>
            <w:right w:w="108" w:type="dxa"/>
          </w:tblCellMar>
        </w:tblPrEx>
        <w:trPr>
          <w:trHeight w:val="501"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6AB2C2A3">
            <w:pPr>
              <w:widowControl/>
              <w:jc w:val="left"/>
              <w:rPr>
                <w:rFonts w:ascii="宋体" w:hAnsi="宋体" w:cs="宋体"/>
                <w:color w:val="000000"/>
                <w:kern w:val="0"/>
                <w:szCs w:val="21"/>
              </w:rPr>
            </w:pPr>
          </w:p>
        </w:tc>
        <w:tc>
          <w:tcPr>
            <w:tcW w:w="1321" w:type="dxa"/>
            <w:tcBorders>
              <w:top w:val="nil"/>
              <w:left w:val="single" w:color="auto" w:sz="4" w:space="0"/>
              <w:bottom w:val="single" w:color="000000" w:sz="4" w:space="0"/>
              <w:right w:val="single" w:color="auto" w:sz="4" w:space="0"/>
            </w:tcBorders>
            <w:shd w:val="clear" w:color="auto" w:fill="auto"/>
            <w:vAlign w:val="center"/>
          </w:tcPr>
          <w:p w14:paraId="51100373">
            <w:pPr>
              <w:widowControl/>
              <w:jc w:val="center"/>
              <w:rPr>
                <w:rFonts w:ascii="宋体" w:hAnsi="宋体" w:cs="宋体"/>
                <w:color w:val="000000"/>
                <w:kern w:val="0"/>
                <w:szCs w:val="21"/>
              </w:rPr>
            </w:pPr>
            <w:r>
              <w:rPr>
                <w:rFonts w:hint="eastAsia" w:ascii="宋体" w:hAnsi="宋体" w:cs="宋体"/>
                <w:color w:val="000000"/>
                <w:kern w:val="0"/>
                <w:szCs w:val="21"/>
              </w:rPr>
              <w:t>质量指标（10分）</w:t>
            </w:r>
          </w:p>
        </w:tc>
        <w:tc>
          <w:tcPr>
            <w:tcW w:w="2375" w:type="dxa"/>
            <w:tcBorders>
              <w:top w:val="nil"/>
              <w:left w:val="nil"/>
              <w:bottom w:val="single" w:color="auto" w:sz="4" w:space="0"/>
              <w:right w:val="single" w:color="auto" w:sz="4" w:space="0"/>
            </w:tcBorders>
            <w:shd w:val="clear" w:color="auto" w:fill="auto"/>
            <w:vAlign w:val="center"/>
          </w:tcPr>
          <w:p w14:paraId="698F56EF">
            <w:pPr>
              <w:widowControl/>
              <w:jc w:val="left"/>
              <w:rPr>
                <w:rFonts w:ascii="宋体" w:hAnsi="宋体" w:cs="宋体"/>
                <w:color w:val="000000"/>
                <w:kern w:val="0"/>
                <w:szCs w:val="21"/>
              </w:rPr>
            </w:pPr>
            <w:r>
              <w:rPr>
                <w:rFonts w:hint="eastAsia" w:ascii="宋体" w:hAnsi="宋体" w:cs="宋体"/>
                <w:color w:val="000000"/>
                <w:kern w:val="0"/>
                <w:szCs w:val="21"/>
              </w:rPr>
              <w:t>离任村主职干部生活补助发放率（10分）</w:t>
            </w:r>
          </w:p>
        </w:tc>
        <w:tc>
          <w:tcPr>
            <w:tcW w:w="4429" w:type="dxa"/>
            <w:tcBorders>
              <w:top w:val="nil"/>
              <w:left w:val="nil"/>
              <w:bottom w:val="single" w:color="auto" w:sz="4" w:space="0"/>
              <w:right w:val="single" w:color="auto" w:sz="4" w:space="0"/>
            </w:tcBorders>
            <w:shd w:val="clear" w:color="auto" w:fill="auto"/>
            <w:vAlign w:val="center"/>
          </w:tcPr>
          <w:p w14:paraId="76ECE49E">
            <w:pPr>
              <w:widowControl/>
              <w:jc w:val="left"/>
              <w:rPr>
                <w:rFonts w:ascii="宋体" w:hAnsi="宋体" w:cs="宋体"/>
                <w:color w:val="000000"/>
                <w:kern w:val="0"/>
                <w:szCs w:val="21"/>
              </w:rPr>
            </w:pPr>
            <w:r>
              <w:rPr>
                <w:rFonts w:hint="eastAsia" w:ascii="宋体" w:hAnsi="宋体" w:cs="宋体"/>
                <w:color w:val="000000"/>
                <w:kern w:val="0"/>
                <w:szCs w:val="21"/>
              </w:rPr>
              <w:t>离任村主职干部生活补助发放率为100.00%</w:t>
            </w:r>
          </w:p>
        </w:tc>
        <w:tc>
          <w:tcPr>
            <w:tcW w:w="3982" w:type="dxa"/>
            <w:tcBorders>
              <w:top w:val="nil"/>
              <w:left w:val="nil"/>
              <w:bottom w:val="single" w:color="auto" w:sz="4" w:space="0"/>
              <w:right w:val="single" w:color="auto" w:sz="4" w:space="0"/>
            </w:tcBorders>
            <w:shd w:val="clear" w:color="auto" w:fill="auto"/>
            <w:vAlign w:val="center"/>
          </w:tcPr>
          <w:p w14:paraId="71C4271B">
            <w:pPr>
              <w:widowControl/>
              <w:jc w:val="center"/>
              <w:rPr>
                <w:rFonts w:ascii="宋体" w:hAnsi="宋体" w:cs="宋体"/>
                <w:color w:val="000000"/>
                <w:kern w:val="0"/>
                <w:szCs w:val="21"/>
              </w:rPr>
            </w:pPr>
            <w:r>
              <w:rPr>
                <w:rFonts w:hint="eastAsia" w:ascii="宋体" w:hAnsi="宋体" w:cs="宋体"/>
                <w:color w:val="000000"/>
                <w:kern w:val="0"/>
                <w:szCs w:val="21"/>
              </w:rPr>
              <w:t>100.00%</w:t>
            </w:r>
          </w:p>
        </w:tc>
        <w:tc>
          <w:tcPr>
            <w:tcW w:w="679" w:type="dxa"/>
            <w:tcBorders>
              <w:top w:val="nil"/>
              <w:left w:val="nil"/>
              <w:bottom w:val="single" w:color="auto" w:sz="4" w:space="0"/>
              <w:right w:val="single" w:color="auto" w:sz="12" w:space="0"/>
            </w:tcBorders>
            <w:shd w:val="clear" w:color="auto" w:fill="auto"/>
            <w:vAlign w:val="center"/>
          </w:tcPr>
          <w:p w14:paraId="193A60EC">
            <w:pPr>
              <w:widowControl/>
              <w:jc w:val="center"/>
              <w:rPr>
                <w:rFonts w:ascii="宋体" w:hAnsi="宋体" w:cs="宋体"/>
                <w:color w:val="000000"/>
                <w:kern w:val="0"/>
                <w:szCs w:val="21"/>
              </w:rPr>
            </w:pPr>
            <w:r>
              <w:rPr>
                <w:rFonts w:hint="eastAsia" w:ascii="宋体" w:hAnsi="宋体" w:cs="宋体"/>
                <w:color w:val="000000"/>
                <w:kern w:val="0"/>
                <w:szCs w:val="21"/>
              </w:rPr>
              <w:t>10</w:t>
            </w:r>
          </w:p>
        </w:tc>
      </w:tr>
      <w:tr w14:paraId="40D39CE4">
        <w:tblPrEx>
          <w:tblCellMar>
            <w:top w:w="0" w:type="dxa"/>
            <w:left w:w="108" w:type="dxa"/>
            <w:bottom w:w="0" w:type="dxa"/>
            <w:right w:w="108" w:type="dxa"/>
          </w:tblCellMar>
        </w:tblPrEx>
        <w:trPr>
          <w:trHeight w:val="501"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791F2E99">
            <w:pPr>
              <w:widowControl/>
              <w:jc w:val="left"/>
              <w:rPr>
                <w:rFonts w:ascii="宋体" w:hAnsi="宋体" w:cs="宋体"/>
                <w:color w:val="000000"/>
                <w:kern w:val="0"/>
                <w:szCs w:val="21"/>
              </w:rPr>
            </w:pPr>
          </w:p>
        </w:tc>
        <w:tc>
          <w:tcPr>
            <w:tcW w:w="1321" w:type="dxa"/>
            <w:tcBorders>
              <w:top w:val="nil"/>
              <w:left w:val="nil"/>
              <w:bottom w:val="single" w:color="auto" w:sz="4" w:space="0"/>
              <w:right w:val="single" w:color="auto" w:sz="4" w:space="0"/>
            </w:tcBorders>
            <w:shd w:val="clear" w:color="auto" w:fill="auto"/>
            <w:vAlign w:val="center"/>
          </w:tcPr>
          <w:p w14:paraId="7B59D904">
            <w:pPr>
              <w:widowControl/>
              <w:jc w:val="center"/>
              <w:rPr>
                <w:rFonts w:ascii="宋体" w:hAnsi="宋体" w:cs="宋体"/>
                <w:color w:val="000000"/>
                <w:kern w:val="0"/>
                <w:szCs w:val="21"/>
              </w:rPr>
            </w:pPr>
            <w:r>
              <w:rPr>
                <w:rFonts w:hint="eastAsia" w:ascii="宋体" w:hAnsi="宋体" w:cs="宋体"/>
                <w:color w:val="000000"/>
                <w:kern w:val="0"/>
                <w:szCs w:val="21"/>
              </w:rPr>
              <w:t>时效指标  （5分）</w:t>
            </w:r>
          </w:p>
        </w:tc>
        <w:tc>
          <w:tcPr>
            <w:tcW w:w="2375" w:type="dxa"/>
            <w:tcBorders>
              <w:top w:val="nil"/>
              <w:left w:val="nil"/>
              <w:bottom w:val="single" w:color="auto" w:sz="4" w:space="0"/>
              <w:right w:val="single" w:color="auto" w:sz="4" w:space="0"/>
            </w:tcBorders>
            <w:shd w:val="clear" w:color="auto" w:fill="auto"/>
            <w:vAlign w:val="center"/>
          </w:tcPr>
          <w:p w14:paraId="53D3EAFE">
            <w:pPr>
              <w:widowControl/>
              <w:jc w:val="left"/>
              <w:rPr>
                <w:rFonts w:ascii="宋体" w:hAnsi="宋体" w:cs="宋体"/>
                <w:color w:val="000000"/>
                <w:kern w:val="0"/>
                <w:szCs w:val="21"/>
              </w:rPr>
            </w:pPr>
            <w:r>
              <w:rPr>
                <w:rFonts w:hint="eastAsia" w:ascii="宋体" w:hAnsi="宋体" w:cs="宋体"/>
                <w:color w:val="000000"/>
                <w:kern w:val="0"/>
                <w:szCs w:val="21"/>
              </w:rPr>
              <w:t>经费及时发放（5分）</w:t>
            </w:r>
          </w:p>
        </w:tc>
        <w:tc>
          <w:tcPr>
            <w:tcW w:w="4429" w:type="dxa"/>
            <w:tcBorders>
              <w:top w:val="nil"/>
              <w:left w:val="nil"/>
              <w:bottom w:val="single" w:color="auto" w:sz="4" w:space="0"/>
              <w:right w:val="single" w:color="auto" w:sz="4" w:space="0"/>
            </w:tcBorders>
            <w:shd w:val="clear" w:color="auto" w:fill="auto"/>
            <w:vAlign w:val="center"/>
          </w:tcPr>
          <w:p w14:paraId="250BC319">
            <w:pPr>
              <w:widowControl/>
              <w:jc w:val="left"/>
              <w:rPr>
                <w:rFonts w:ascii="宋体" w:hAnsi="宋体" w:cs="宋体"/>
                <w:color w:val="000000"/>
                <w:kern w:val="0"/>
                <w:szCs w:val="21"/>
              </w:rPr>
            </w:pPr>
            <w:r>
              <w:rPr>
                <w:rFonts w:hint="eastAsia" w:ascii="宋体" w:hAnsi="宋体" w:cs="宋体"/>
                <w:color w:val="000000"/>
                <w:kern w:val="0"/>
                <w:szCs w:val="21"/>
              </w:rPr>
              <w:t>每月定期发放</w:t>
            </w:r>
          </w:p>
        </w:tc>
        <w:tc>
          <w:tcPr>
            <w:tcW w:w="3982" w:type="dxa"/>
            <w:tcBorders>
              <w:top w:val="nil"/>
              <w:left w:val="nil"/>
              <w:bottom w:val="single" w:color="auto" w:sz="4" w:space="0"/>
              <w:right w:val="single" w:color="auto" w:sz="4" w:space="0"/>
            </w:tcBorders>
            <w:shd w:val="clear" w:color="auto" w:fill="auto"/>
            <w:vAlign w:val="center"/>
          </w:tcPr>
          <w:p w14:paraId="0831047B">
            <w:pPr>
              <w:widowControl/>
              <w:jc w:val="center"/>
              <w:rPr>
                <w:rFonts w:ascii="宋体" w:hAnsi="宋体" w:cs="宋体"/>
                <w:color w:val="000000"/>
                <w:kern w:val="0"/>
                <w:szCs w:val="21"/>
              </w:rPr>
            </w:pPr>
            <w:r>
              <w:rPr>
                <w:rFonts w:hint="eastAsia" w:ascii="宋体" w:hAnsi="宋体" w:cs="宋体"/>
                <w:color w:val="000000"/>
                <w:kern w:val="0"/>
                <w:szCs w:val="21"/>
              </w:rPr>
              <w:t>每月定期发放</w:t>
            </w:r>
          </w:p>
        </w:tc>
        <w:tc>
          <w:tcPr>
            <w:tcW w:w="679" w:type="dxa"/>
            <w:tcBorders>
              <w:top w:val="nil"/>
              <w:left w:val="nil"/>
              <w:bottom w:val="single" w:color="auto" w:sz="4" w:space="0"/>
              <w:right w:val="single" w:color="auto" w:sz="12" w:space="0"/>
            </w:tcBorders>
            <w:shd w:val="clear" w:color="auto" w:fill="auto"/>
            <w:vAlign w:val="center"/>
          </w:tcPr>
          <w:p w14:paraId="575074A8">
            <w:pPr>
              <w:widowControl/>
              <w:jc w:val="center"/>
              <w:rPr>
                <w:rFonts w:ascii="宋体" w:hAnsi="宋体" w:cs="宋体"/>
                <w:color w:val="000000"/>
                <w:kern w:val="0"/>
                <w:szCs w:val="21"/>
              </w:rPr>
            </w:pPr>
            <w:r>
              <w:rPr>
                <w:rFonts w:hint="eastAsia" w:ascii="宋体" w:hAnsi="宋体" w:cs="宋体"/>
                <w:color w:val="000000"/>
                <w:kern w:val="0"/>
                <w:szCs w:val="21"/>
              </w:rPr>
              <w:t>5</w:t>
            </w:r>
          </w:p>
        </w:tc>
      </w:tr>
      <w:tr w14:paraId="1E5C40F0">
        <w:tblPrEx>
          <w:tblCellMar>
            <w:top w:w="0" w:type="dxa"/>
            <w:left w:w="108" w:type="dxa"/>
            <w:bottom w:w="0" w:type="dxa"/>
            <w:right w:w="108" w:type="dxa"/>
          </w:tblCellMar>
        </w:tblPrEx>
        <w:trPr>
          <w:trHeight w:val="522" w:hRule="atLeast"/>
          <w:jc w:val="center"/>
        </w:trPr>
        <w:tc>
          <w:tcPr>
            <w:tcW w:w="13214"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0DDC8B8E">
            <w:pPr>
              <w:widowControl/>
              <w:jc w:val="center"/>
              <w:rPr>
                <w:rFonts w:ascii="宋体" w:hAnsi="宋体" w:cs="宋体"/>
                <w:b/>
                <w:bCs/>
                <w:color w:val="000000"/>
                <w:kern w:val="0"/>
                <w:szCs w:val="21"/>
              </w:rPr>
            </w:pPr>
            <w:r>
              <w:rPr>
                <w:rFonts w:hint="eastAsia" w:ascii="宋体" w:hAnsi="宋体" w:cs="宋体"/>
                <w:b/>
                <w:bCs/>
                <w:color w:val="000000"/>
                <w:kern w:val="0"/>
                <w:szCs w:val="21"/>
              </w:rPr>
              <w:t>产出指标得分小计</w:t>
            </w:r>
          </w:p>
        </w:tc>
        <w:tc>
          <w:tcPr>
            <w:tcW w:w="679" w:type="dxa"/>
            <w:tcBorders>
              <w:top w:val="nil"/>
              <w:left w:val="nil"/>
              <w:bottom w:val="single" w:color="auto" w:sz="4" w:space="0"/>
              <w:right w:val="single" w:color="auto" w:sz="12" w:space="0"/>
            </w:tcBorders>
            <w:shd w:val="clear" w:color="auto" w:fill="auto"/>
            <w:vAlign w:val="center"/>
          </w:tcPr>
          <w:p w14:paraId="033203D7">
            <w:pPr>
              <w:widowControl/>
              <w:jc w:val="center"/>
              <w:rPr>
                <w:rFonts w:ascii="宋体" w:hAnsi="宋体" w:cs="宋体"/>
                <w:b/>
                <w:bCs/>
                <w:color w:val="000000"/>
                <w:kern w:val="0"/>
                <w:szCs w:val="21"/>
              </w:rPr>
            </w:pPr>
            <w:r>
              <w:rPr>
                <w:rFonts w:hint="eastAsia" w:ascii="宋体" w:hAnsi="宋体" w:cs="宋体"/>
                <w:b/>
                <w:bCs/>
                <w:color w:val="000000"/>
                <w:kern w:val="0"/>
                <w:szCs w:val="21"/>
              </w:rPr>
              <w:t>30</w:t>
            </w:r>
          </w:p>
        </w:tc>
      </w:tr>
      <w:tr w14:paraId="0A5468CF">
        <w:tblPrEx>
          <w:tblCellMar>
            <w:top w:w="0" w:type="dxa"/>
            <w:left w:w="108" w:type="dxa"/>
            <w:bottom w:w="0" w:type="dxa"/>
            <w:right w:w="108" w:type="dxa"/>
          </w:tblCellMar>
        </w:tblPrEx>
        <w:trPr>
          <w:trHeight w:val="501" w:hRule="atLeast"/>
          <w:jc w:val="center"/>
        </w:trPr>
        <w:tc>
          <w:tcPr>
            <w:tcW w:w="1107" w:type="dxa"/>
            <w:vMerge w:val="restart"/>
            <w:tcBorders>
              <w:top w:val="nil"/>
              <w:left w:val="single" w:color="auto" w:sz="12" w:space="0"/>
              <w:bottom w:val="single" w:color="auto" w:sz="4" w:space="0"/>
              <w:right w:val="single" w:color="auto" w:sz="4" w:space="0"/>
            </w:tcBorders>
            <w:shd w:val="clear" w:color="auto" w:fill="auto"/>
            <w:vAlign w:val="center"/>
          </w:tcPr>
          <w:p w14:paraId="58F8FF83">
            <w:pPr>
              <w:widowControl/>
              <w:jc w:val="center"/>
              <w:rPr>
                <w:rFonts w:ascii="宋体" w:hAnsi="宋体" w:cs="宋体"/>
                <w:color w:val="000000"/>
                <w:kern w:val="0"/>
                <w:szCs w:val="21"/>
              </w:rPr>
            </w:pPr>
            <w:r>
              <w:rPr>
                <w:rFonts w:hint="eastAsia" w:ascii="宋体" w:hAnsi="宋体" w:cs="宋体"/>
                <w:color w:val="000000"/>
                <w:kern w:val="0"/>
                <w:szCs w:val="21"/>
              </w:rPr>
              <w:t>四、效果（30分）</w:t>
            </w:r>
          </w:p>
        </w:tc>
        <w:tc>
          <w:tcPr>
            <w:tcW w:w="1321" w:type="dxa"/>
            <w:tcBorders>
              <w:top w:val="nil"/>
              <w:left w:val="nil"/>
              <w:bottom w:val="single" w:color="auto" w:sz="4" w:space="0"/>
              <w:right w:val="single" w:color="auto" w:sz="4" w:space="0"/>
            </w:tcBorders>
            <w:shd w:val="clear" w:color="auto" w:fill="auto"/>
            <w:vAlign w:val="center"/>
          </w:tcPr>
          <w:p w14:paraId="6415323A">
            <w:pPr>
              <w:widowControl/>
              <w:jc w:val="center"/>
              <w:rPr>
                <w:rFonts w:ascii="宋体" w:hAnsi="宋体" w:cs="宋体"/>
                <w:color w:val="000000"/>
                <w:kern w:val="0"/>
                <w:szCs w:val="21"/>
              </w:rPr>
            </w:pPr>
            <w:r>
              <w:rPr>
                <w:rFonts w:hint="eastAsia" w:ascii="宋体" w:hAnsi="宋体" w:cs="宋体"/>
                <w:color w:val="000000"/>
                <w:kern w:val="0"/>
                <w:szCs w:val="21"/>
              </w:rPr>
              <w:t>社会效益指标 （10分）</w:t>
            </w:r>
          </w:p>
        </w:tc>
        <w:tc>
          <w:tcPr>
            <w:tcW w:w="2375" w:type="dxa"/>
            <w:tcBorders>
              <w:top w:val="nil"/>
              <w:left w:val="nil"/>
              <w:bottom w:val="single" w:color="auto" w:sz="4" w:space="0"/>
              <w:right w:val="single" w:color="auto" w:sz="4" w:space="0"/>
            </w:tcBorders>
            <w:shd w:val="clear" w:color="auto" w:fill="auto"/>
            <w:vAlign w:val="center"/>
          </w:tcPr>
          <w:p w14:paraId="0EA9DD54">
            <w:pPr>
              <w:widowControl/>
              <w:jc w:val="left"/>
              <w:rPr>
                <w:rFonts w:ascii="宋体" w:hAnsi="宋体" w:cs="宋体"/>
                <w:color w:val="000000"/>
                <w:kern w:val="0"/>
                <w:szCs w:val="21"/>
              </w:rPr>
            </w:pPr>
            <w:r>
              <w:rPr>
                <w:rFonts w:hint="eastAsia" w:ascii="宋体" w:hAnsi="宋体" w:cs="宋体"/>
                <w:color w:val="000000"/>
                <w:kern w:val="0"/>
                <w:szCs w:val="21"/>
              </w:rPr>
              <w:t>保障行政工作顺利进行（10分）</w:t>
            </w:r>
          </w:p>
        </w:tc>
        <w:tc>
          <w:tcPr>
            <w:tcW w:w="4429" w:type="dxa"/>
            <w:tcBorders>
              <w:top w:val="nil"/>
              <w:left w:val="nil"/>
              <w:bottom w:val="single" w:color="auto" w:sz="4" w:space="0"/>
              <w:right w:val="single" w:color="auto" w:sz="4" w:space="0"/>
            </w:tcBorders>
            <w:shd w:val="clear" w:color="auto" w:fill="auto"/>
            <w:vAlign w:val="center"/>
          </w:tcPr>
          <w:p w14:paraId="20C135B4">
            <w:pPr>
              <w:widowControl/>
              <w:jc w:val="left"/>
              <w:rPr>
                <w:rFonts w:ascii="宋体" w:hAnsi="宋体" w:cs="宋体"/>
                <w:color w:val="000000"/>
                <w:kern w:val="0"/>
                <w:szCs w:val="21"/>
              </w:rPr>
            </w:pPr>
            <w:r>
              <w:rPr>
                <w:rFonts w:hint="eastAsia" w:ascii="宋体" w:hAnsi="宋体" w:cs="宋体"/>
                <w:color w:val="000000"/>
                <w:kern w:val="0"/>
                <w:szCs w:val="21"/>
              </w:rPr>
              <w:t>保障行政村各项行政事务正常运转</w:t>
            </w:r>
          </w:p>
        </w:tc>
        <w:tc>
          <w:tcPr>
            <w:tcW w:w="3982" w:type="dxa"/>
            <w:tcBorders>
              <w:top w:val="nil"/>
              <w:left w:val="nil"/>
              <w:bottom w:val="single" w:color="auto" w:sz="4" w:space="0"/>
              <w:right w:val="single" w:color="auto" w:sz="4" w:space="0"/>
            </w:tcBorders>
            <w:shd w:val="clear" w:color="auto" w:fill="auto"/>
            <w:vAlign w:val="center"/>
          </w:tcPr>
          <w:p w14:paraId="5C0985E0">
            <w:pPr>
              <w:widowControl/>
              <w:jc w:val="center"/>
              <w:rPr>
                <w:rFonts w:ascii="宋体" w:hAnsi="宋体" w:cs="宋体"/>
                <w:color w:val="000000"/>
                <w:kern w:val="0"/>
                <w:szCs w:val="21"/>
              </w:rPr>
            </w:pPr>
            <w:r>
              <w:rPr>
                <w:rFonts w:hint="eastAsia" w:ascii="宋体" w:hAnsi="宋体" w:cs="宋体"/>
                <w:color w:val="000000"/>
                <w:kern w:val="0"/>
                <w:szCs w:val="21"/>
              </w:rPr>
              <w:t>90.00%</w:t>
            </w:r>
          </w:p>
        </w:tc>
        <w:tc>
          <w:tcPr>
            <w:tcW w:w="679" w:type="dxa"/>
            <w:tcBorders>
              <w:top w:val="nil"/>
              <w:left w:val="nil"/>
              <w:bottom w:val="single" w:color="auto" w:sz="4" w:space="0"/>
              <w:right w:val="single" w:color="auto" w:sz="12" w:space="0"/>
            </w:tcBorders>
            <w:shd w:val="clear" w:color="auto" w:fill="auto"/>
            <w:vAlign w:val="center"/>
          </w:tcPr>
          <w:p w14:paraId="69ACAE50">
            <w:pPr>
              <w:widowControl/>
              <w:jc w:val="center"/>
              <w:rPr>
                <w:rFonts w:ascii="宋体" w:hAnsi="宋体" w:cs="宋体"/>
                <w:color w:val="000000"/>
                <w:kern w:val="0"/>
                <w:szCs w:val="21"/>
              </w:rPr>
            </w:pPr>
            <w:r>
              <w:rPr>
                <w:rFonts w:hint="eastAsia" w:ascii="宋体" w:hAnsi="宋体" w:cs="宋体"/>
                <w:color w:val="000000"/>
                <w:kern w:val="0"/>
                <w:szCs w:val="21"/>
              </w:rPr>
              <w:t>9</w:t>
            </w:r>
          </w:p>
        </w:tc>
      </w:tr>
      <w:tr w14:paraId="45A19F4F">
        <w:tblPrEx>
          <w:tblCellMar>
            <w:top w:w="0" w:type="dxa"/>
            <w:left w:w="108" w:type="dxa"/>
            <w:bottom w:w="0" w:type="dxa"/>
            <w:right w:w="108" w:type="dxa"/>
          </w:tblCellMar>
        </w:tblPrEx>
        <w:trPr>
          <w:trHeight w:val="501"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23A40EE2">
            <w:pPr>
              <w:widowControl/>
              <w:jc w:val="left"/>
              <w:rPr>
                <w:rFonts w:ascii="宋体" w:hAnsi="宋体" w:cs="宋体"/>
                <w:color w:val="000000"/>
                <w:kern w:val="0"/>
                <w:szCs w:val="21"/>
              </w:rPr>
            </w:pPr>
          </w:p>
        </w:tc>
        <w:tc>
          <w:tcPr>
            <w:tcW w:w="1321" w:type="dxa"/>
            <w:tcBorders>
              <w:top w:val="nil"/>
              <w:left w:val="nil"/>
              <w:bottom w:val="single" w:color="auto" w:sz="4" w:space="0"/>
              <w:right w:val="single" w:color="auto" w:sz="4" w:space="0"/>
            </w:tcBorders>
            <w:shd w:val="clear" w:color="auto" w:fill="auto"/>
            <w:vAlign w:val="center"/>
          </w:tcPr>
          <w:p w14:paraId="03B802CC">
            <w:pPr>
              <w:widowControl/>
              <w:jc w:val="center"/>
              <w:rPr>
                <w:rFonts w:ascii="宋体" w:hAnsi="宋体" w:cs="宋体"/>
                <w:color w:val="000000"/>
                <w:kern w:val="0"/>
                <w:szCs w:val="21"/>
              </w:rPr>
            </w:pPr>
            <w:r>
              <w:rPr>
                <w:rFonts w:hint="eastAsia" w:ascii="宋体" w:hAnsi="宋体" w:cs="宋体"/>
                <w:color w:val="000000"/>
                <w:kern w:val="0"/>
                <w:szCs w:val="21"/>
              </w:rPr>
              <w:t>可持续影响指标(10分)</w:t>
            </w:r>
          </w:p>
        </w:tc>
        <w:tc>
          <w:tcPr>
            <w:tcW w:w="2375" w:type="dxa"/>
            <w:tcBorders>
              <w:top w:val="nil"/>
              <w:left w:val="nil"/>
              <w:bottom w:val="single" w:color="auto" w:sz="4" w:space="0"/>
              <w:right w:val="single" w:color="auto" w:sz="4" w:space="0"/>
            </w:tcBorders>
            <w:shd w:val="clear" w:color="auto" w:fill="auto"/>
            <w:vAlign w:val="center"/>
          </w:tcPr>
          <w:p w14:paraId="638CC419">
            <w:pPr>
              <w:widowControl/>
              <w:jc w:val="left"/>
              <w:rPr>
                <w:rFonts w:ascii="宋体" w:hAnsi="宋体" w:cs="宋体"/>
                <w:color w:val="000000"/>
                <w:kern w:val="0"/>
                <w:szCs w:val="21"/>
              </w:rPr>
            </w:pPr>
            <w:r>
              <w:rPr>
                <w:rFonts w:hint="eastAsia" w:ascii="宋体" w:hAnsi="宋体" w:cs="宋体"/>
                <w:color w:val="000000"/>
                <w:kern w:val="0"/>
                <w:szCs w:val="21"/>
              </w:rPr>
              <w:t>保障村级行政事务持续运转（10分）</w:t>
            </w:r>
          </w:p>
        </w:tc>
        <w:tc>
          <w:tcPr>
            <w:tcW w:w="4429" w:type="dxa"/>
            <w:tcBorders>
              <w:top w:val="nil"/>
              <w:left w:val="nil"/>
              <w:bottom w:val="single" w:color="auto" w:sz="4" w:space="0"/>
              <w:right w:val="single" w:color="auto" w:sz="4" w:space="0"/>
            </w:tcBorders>
            <w:shd w:val="clear" w:color="auto" w:fill="auto"/>
            <w:vAlign w:val="center"/>
          </w:tcPr>
          <w:p w14:paraId="657B39C6">
            <w:pPr>
              <w:widowControl/>
              <w:jc w:val="left"/>
              <w:rPr>
                <w:rFonts w:ascii="宋体" w:hAnsi="宋体" w:cs="宋体"/>
                <w:color w:val="000000"/>
                <w:kern w:val="0"/>
                <w:szCs w:val="21"/>
              </w:rPr>
            </w:pPr>
            <w:r>
              <w:rPr>
                <w:rFonts w:hint="eastAsia" w:ascii="宋体" w:hAnsi="宋体" w:cs="宋体"/>
                <w:color w:val="000000"/>
                <w:kern w:val="0"/>
                <w:szCs w:val="21"/>
              </w:rPr>
              <w:t>建立长效机制，持续发挥作用</w:t>
            </w:r>
          </w:p>
        </w:tc>
        <w:tc>
          <w:tcPr>
            <w:tcW w:w="3982" w:type="dxa"/>
            <w:tcBorders>
              <w:top w:val="nil"/>
              <w:left w:val="nil"/>
              <w:bottom w:val="single" w:color="auto" w:sz="4" w:space="0"/>
              <w:right w:val="single" w:color="auto" w:sz="4" w:space="0"/>
            </w:tcBorders>
            <w:shd w:val="clear" w:color="auto" w:fill="auto"/>
            <w:vAlign w:val="center"/>
          </w:tcPr>
          <w:p w14:paraId="5DD02DEC">
            <w:pPr>
              <w:widowControl/>
              <w:jc w:val="center"/>
              <w:rPr>
                <w:rFonts w:ascii="宋体" w:hAnsi="宋体" w:cs="宋体"/>
                <w:color w:val="000000"/>
                <w:kern w:val="0"/>
                <w:szCs w:val="21"/>
              </w:rPr>
            </w:pPr>
            <w:r>
              <w:rPr>
                <w:rFonts w:hint="eastAsia" w:ascii="宋体" w:hAnsi="宋体" w:cs="宋体"/>
                <w:color w:val="000000"/>
                <w:kern w:val="0"/>
                <w:szCs w:val="21"/>
              </w:rPr>
              <w:t>建立长效机制，持续发挥作用</w:t>
            </w:r>
          </w:p>
        </w:tc>
        <w:tc>
          <w:tcPr>
            <w:tcW w:w="679" w:type="dxa"/>
            <w:tcBorders>
              <w:top w:val="nil"/>
              <w:left w:val="nil"/>
              <w:bottom w:val="single" w:color="auto" w:sz="4" w:space="0"/>
              <w:right w:val="single" w:color="auto" w:sz="12" w:space="0"/>
            </w:tcBorders>
            <w:shd w:val="clear" w:color="auto" w:fill="auto"/>
            <w:vAlign w:val="center"/>
          </w:tcPr>
          <w:p w14:paraId="4961DA6E">
            <w:pPr>
              <w:widowControl/>
              <w:jc w:val="center"/>
              <w:rPr>
                <w:rFonts w:ascii="宋体" w:hAnsi="宋体" w:cs="宋体"/>
                <w:color w:val="000000"/>
                <w:kern w:val="0"/>
                <w:szCs w:val="21"/>
              </w:rPr>
            </w:pPr>
            <w:r>
              <w:rPr>
                <w:rFonts w:hint="eastAsia" w:ascii="宋体" w:hAnsi="宋体" w:cs="宋体"/>
                <w:color w:val="000000"/>
                <w:kern w:val="0"/>
                <w:szCs w:val="21"/>
              </w:rPr>
              <w:t>9</w:t>
            </w:r>
          </w:p>
        </w:tc>
      </w:tr>
      <w:tr w14:paraId="1E2A2987">
        <w:tblPrEx>
          <w:tblCellMar>
            <w:top w:w="0" w:type="dxa"/>
            <w:left w:w="108" w:type="dxa"/>
            <w:bottom w:w="0" w:type="dxa"/>
            <w:right w:w="108" w:type="dxa"/>
          </w:tblCellMar>
        </w:tblPrEx>
        <w:trPr>
          <w:trHeight w:val="752" w:hRule="atLeast"/>
          <w:jc w:val="center"/>
        </w:trPr>
        <w:tc>
          <w:tcPr>
            <w:tcW w:w="1107" w:type="dxa"/>
            <w:vMerge w:val="continue"/>
            <w:tcBorders>
              <w:top w:val="nil"/>
              <w:left w:val="single" w:color="auto" w:sz="12" w:space="0"/>
              <w:bottom w:val="single" w:color="auto" w:sz="4" w:space="0"/>
              <w:right w:val="single" w:color="auto" w:sz="4" w:space="0"/>
            </w:tcBorders>
            <w:shd w:val="clear" w:color="auto" w:fill="auto"/>
            <w:vAlign w:val="center"/>
          </w:tcPr>
          <w:p w14:paraId="1DE60BAE">
            <w:pPr>
              <w:widowControl/>
              <w:jc w:val="left"/>
              <w:rPr>
                <w:rFonts w:ascii="宋体" w:hAnsi="宋体" w:cs="宋体"/>
                <w:color w:val="000000"/>
                <w:kern w:val="0"/>
                <w:szCs w:val="21"/>
              </w:rPr>
            </w:pPr>
          </w:p>
        </w:tc>
        <w:tc>
          <w:tcPr>
            <w:tcW w:w="1321" w:type="dxa"/>
            <w:tcBorders>
              <w:top w:val="nil"/>
              <w:left w:val="nil"/>
              <w:bottom w:val="single" w:color="auto" w:sz="4" w:space="0"/>
              <w:right w:val="single" w:color="auto" w:sz="4" w:space="0"/>
            </w:tcBorders>
            <w:shd w:val="clear" w:color="auto" w:fill="auto"/>
            <w:vAlign w:val="center"/>
          </w:tcPr>
          <w:p w14:paraId="6A7855BF">
            <w:pPr>
              <w:widowControl/>
              <w:jc w:val="center"/>
              <w:rPr>
                <w:rFonts w:ascii="宋体" w:hAnsi="宋体" w:cs="宋体"/>
                <w:color w:val="000000"/>
                <w:kern w:val="0"/>
                <w:szCs w:val="21"/>
              </w:rPr>
            </w:pPr>
            <w:r>
              <w:rPr>
                <w:rFonts w:hint="eastAsia" w:ascii="宋体" w:hAnsi="宋体" w:cs="宋体"/>
                <w:color w:val="000000"/>
                <w:kern w:val="0"/>
                <w:szCs w:val="21"/>
              </w:rPr>
              <w:t>服务对象满意度指标 （10分）</w:t>
            </w:r>
          </w:p>
        </w:tc>
        <w:tc>
          <w:tcPr>
            <w:tcW w:w="2375" w:type="dxa"/>
            <w:tcBorders>
              <w:top w:val="nil"/>
              <w:left w:val="nil"/>
              <w:bottom w:val="single" w:color="auto" w:sz="4" w:space="0"/>
              <w:right w:val="single" w:color="auto" w:sz="4" w:space="0"/>
            </w:tcBorders>
            <w:shd w:val="clear" w:color="auto" w:fill="auto"/>
            <w:vAlign w:val="center"/>
          </w:tcPr>
          <w:p w14:paraId="746AB826">
            <w:pPr>
              <w:widowControl/>
              <w:jc w:val="left"/>
              <w:rPr>
                <w:rFonts w:ascii="宋体" w:hAnsi="宋体" w:cs="宋体"/>
                <w:color w:val="000000"/>
                <w:kern w:val="0"/>
                <w:szCs w:val="21"/>
              </w:rPr>
            </w:pPr>
            <w:r>
              <w:rPr>
                <w:rFonts w:hint="eastAsia" w:ascii="宋体" w:hAnsi="宋体" w:cs="宋体"/>
                <w:color w:val="000000"/>
                <w:kern w:val="0"/>
                <w:szCs w:val="21"/>
              </w:rPr>
              <w:t>群众满意率、工作及服务质量投诉率（10分）</w:t>
            </w:r>
          </w:p>
        </w:tc>
        <w:tc>
          <w:tcPr>
            <w:tcW w:w="4429" w:type="dxa"/>
            <w:tcBorders>
              <w:top w:val="nil"/>
              <w:left w:val="nil"/>
              <w:bottom w:val="single" w:color="auto" w:sz="4" w:space="0"/>
              <w:right w:val="single" w:color="auto" w:sz="4" w:space="0"/>
            </w:tcBorders>
            <w:shd w:val="clear" w:color="auto" w:fill="auto"/>
            <w:vAlign w:val="center"/>
          </w:tcPr>
          <w:p w14:paraId="339F76E0">
            <w:pPr>
              <w:widowControl/>
              <w:jc w:val="left"/>
              <w:rPr>
                <w:rFonts w:ascii="宋体" w:hAnsi="宋体" w:cs="宋体"/>
                <w:color w:val="000000"/>
                <w:kern w:val="0"/>
                <w:szCs w:val="21"/>
              </w:rPr>
            </w:pPr>
            <w:r>
              <w:rPr>
                <w:rFonts w:hint="eastAsia" w:ascii="宋体" w:hAnsi="宋体" w:cs="宋体"/>
                <w:color w:val="000000"/>
                <w:kern w:val="0"/>
                <w:szCs w:val="21"/>
              </w:rPr>
              <w:t>群众满意率为95%、工作及服务质量投诉率不高于5%</w:t>
            </w:r>
          </w:p>
        </w:tc>
        <w:tc>
          <w:tcPr>
            <w:tcW w:w="3982" w:type="dxa"/>
            <w:tcBorders>
              <w:top w:val="nil"/>
              <w:left w:val="nil"/>
              <w:bottom w:val="single" w:color="auto" w:sz="4" w:space="0"/>
              <w:right w:val="single" w:color="auto" w:sz="4" w:space="0"/>
            </w:tcBorders>
            <w:shd w:val="clear" w:color="auto" w:fill="auto"/>
            <w:vAlign w:val="center"/>
          </w:tcPr>
          <w:p w14:paraId="775E1130">
            <w:pPr>
              <w:widowControl/>
              <w:jc w:val="center"/>
              <w:rPr>
                <w:rFonts w:ascii="宋体" w:hAnsi="宋体" w:cs="宋体"/>
                <w:color w:val="000000"/>
                <w:kern w:val="0"/>
                <w:szCs w:val="21"/>
              </w:rPr>
            </w:pPr>
            <w:r>
              <w:rPr>
                <w:rFonts w:hint="eastAsia" w:ascii="宋体" w:hAnsi="宋体" w:cs="宋体"/>
                <w:color w:val="000000"/>
                <w:kern w:val="0"/>
                <w:szCs w:val="21"/>
              </w:rPr>
              <w:t>群众满意率为96%、工作及服务质量投诉率为2%</w:t>
            </w:r>
          </w:p>
        </w:tc>
        <w:tc>
          <w:tcPr>
            <w:tcW w:w="679" w:type="dxa"/>
            <w:tcBorders>
              <w:top w:val="nil"/>
              <w:left w:val="nil"/>
              <w:bottom w:val="single" w:color="auto" w:sz="4" w:space="0"/>
              <w:right w:val="single" w:color="auto" w:sz="12" w:space="0"/>
            </w:tcBorders>
            <w:shd w:val="clear" w:color="auto" w:fill="auto"/>
            <w:vAlign w:val="center"/>
          </w:tcPr>
          <w:p w14:paraId="140A5F7B">
            <w:pPr>
              <w:widowControl/>
              <w:jc w:val="center"/>
              <w:rPr>
                <w:rFonts w:ascii="宋体" w:hAnsi="宋体" w:cs="宋体"/>
                <w:color w:val="000000"/>
                <w:kern w:val="0"/>
                <w:szCs w:val="21"/>
              </w:rPr>
            </w:pPr>
            <w:r>
              <w:rPr>
                <w:rFonts w:hint="eastAsia" w:ascii="宋体" w:hAnsi="宋体" w:cs="宋体"/>
                <w:color w:val="000000"/>
                <w:kern w:val="0"/>
                <w:szCs w:val="21"/>
              </w:rPr>
              <w:t>10</w:t>
            </w:r>
          </w:p>
        </w:tc>
      </w:tr>
      <w:tr w14:paraId="3731D550">
        <w:tblPrEx>
          <w:tblCellMar>
            <w:top w:w="0" w:type="dxa"/>
            <w:left w:w="108" w:type="dxa"/>
            <w:bottom w:w="0" w:type="dxa"/>
            <w:right w:w="108" w:type="dxa"/>
          </w:tblCellMar>
        </w:tblPrEx>
        <w:trPr>
          <w:trHeight w:val="522" w:hRule="atLeast"/>
          <w:jc w:val="center"/>
        </w:trPr>
        <w:tc>
          <w:tcPr>
            <w:tcW w:w="13214"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77873978">
            <w:pPr>
              <w:widowControl/>
              <w:jc w:val="center"/>
              <w:rPr>
                <w:rFonts w:ascii="宋体" w:hAnsi="宋体" w:cs="宋体"/>
                <w:b/>
                <w:bCs/>
                <w:color w:val="000000"/>
                <w:kern w:val="0"/>
                <w:szCs w:val="21"/>
              </w:rPr>
            </w:pPr>
            <w:r>
              <w:rPr>
                <w:rFonts w:hint="eastAsia" w:ascii="宋体" w:hAnsi="宋体" w:cs="宋体"/>
                <w:b/>
                <w:bCs/>
                <w:color w:val="000000"/>
                <w:kern w:val="0"/>
                <w:szCs w:val="21"/>
              </w:rPr>
              <w:t>效果指标得分小计</w:t>
            </w:r>
          </w:p>
        </w:tc>
        <w:tc>
          <w:tcPr>
            <w:tcW w:w="679" w:type="dxa"/>
            <w:tcBorders>
              <w:top w:val="nil"/>
              <w:left w:val="nil"/>
              <w:bottom w:val="single" w:color="auto" w:sz="4" w:space="0"/>
              <w:right w:val="single" w:color="auto" w:sz="12" w:space="0"/>
            </w:tcBorders>
            <w:shd w:val="clear" w:color="auto" w:fill="auto"/>
            <w:vAlign w:val="center"/>
          </w:tcPr>
          <w:p w14:paraId="33F54209">
            <w:pPr>
              <w:widowControl/>
              <w:jc w:val="center"/>
              <w:rPr>
                <w:rFonts w:ascii="宋体" w:hAnsi="宋体" w:cs="宋体"/>
                <w:b/>
                <w:bCs/>
                <w:color w:val="000000"/>
                <w:kern w:val="0"/>
                <w:szCs w:val="21"/>
              </w:rPr>
            </w:pPr>
            <w:r>
              <w:rPr>
                <w:rFonts w:hint="eastAsia" w:ascii="宋体" w:hAnsi="宋体" w:cs="宋体"/>
                <w:b/>
                <w:bCs/>
                <w:color w:val="000000"/>
                <w:kern w:val="0"/>
                <w:szCs w:val="21"/>
              </w:rPr>
              <w:t>28</w:t>
            </w:r>
          </w:p>
        </w:tc>
      </w:tr>
      <w:tr w14:paraId="5EF59CD9">
        <w:tblPrEx>
          <w:tblCellMar>
            <w:top w:w="0" w:type="dxa"/>
            <w:left w:w="108" w:type="dxa"/>
            <w:bottom w:w="0" w:type="dxa"/>
            <w:right w:w="108" w:type="dxa"/>
          </w:tblCellMar>
        </w:tblPrEx>
        <w:trPr>
          <w:trHeight w:val="522" w:hRule="atLeast"/>
          <w:jc w:val="center"/>
        </w:trPr>
        <w:tc>
          <w:tcPr>
            <w:tcW w:w="13214" w:type="dxa"/>
            <w:gridSpan w:val="5"/>
            <w:tcBorders>
              <w:top w:val="single" w:color="auto" w:sz="4" w:space="0"/>
              <w:left w:val="single" w:color="auto" w:sz="12" w:space="0"/>
              <w:bottom w:val="single" w:color="auto" w:sz="12" w:space="0"/>
              <w:right w:val="single" w:color="000000" w:sz="4" w:space="0"/>
            </w:tcBorders>
            <w:shd w:val="clear" w:color="auto" w:fill="auto"/>
            <w:vAlign w:val="center"/>
          </w:tcPr>
          <w:p w14:paraId="134D2415">
            <w:pPr>
              <w:widowControl/>
              <w:jc w:val="center"/>
              <w:rPr>
                <w:rFonts w:ascii="宋体" w:hAnsi="宋体" w:cs="宋体"/>
                <w:b/>
                <w:bCs/>
                <w:color w:val="000000"/>
                <w:kern w:val="0"/>
                <w:szCs w:val="21"/>
              </w:rPr>
            </w:pPr>
            <w:r>
              <w:rPr>
                <w:rFonts w:hint="eastAsia" w:ascii="宋体" w:hAnsi="宋体" w:cs="宋体"/>
                <w:b/>
                <w:bCs/>
                <w:color w:val="000000"/>
                <w:kern w:val="0"/>
                <w:szCs w:val="21"/>
              </w:rPr>
              <w:t>绩效评价总得分</w:t>
            </w:r>
          </w:p>
        </w:tc>
        <w:tc>
          <w:tcPr>
            <w:tcW w:w="679" w:type="dxa"/>
            <w:tcBorders>
              <w:top w:val="nil"/>
              <w:left w:val="nil"/>
              <w:bottom w:val="single" w:color="auto" w:sz="12" w:space="0"/>
              <w:right w:val="single" w:color="auto" w:sz="12" w:space="0"/>
            </w:tcBorders>
            <w:shd w:val="clear" w:color="auto" w:fill="auto"/>
            <w:vAlign w:val="center"/>
          </w:tcPr>
          <w:p w14:paraId="5A7FA9AE">
            <w:pPr>
              <w:widowControl/>
              <w:jc w:val="center"/>
              <w:rPr>
                <w:rFonts w:ascii="宋体" w:hAnsi="宋体" w:cs="宋体"/>
                <w:b/>
                <w:bCs/>
                <w:color w:val="000000"/>
                <w:kern w:val="0"/>
                <w:szCs w:val="21"/>
              </w:rPr>
            </w:pPr>
            <w:r>
              <w:rPr>
                <w:rFonts w:hint="eastAsia" w:ascii="宋体" w:hAnsi="宋体" w:cs="宋体"/>
                <w:b/>
                <w:bCs/>
                <w:color w:val="000000"/>
                <w:kern w:val="0"/>
                <w:szCs w:val="21"/>
              </w:rPr>
              <w:t>93.0</w:t>
            </w:r>
          </w:p>
        </w:tc>
      </w:tr>
    </w:tbl>
    <w:p w14:paraId="74613EF0">
      <w:pPr>
        <w:widowControl/>
        <w:spacing w:line="600" w:lineRule="exact"/>
        <w:ind w:firstLine="640"/>
        <w:jc w:val="left"/>
        <w:rPr>
          <w:rFonts w:ascii="宋体" w:hAnsi="宋体" w:cs="宋体"/>
          <w:sz w:val="28"/>
          <w:szCs w:val="28"/>
        </w:rPr>
        <w:sectPr>
          <w:pgSz w:w="16838" w:h="11906" w:orient="landscape"/>
          <w:pgMar w:top="1800" w:right="1440" w:bottom="1800" w:left="1440" w:header="851" w:footer="992" w:gutter="0"/>
          <w:cols w:space="425" w:num="1"/>
          <w:docGrid w:type="lines" w:linePitch="312" w:charSpace="0"/>
        </w:sectPr>
      </w:pPr>
    </w:p>
    <w:p w14:paraId="32172217">
      <w:pPr>
        <w:widowControl/>
        <w:spacing w:line="600" w:lineRule="exact"/>
        <w:ind w:firstLine="640"/>
        <w:jc w:val="left"/>
        <w:rPr>
          <w:rFonts w:ascii="宋体" w:hAnsi="宋体" w:cs="宋体"/>
          <w:sz w:val="28"/>
          <w:szCs w:val="28"/>
        </w:rPr>
      </w:pPr>
      <w:r>
        <w:rPr>
          <w:rFonts w:hint="eastAsia" w:ascii="宋体" w:hAnsi="宋体" w:cs="宋体"/>
          <w:sz w:val="28"/>
          <w:szCs w:val="28"/>
        </w:rPr>
        <w:t>根据上表，分析如下：</w:t>
      </w:r>
    </w:p>
    <w:p w14:paraId="0680DC96">
      <w:pPr>
        <w:widowControl/>
        <w:spacing w:line="600" w:lineRule="exact"/>
        <w:ind w:firstLine="641"/>
        <w:jc w:val="left"/>
        <w:outlineLvl w:val="2"/>
        <w:rPr>
          <w:rFonts w:ascii="宋体" w:hAnsi="宋体" w:cs="宋体"/>
          <w:sz w:val="28"/>
          <w:szCs w:val="28"/>
        </w:rPr>
      </w:pPr>
      <w:r>
        <w:rPr>
          <w:rFonts w:hint="eastAsia" w:ascii="宋体" w:hAnsi="宋体" w:cs="宋体"/>
          <w:sz w:val="28"/>
          <w:szCs w:val="28"/>
        </w:rPr>
        <w:t>1.产出目标</w:t>
      </w:r>
    </w:p>
    <w:p w14:paraId="5CABAD29">
      <w:pPr>
        <w:widowControl/>
        <w:spacing w:line="600" w:lineRule="exact"/>
        <w:ind w:firstLine="640"/>
        <w:jc w:val="left"/>
        <w:rPr>
          <w:rFonts w:ascii="宋体" w:hAnsi="宋体" w:cs="宋体"/>
          <w:sz w:val="28"/>
          <w:szCs w:val="28"/>
        </w:rPr>
      </w:pPr>
      <w:r>
        <w:rPr>
          <w:rFonts w:hint="eastAsia" w:ascii="宋体" w:hAnsi="宋体" w:cs="宋体"/>
          <w:sz w:val="28"/>
          <w:szCs w:val="28"/>
        </w:rPr>
        <w:t>（1）数量指标</w:t>
      </w:r>
    </w:p>
    <w:p w14:paraId="3CD3D88F">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如上表所示，数量指标能较好完成，离任村主职干部生活补助13.36万元已满额发放。</w:t>
      </w:r>
    </w:p>
    <w:p w14:paraId="65054207">
      <w:pPr>
        <w:widowControl/>
        <w:spacing w:line="600" w:lineRule="exact"/>
        <w:ind w:firstLine="640"/>
        <w:jc w:val="left"/>
        <w:rPr>
          <w:rFonts w:ascii="宋体" w:hAnsi="宋体" w:cs="宋体"/>
          <w:sz w:val="28"/>
          <w:szCs w:val="28"/>
        </w:rPr>
      </w:pPr>
      <w:r>
        <w:rPr>
          <w:rFonts w:hint="eastAsia" w:ascii="宋体" w:hAnsi="宋体" w:cs="宋体"/>
          <w:sz w:val="28"/>
          <w:szCs w:val="28"/>
        </w:rPr>
        <w:t>（2）质量指标</w:t>
      </w:r>
    </w:p>
    <w:p w14:paraId="7D577C1C">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从表中可以看出，离任村主职干部生活补助发放率达到100%。</w:t>
      </w:r>
    </w:p>
    <w:p w14:paraId="781D447E">
      <w:pPr>
        <w:widowControl/>
        <w:spacing w:line="600" w:lineRule="exact"/>
        <w:ind w:firstLine="640"/>
        <w:jc w:val="left"/>
        <w:rPr>
          <w:rFonts w:ascii="宋体" w:hAnsi="宋体" w:cs="宋体"/>
          <w:sz w:val="28"/>
          <w:szCs w:val="28"/>
        </w:rPr>
      </w:pPr>
      <w:r>
        <w:rPr>
          <w:rFonts w:hint="eastAsia" w:ascii="宋体" w:hAnsi="宋体" w:cs="宋体"/>
          <w:sz w:val="28"/>
          <w:szCs w:val="28"/>
        </w:rPr>
        <w:t>（3）时效指标</w:t>
      </w:r>
    </w:p>
    <w:p w14:paraId="563A4CF9">
      <w:pPr>
        <w:widowControl/>
        <w:spacing w:line="600" w:lineRule="exact"/>
        <w:ind w:firstLine="640"/>
        <w:jc w:val="left"/>
        <w:rPr>
          <w:rFonts w:ascii="宋体" w:hAnsi="宋体" w:cs="宋体"/>
          <w:sz w:val="28"/>
          <w:szCs w:val="28"/>
        </w:rPr>
      </w:pPr>
      <w:r>
        <w:rPr>
          <w:rFonts w:hint="eastAsia" w:ascii="宋体" w:hAnsi="宋体" w:cs="宋体"/>
          <w:sz w:val="28"/>
          <w:szCs w:val="28"/>
        </w:rPr>
        <w:t>通过查看发放记录，访谈部分离任村主职干部，资金发放较为及时，每月按固定日期发放，严格按照文件执行。</w:t>
      </w:r>
    </w:p>
    <w:p w14:paraId="446BA2CF">
      <w:pPr>
        <w:widowControl/>
        <w:spacing w:line="600" w:lineRule="exact"/>
        <w:ind w:firstLine="640"/>
        <w:jc w:val="left"/>
        <w:rPr>
          <w:rFonts w:ascii="宋体" w:hAnsi="宋体" w:cs="宋体"/>
          <w:sz w:val="28"/>
          <w:szCs w:val="28"/>
        </w:rPr>
      </w:pPr>
      <w:r>
        <w:rPr>
          <w:rFonts w:hint="eastAsia" w:ascii="宋体" w:hAnsi="宋体" w:cs="宋体"/>
          <w:sz w:val="28"/>
          <w:szCs w:val="28"/>
        </w:rPr>
        <w:t>2.效果目标</w:t>
      </w:r>
    </w:p>
    <w:p w14:paraId="66AF1086">
      <w:pPr>
        <w:widowControl/>
        <w:spacing w:line="600" w:lineRule="exact"/>
        <w:ind w:firstLine="640"/>
        <w:jc w:val="left"/>
        <w:rPr>
          <w:rFonts w:ascii="宋体" w:hAnsi="宋体" w:cs="宋体"/>
          <w:sz w:val="28"/>
          <w:szCs w:val="28"/>
        </w:rPr>
      </w:pPr>
      <w:r>
        <w:rPr>
          <w:rFonts w:hint="eastAsia" w:ascii="宋体" w:hAnsi="宋体" w:cs="宋体"/>
          <w:sz w:val="28"/>
          <w:szCs w:val="28"/>
        </w:rPr>
        <w:t>（1）社会效益指标</w:t>
      </w:r>
    </w:p>
    <w:p w14:paraId="03BBB0F3">
      <w:pPr>
        <w:widowControl/>
        <w:spacing w:line="600" w:lineRule="exact"/>
        <w:ind w:firstLine="640"/>
        <w:jc w:val="left"/>
        <w:rPr>
          <w:rFonts w:ascii="宋体" w:hAnsi="宋体" w:cs="宋体"/>
          <w:sz w:val="28"/>
          <w:szCs w:val="28"/>
        </w:rPr>
      </w:pPr>
      <w:r>
        <w:rPr>
          <w:rFonts w:hint="eastAsia" w:ascii="宋体" w:hAnsi="宋体" w:cs="宋体"/>
          <w:sz w:val="28"/>
          <w:szCs w:val="28"/>
        </w:rPr>
        <w:t>村级正常运转经费的发放切实保障了行政村各项行政事务的正常运转，保证了行政工作的顺利进行。</w:t>
      </w:r>
    </w:p>
    <w:p w14:paraId="266729A8">
      <w:pPr>
        <w:widowControl/>
        <w:spacing w:line="600" w:lineRule="exact"/>
        <w:ind w:firstLine="640"/>
        <w:jc w:val="left"/>
        <w:rPr>
          <w:rFonts w:ascii="宋体" w:hAnsi="宋体" w:cs="宋体"/>
          <w:sz w:val="28"/>
          <w:szCs w:val="28"/>
        </w:rPr>
      </w:pPr>
      <w:r>
        <w:rPr>
          <w:rFonts w:hint="eastAsia" w:ascii="宋体" w:hAnsi="宋体" w:cs="宋体"/>
          <w:sz w:val="28"/>
          <w:szCs w:val="28"/>
        </w:rPr>
        <w:t>（2）可持续影响指标</w:t>
      </w:r>
    </w:p>
    <w:p w14:paraId="3C071F7E">
      <w:pPr>
        <w:widowControl/>
        <w:spacing w:line="600" w:lineRule="exact"/>
        <w:ind w:firstLine="640"/>
        <w:jc w:val="left"/>
        <w:rPr>
          <w:rFonts w:ascii="宋体" w:hAnsi="宋体" w:cs="宋体"/>
          <w:sz w:val="28"/>
          <w:szCs w:val="28"/>
        </w:rPr>
      </w:pPr>
      <w:r>
        <w:rPr>
          <w:rFonts w:hint="eastAsia" w:ascii="宋体" w:hAnsi="宋体" w:cs="宋体"/>
          <w:sz w:val="28"/>
          <w:szCs w:val="28"/>
        </w:rPr>
        <w:t>项目经费的发放能保障村级行政事务持续运转，保障政府职能的持续运行。</w:t>
      </w:r>
    </w:p>
    <w:p w14:paraId="5437065C">
      <w:pPr>
        <w:widowControl/>
        <w:spacing w:line="600" w:lineRule="exact"/>
        <w:ind w:firstLine="640"/>
        <w:jc w:val="left"/>
        <w:rPr>
          <w:rFonts w:ascii="宋体" w:hAnsi="宋体" w:cs="宋体"/>
          <w:sz w:val="28"/>
          <w:szCs w:val="28"/>
        </w:rPr>
      </w:pPr>
      <w:r>
        <w:rPr>
          <w:rFonts w:hint="eastAsia" w:ascii="宋体" w:hAnsi="宋体" w:cs="宋体"/>
          <w:sz w:val="28"/>
          <w:szCs w:val="28"/>
        </w:rPr>
        <w:t>（3）社会公众或服务对象满意度指标</w:t>
      </w:r>
    </w:p>
    <w:p w14:paraId="66AAE0CB">
      <w:pPr>
        <w:widowControl/>
        <w:spacing w:line="600" w:lineRule="exact"/>
        <w:ind w:firstLine="640"/>
        <w:jc w:val="left"/>
        <w:rPr>
          <w:rFonts w:ascii="宋体" w:hAnsi="宋体" w:cs="宋体"/>
          <w:sz w:val="28"/>
          <w:szCs w:val="28"/>
        </w:rPr>
      </w:pPr>
      <w:r>
        <w:rPr>
          <w:rFonts w:hint="eastAsia" w:ascii="宋体" w:hAnsi="宋体" w:cs="宋体"/>
          <w:sz w:val="28"/>
          <w:szCs w:val="28"/>
        </w:rPr>
        <w:t>随机对辖区村民进行访谈，反馈结果为离任村主职干部生活补助发放公正、公开，村民有知晓权。村民满意度较高，投诉率较低，仅为2%。</w:t>
      </w:r>
    </w:p>
    <w:p w14:paraId="74A6F408">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288E5C4F">
      <w:pPr>
        <w:widowControl/>
        <w:numPr>
          <w:ilvl w:val="0"/>
          <w:numId w:val="13"/>
        </w:numPr>
        <w:spacing w:line="600" w:lineRule="exact"/>
        <w:ind w:firstLine="560" w:firstLineChars="200"/>
        <w:jc w:val="left"/>
        <w:rPr>
          <w:rFonts w:ascii="宋体" w:hAnsi="宋体" w:cs="黑体"/>
          <w:sz w:val="28"/>
          <w:szCs w:val="28"/>
        </w:rPr>
      </w:pPr>
      <w:r>
        <w:rPr>
          <w:rFonts w:hint="eastAsia" w:ascii="宋体" w:hAnsi="宋体" w:cs="黑体"/>
          <w:sz w:val="28"/>
          <w:szCs w:val="28"/>
        </w:rPr>
        <w:t>自评结论</w:t>
      </w:r>
    </w:p>
    <w:p w14:paraId="221980C6">
      <w:pPr>
        <w:widowControl/>
        <w:spacing w:line="600" w:lineRule="exact"/>
        <w:ind w:firstLine="640"/>
        <w:jc w:val="left"/>
        <w:rPr>
          <w:rFonts w:ascii="宋体" w:hAnsi="宋体" w:cs="宋体"/>
          <w:sz w:val="28"/>
          <w:szCs w:val="28"/>
        </w:rPr>
      </w:pPr>
      <w:r>
        <w:rPr>
          <w:rFonts w:hint="eastAsia" w:ascii="宋体" w:hAnsi="宋体" w:cs="宋体"/>
          <w:sz w:val="28"/>
          <w:szCs w:val="28"/>
        </w:rPr>
        <w:t>经上述分析评价，我们认为：</w:t>
      </w:r>
    </w:p>
    <w:p w14:paraId="58AC05AD">
      <w:pPr>
        <w:widowControl/>
        <w:spacing w:line="600" w:lineRule="exact"/>
        <w:ind w:firstLine="640"/>
        <w:jc w:val="left"/>
        <w:rPr>
          <w:rFonts w:ascii="宋体" w:hAnsi="宋体" w:cs="宋体"/>
          <w:sz w:val="28"/>
          <w:szCs w:val="28"/>
        </w:rPr>
      </w:pPr>
      <w:r>
        <w:rPr>
          <w:rFonts w:hint="eastAsia" w:ascii="宋体" w:hAnsi="宋体" w:cs="宋体"/>
          <w:sz w:val="28"/>
          <w:szCs w:val="28"/>
        </w:rPr>
        <w:t>2017年度“村级正常运转经费”项目完成情况较好，满足了项目设立时的要求。</w:t>
      </w:r>
    </w:p>
    <w:p w14:paraId="2A139110">
      <w:pPr>
        <w:widowControl/>
        <w:spacing w:line="600" w:lineRule="exact"/>
        <w:ind w:firstLine="640"/>
        <w:jc w:val="left"/>
        <w:rPr>
          <w:rFonts w:ascii="宋体" w:hAnsi="宋体" w:cs="宋体"/>
          <w:sz w:val="28"/>
          <w:szCs w:val="28"/>
        </w:rPr>
      </w:pPr>
      <w:r>
        <w:rPr>
          <w:rFonts w:hint="eastAsia" w:ascii="宋体" w:hAnsi="宋体" w:cs="宋体"/>
          <w:sz w:val="28"/>
          <w:szCs w:val="28"/>
        </w:rPr>
        <w:t>村政府通过公正、公开的渠道确保离任村干部生活补助的发放。</w:t>
      </w:r>
    </w:p>
    <w:p w14:paraId="6C2D6597">
      <w:pPr>
        <w:widowControl/>
        <w:spacing w:line="600" w:lineRule="exact"/>
        <w:ind w:firstLine="640"/>
        <w:jc w:val="left"/>
        <w:rPr>
          <w:rFonts w:ascii="宋体" w:hAnsi="宋体" w:cs="宋体"/>
          <w:sz w:val="28"/>
          <w:szCs w:val="28"/>
        </w:rPr>
      </w:pPr>
      <w:r>
        <w:rPr>
          <w:rFonts w:hint="eastAsia" w:ascii="宋体" w:hAnsi="宋体" w:cs="宋体"/>
          <w:sz w:val="28"/>
          <w:szCs w:val="28"/>
        </w:rPr>
        <w:t>从产出和效果上来看，较好的完成了年初制订的各项项目工作内容，实现了预期效果，取得了很高的用户满意度。</w:t>
      </w:r>
    </w:p>
    <w:p w14:paraId="28FCE9EA">
      <w:pPr>
        <w:widowControl/>
        <w:spacing w:line="600" w:lineRule="exact"/>
        <w:ind w:firstLine="640"/>
        <w:jc w:val="left"/>
        <w:rPr>
          <w:rFonts w:ascii="宋体" w:hAnsi="宋体" w:cs="宋体"/>
          <w:sz w:val="28"/>
          <w:szCs w:val="28"/>
        </w:rPr>
      </w:pPr>
      <w:r>
        <w:rPr>
          <w:rFonts w:hint="eastAsia" w:ascii="宋体" w:hAnsi="宋体" w:cs="宋体"/>
          <w:sz w:val="28"/>
          <w:szCs w:val="28"/>
        </w:rPr>
        <w:t>绩效评价综合得分93.00分，评价结果为优。</w:t>
      </w:r>
    </w:p>
    <w:p w14:paraId="2D2C896C">
      <w:pPr>
        <w:widowControl/>
        <w:spacing w:line="600" w:lineRule="exact"/>
        <w:ind w:firstLine="640"/>
        <w:jc w:val="left"/>
        <w:rPr>
          <w:rFonts w:ascii="宋体" w:hAnsi="宋体" w:cs="黑体"/>
          <w:sz w:val="28"/>
          <w:szCs w:val="28"/>
        </w:rPr>
      </w:pPr>
      <w:r>
        <w:rPr>
          <w:rFonts w:hint="eastAsia" w:ascii="宋体" w:hAnsi="宋体" w:cs="黑体"/>
          <w:sz w:val="28"/>
          <w:szCs w:val="28"/>
        </w:rPr>
        <w:t>（二）主要经验，存在的问题和改进措施</w:t>
      </w:r>
    </w:p>
    <w:p w14:paraId="0500ADD0">
      <w:pPr>
        <w:widowControl/>
        <w:numPr>
          <w:ilvl w:val="0"/>
          <w:numId w:val="11"/>
        </w:numPr>
        <w:spacing w:line="600" w:lineRule="exact"/>
        <w:ind w:firstLine="640"/>
        <w:jc w:val="left"/>
        <w:rPr>
          <w:rFonts w:ascii="宋体" w:hAnsi="宋体"/>
          <w:sz w:val="28"/>
          <w:szCs w:val="28"/>
        </w:rPr>
      </w:pPr>
      <w:r>
        <w:rPr>
          <w:rFonts w:hint="eastAsia" w:ascii="宋体" w:hAnsi="宋体"/>
          <w:sz w:val="28"/>
          <w:szCs w:val="28"/>
        </w:rPr>
        <w:t>主要经验</w:t>
      </w:r>
    </w:p>
    <w:p w14:paraId="28F68D94">
      <w:pPr>
        <w:widowControl/>
        <w:spacing w:line="600" w:lineRule="exact"/>
        <w:ind w:firstLine="640"/>
        <w:jc w:val="left"/>
        <w:rPr>
          <w:rFonts w:ascii="宋体" w:hAnsi="宋体"/>
          <w:sz w:val="28"/>
          <w:szCs w:val="28"/>
        </w:rPr>
      </w:pPr>
      <w:r>
        <w:rPr>
          <w:rFonts w:hint="eastAsia" w:ascii="宋体" w:hAnsi="宋体"/>
          <w:sz w:val="28"/>
          <w:szCs w:val="28"/>
        </w:rPr>
        <w:t>对离任村主职干部生活补助的发放公平、公正、公开。</w:t>
      </w:r>
    </w:p>
    <w:p w14:paraId="6313B4E4">
      <w:pPr>
        <w:widowControl/>
        <w:spacing w:line="600" w:lineRule="exact"/>
        <w:jc w:val="left"/>
        <w:rPr>
          <w:rFonts w:ascii="宋体" w:hAnsi="宋体"/>
          <w:sz w:val="28"/>
          <w:szCs w:val="28"/>
        </w:rPr>
      </w:pPr>
      <w:r>
        <w:rPr>
          <w:rFonts w:hint="eastAsia" w:ascii="宋体" w:hAnsi="宋体"/>
          <w:sz w:val="28"/>
          <w:szCs w:val="28"/>
        </w:rPr>
        <w:t xml:space="preserve">    2、存在的问题</w:t>
      </w:r>
    </w:p>
    <w:p w14:paraId="1ECC2700">
      <w:pPr>
        <w:widowControl/>
        <w:spacing w:line="600" w:lineRule="exact"/>
        <w:ind w:firstLine="700" w:firstLineChars="250"/>
        <w:jc w:val="left"/>
        <w:rPr>
          <w:rFonts w:ascii="宋体" w:hAnsi="宋体"/>
          <w:sz w:val="28"/>
          <w:szCs w:val="28"/>
        </w:rPr>
      </w:pPr>
      <w:r>
        <w:rPr>
          <w:rFonts w:hint="eastAsia" w:ascii="宋体" w:hAnsi="宋体"/>
          <w:sz w:val="28"/>
          <w:szCs w:val="28"/>
        </w:rPr>
        <w:t>个别村民对给离任村主职干部发放生活补助存在疑义。</w:t>
      </w:r>
    </w:p>
    <w:p w14:paraId="69D99419">
      <w:pPr>
        <w:widowControl/>
        <w:numPr>
          <w:ilvl w:val="0"/>
          <w:numId w:val="12"/>
        </w:numPr>
        <w:spacing w:line="600" w:lineRule="exact"/>
        <w:ind w:firstLine="640"/>
        <w:jc w:val="left"/>
        <w:rPr>
          <w:rFonts w:ascii="宋体" w:hAnsi="宋体" w:cs="宋体"/>
          <w:sz w:val="28"/>
          <w:szCs w:val="28"/>
        </w:rPr>
      </w:pPr>
      <w:r>
        <w:rPr>
          <w:rFonts w:hint="eastAsia" w:ascii="宋体" w:hAnsi="宋体" w:cs="宋体"/>
          <w:sz w:val="28"/>
          <w:szCs w:val="28"/>
        </w:rPr>
        <w:t>改进措施</w:t>
      </w:r>
    </w:p>
    <w:p w14:paraId="5F6940A7">
      <w:pPr>
        <w:widowControl/>
        <w:spacing w:line="600" w:lineRule="exact"/>
        <w:ind w:firstLine="700" w:firstLineChars="250"/>
        <w:jc w:val="left"/>
        <w:rPr>
          <w:rFonts w:ascii="宋体" w:hAnsi="宋体" w:cs="宋体"/>
          <w:sz w:val="28"/>
          <w:szCs w:val="28"/>
        </w:rPr>
      </w:pPr>
      <w:r>
        <w:rPr>
          <w:rFonts w:hint="eastAsia" w:ascii="宋体" w:hAnsi="宋体" w:cs="宋体"/>
          <w:sz w:val="28"/>
          <w:szCs w:val="28"/>
        </w:rPr>
        <w:t>加强相关政策的宣传，加强同村民的沟通，让村民理解和支持对离任村主职干部发放生活补助。</w:t>
      </w:r>
    </w:p>
    <w:p w14:paraId="5FEB8678">
      <w:pPr>
        <w:pStyle w:val="9"/>
        <w:widowControl w:val="0"/>
        <w:numPr>
          <w:ilvl w:val="0"/>
          <w:numId w:val="0"/>
        </w:numPr>
        <w:tabs>
          <w:tab w:val="left" w:pos="993"/>
          <w:tab w:val="left" w:pos="1418"/>
        </w:tabs>
        <w:spacing w:line="600" w:lineRule="exact"/>
        <w:jc w:val="left"/>
        <w:rPr>
          <w:rFonts w:hint="eastAsia"/>
          <w:sz w:val="28"/>
        </w:rPr>
      </w:pPr>
    </w:p>
    <w:p w14:paraId="18805828">
      <w:pPr>
        <w:pStyle w:val="9"/>
        <w:widowControl w:val="0"/>
        <w:numPr>
          <w:ilvl w:val="0"/>
          <w:numId w:val="0"/>
        </w:numPr>
        <w:tabs>
          <w:tab w:val="left" w:pos="993"/>
          <w:tab w:val="left" w:pos="1418"/>
        </w:tabs>
        <w:spacing w:line="600" w:lineRule="exact"/>
        <w:jc w:val="left"/>
        <w:rPr>
          <w:rFonts w:hint="eastAsia"/>
          <w:sz w:val="28"/>
        </w:rPr>
      </w:pPr>
    </w:p>
    <w:p w14:paraId="15D31EB1">
      <w:pPr>
        <w:pStyle w:val="9"/>
        <w:widowControl w:val="0"/>
        <w:numPr>
          <w:ilvl w:val="0"/>
          <w:numId w:val="0"/>
        </w:numPr>
        <w:tabs>
          <w:tab w:val="left" w:pos="993"/>
          <w:tab w:val="left" w:pos="1418"/>
        </w:tabs>
        <w:spacing w:line="600" w:lineRule="exact"/>
        <w:jc w:val="left"/>
        <w:rPr>
          <w:rFonts w:hint="eastAsia"/>
          <w:sz w:val="28"/>
        </w:rPr>
      </w:pPr>
    </w:p>
    <w:p w14:paraId="25F07247">
      <w:pPr>
        <w:pStyle w:val="9"/>
        <w:widowControl w:val="0"/>
        <w:numPr>
          <w:ilvl w:val="0"/>
          <w:numId w:val="0"/>
        </w:numPr>
        <w:tabs>
          <w:tab w:val="left" w:pos="993"/>
          <w:tab w:val="left" w:pos="1418"/>
        </w:tabs>
        <w:spacing w:line="600" w:lineRule="exact"/>
        <w:jc w:val="left"/>
        <w:rPr>
          <w:rFonts w:hint="eastAsia"/>
          <w:sz w:val="28"/>
        </w:rPr>
      </w:pPr>
    </w:p>
    <w:p w14:paraId="3EA2BF9E">
      <w:pPr>
        <w:pStyle w:val="9"/>
        <w:widowControl w:val="0"/>
        <w:numPr>
          <w:ilvl w:val="0"/>
          <w:numId w:val="0"/>
        </w:numPr>
        <w:tabs>
          <w:tab w:val="left" w:pos="993"/>
          <w:tab w:val="left" w:pos="1418"/>
        </w:tabs>
        <w:spacing w:line="600" w:lineRule="exact"/>
        <w:jc w:val="left"/>
        <w:rPr>
          <w:rFonts w:hint="eastAsia"/>
          <w:sz w:val="28"/>
        </w:rPr>
      </w:pPr>
    </w:p>
    <w:p w14:paraId="6B22302D">
      <w:pPr>
        <w:pStyle w:val="9"/>
        <w:widowControl w:val="0"/>
        <w:numPr>
          <w:ilvl w:val="0"/>
          <w:numId w:val="0"/>
        </w:numPr>
        <w:tabs>
          <w:tab w:val="left" w:pos="993"/>
          <w:tab w:val="left" w:pos="1418"/>
        </w:tabs>
        <w:spacing w:line="600" w:lineRule="exact"/>
        <w:jc w:val="left"/>
        <w:rPr>
          <w:rFonts w:hint="eastAsia"/>
          <w:sz w:val="28"/>
        </w:rPr>
      </w:pPr>
    </w:p>
    <w:p w14:paraId="492A65FD">
      <w:pPr>
        <w:pStyle w:val="9"/>
        <w:widowControl w:val="0"/>
        <w:numPr>
          <w:ilvl w:val="0"/>
          <w:numId w:val="0"/>
        </w:numPr>
        <w:tabs>
          <w:tab w:val="left" w:pos="993"/>
          <w:tab w:val="left" w:pos="1418"/>
        </w:tabs>
        <w:spacing w:line="600" w:lineRule="exact"/>
        <w:jc w:val="left"/>
        <w:rPr>
          <w:rFonts w:hint="eastAsia"/>
          <w:sz w:val="28"/>
        </w:rPr>
      </w:pPr>
    </w:p>
    <w:p w14:paraId="292FD9A9">
      <w:pPr>
        <w:pStyle w:val="9"/>
        <w:widowControl w:val="0"/>
        <w:numPr>
          <w:ilvl w:val="0"/>
          <w:numId w:val="0"/>
        </w:numPr>
        <w:tabs>
          <w:tab w:val="left" w:pos="993"/>
          <w:tab w:val="left" w:pos="1418"/>
        </w:tabs>
        <w:spacing w:line="600" w:lineRule="exact"/>
        <w:jc w:val="left"/>
        <w:rPr>
          <w:rFonts w:hint="eastAsia"/>
          <w:sz w:val="28"/>
        </w:rPr>
      </w:pPr>
    </w:p>
    <w:p w14:paraId="3EF87C6F">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6098C4BE">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5366B6B8">
      <w:pPr>
        <w:rPr>
          <w:rFonts w:hint="eastAsia"/>
          <w:sz w:val="32"/>
          <w:szCs w:val="32"/>
        </w:rPr>
      </w:pPr>
    </w:p>
    <w:p w14:paraId="0781D5AB">
      <w:pPr>
        <w:rPr>
          <w:rFonts w:hint="eastAsia"/>
          <w:sz w:val="32"/>
          <w:szCs w:val="32"/>
        </w:rPr>
      </w:pPr>
    </w:p>
    <w:p w14:paraId="6EF1A58B">
      <w:pPr>
        <w:rPr>
          <w:rFonts w:hint="eastAsia"/>
          <w:sz w:val="32"/>
          <w:szCs w:val="32"/>
        </w:rPr>
      </w:pPr>
    </w:p>
    <w:p w14:paraId="7079901D">
      <w:pPr>
        <w:rPr>
          <w:rFonts w:hint="eastAsia"/>
          <w:sz w:val="32"/>
          <w:szCs w:val="32"/>
        </w:rPr>
      </w:pPr>
    </w:p>
    <w:p w14:paraId="0C665FEF">
      <w:pPr>
        <w:rPr>
          <w:sz w:val="32"/>
          <w:szCs w:val="32"/>
        </w:rPr>
      </w:pPr>
    </w:p>
    <w:p w14:paraId="73F0BA8B">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九峰街道办事处以钱养事经费       </w:t>
      </w:r>
    </w:p>
    <w:p w14:paraId="3F1DFC12">
      <w:pPr>
        <w:ind w:left="420" w:leftChars="200"/>
        <w:rPr>
          <w:rFonts w:hint="eastAsia"/>
          <w:sz w:val="32"/>
          <w:szCs w:val="32"/>
          <w:u w:val="single"/>
        </w:rPr>
      </w:pPr>
      <w:r>
        <w:rPr>
          <w:rFonts w:hint="eastAsia"/>
          <w:sz w:val="32"/>
          <w:szCs w:val="32"/>
        </w:rPr>
        <w:t>项目单位：</w:t>
      </w:r>
      <w:r>
        <w:rPr>
          <w:rFonts w:hint="eastAsia"/>
          <w:sz w:val="32"/>
          <w:szCs w:val="32"/>
          <w:u w:val="single"/>
        </w:rPr>
        <w:t>武汉东湖新技术开发区九峰街道办事处</w:t>
      </w:r>
    </w:p>
    <w:p w14:paraId="4F07C01A">
      <w:pPr>
        <w:ind w:left="420" w:leftChars="200"/>
        <w:rPr>
          <w:sz w:val="32"/>
          <w:szCs w:val="32"/>
        </w:rPr>
      </w:pPr>
      <w:r>
        <w:rPr>
          <w:rFonts w:hint="eastAsia"/>
          <w:sz w:val="32"/>
          <w:szCs w:val="32"/>
        </w:rPr>
        <w:t>主管部门：</w:t>
      </w:r>
      <w:r>
        <w:rPr>
          <w:rFonts w:hint="eastAsia"/>
          <w:sz w:val="32"/>
          <w:szCs w:val="32"/>
          <w:u w:val="single"/>
        </w:rPr>
        <w:t xml:space="preserve">武汉东湖新技术开发区管理委员会    </w:t>
      </w:r>
    </w:p>
    <w:p w14:paraId="0C337C2D">
      <w:pPr>
        <w:ind w:left="420" w:leftChars="200"/>
        <w:rPr>
          <w:rFonts w:hint="eastAsia"/>
          <w:sz w:val="32"/>
          <w:szCs w:val="32"/>
        </w:rPr>
      </w:pPr>
      <w:r>
        <w:rPr>
          <w:rFonts w:hint="eastAsia"/>
          <w:sz w:val="32"/>
          <w:szCs w:val="32"/>
        </w:rPr>
        <w:t>区财政局主管业务科室；</w:t>
      </w:r>
      <w:r>
        <w:rPr>
          <w:rFonts w:hint="eastAsia"/>
          <w:sz w:val="32"/>
          <w:szCs w:val="32"/>
          <w:u w:val="single"/>
        </w:rPr>
        <w:t xml:space="preserve">预算科                </w:t>
      </w:r>
    </w:p>
    <w:p w14:paraId="0E2BA444">
      <w:pPr>
        <w:rPr>
          <w:sz w:val="32"/>
          <w:szCs w:val="32"/>
        </w:rPr>
      </w:pPr>
      <w:r>
        <w:rPr>
          <w:rFonts w:hint="eastAsia"/>
          <w:sz w:val="32"/>
          <w:szCs w:val="32"/>
        </w:rPr>
        <w:t xml:space="preserve">   评价单位：</w:t>
      </w:r>
      <w:r>
        <w:rPr>
          <w:rFonts w:hint="eastAsia"/>
          <w:sz w:val="32"/>
          <w:szCs w:val="32"/>
          <w:u w:val="single"/>
        </w:rPr>
        <w:t xml:space="preserve">武汉康力会计师事务有限责任公司    </w:t>
      </w:r>
    </w:p>
    <w:p w14:paraId="229C8758">
      <w:pPr>
        <w:rPr>
          <w:rFonts w:hint="eastAsia"/>
          <w:sz w:val="32"/>
          <w:szCs w:val="32"/>
        </w:rPr>
      </w:pPr>
    </w:p>
    <w:p w14:paraId="0C34FDCB">
      <w:pPr>
        <w:rPr>
          <w:rFonts w:hint="eastAsia"/>
          <w:sz w:val="32"/>
          <w:szCs w:val="32"/>
        </w:rPr>
      </w:pPr>
    </w:p>
    <w:p w14:paraId="28165C6F">
      <w:pPr>
        <w:rPr>
          <w:rFonts w:hint="eastAsia"/>
          <w:sz w:val="32"/>
          <w:szCs w:val="32"/>
        </w:rPr>
      </w:pPr>
    </w:p>
    <w:p w14:paraId="68E1B412">
      <w:pPr>
        <w:rPr>
          <w:sz w:val="32"/>
          <w:szCs w:val="32"/>
        </w:rPr>
      </w:pPr>
    </w:p>
    <w:p w14:paraId="44984B4A">
      <w:pPr>
        <w:rPr>
          <w:rFonts w:hint="eastAsia"/>
          <w:sz w:val="32"/>
          <w:szCs w:val="32"/>
        </w:rPr>
      </w:pPr>
    </w:p>
    <w:p w14:paraId="02C82207">
      <w:pPr>
        <w:jc w:val="center"/>
        <w:rPr>
          <w:sz w:val="32"/>
          <w:szCs w:val="32"/>
        </w:rPr>
      </w:pPr>
      <w:r>
        <w:rPr>
          <w:rFonts w:hint="eastAsia"/>
          <w:sz w:val="32"/>
          <w:szCs w:val="32"/>
        </w:rPr>
        <w:t>2018年 6月</w:t>
      </w:r>
    </w:p>
    <w:p w14:paraId="2CE0956A">
      <w:pPr>
        <w:spacing w:line="360" w:lineRule="auto"/>
        <w:ind w:firstLine="640" w:firstLineChars="200"/>
        <w:rPr>
          <w:rFonts w:hint="eastAsia" w:ascii="黑体" w:hAnsi="黑体" w:eastAsia="黑体"/>
          <w:b/>
          <w:sz w:val="30"/>
          <w:szCs w:val="30"/>
        </w:rPr>
      </w:pPr>
      <w:r>
        <w:rPr>
          <w:sz w:val="32"/>
          <w:szCs w:val="32"/>
        </w:rPr>
        <w:br w:type="page"/>
      </w:r>
      <w:r>
        <w:rPr>
          <w:rFonts w:hint="eastAsia" w:ascii="黑体" w:hAnsi="黑体" w:eastAsia="黑体"/>
          <w:b/>
          <w:sz w:val="30"/>
          <w:szCs w:val="30"/>
        </w:rPr>
        <w:t>一、项目基本情况</w:t>
      </w:r>
    </w:p>
    <w:p w14:paraId="31B3E7FD">
      <w:pPr>
        <w:spacing w:line="360" w:lineRule="auto"/>
        <w:ind w:firstLine="560" w:firstLineChars="200"/>
        <w:rPr>
          <w:sz w:val="28"/>
        </w:rPr>
      </w:pPr>
      <w:r>
        <w:rPr>
          <w:rFonts w:hint="eastAsia" w:ascii="楷体_GB2312" w:eastAsia="楷体_GB2312"/>
          <w:sz w:val="28"/>
        </w:rPr>
        <w:t>（一）项目概况</w:t>
      </w:r>
    </w:p>
    <w:p w14:paraId="210C1F4A">
      <w:pPr>
        <w:spacing w:line="360" w:lineRule="auto"/>
        <w:ind w:firstLine="560" w:firstLineChars="200"/>
        <w:rPr>
          <w:rFonts w:hint="eastAsia"/>
          <w:sz w:val="28"/>
        </w:rPr>
      </w:pPr>
      <w:r>
        <w:rPr>
          <w:rFonts w:hint="eastAsia"/>
          <w:sz w:val="28"/>
        </w:rPr>
        <w:t>武汉东湖新技术开发区九峰街道办事处（以下简称“九峰街道办”）在武汉东湖新技术开发区（以下简称“高新区”）党工委、管委会的领导下，贯彻执行党的路线、方针、政策和国家的各项法律、法规，负责街道辖区内的地区性、群众性、公益性、社会性工作，按照职责范围，负责街道辖区内的城市管理、市容环境卫生、环境保护等监督、管理、服务工作。</w:t>
      </w:r>
    </w:p>
    <w:p w14:paraId="33C21C70">
      <w:pPr>
        <w:spacing w:line="360" w:lineRule="auto"/>
        <w:ind w:firstLine="560" w:firstLineChars="200"/>
        <w:rPr>
          <w:rFonts w:hint="eastAsia"/>
          <w:sz w:val="28"/>
        </w:rPr>
      </w:pPr>
      <w:r>
        <w:rPr>
          <w:rFonts w:hint="eastAsia"/>
          <w:sz w:val="28"/>
        </w:rPr>
        <w:t>“以钱养事经费”系九峰街道办开展以钱养事工作的日常工作经费，为九峰街道办下设的以钱养事单位提供工作经费保障，确保辖区以钱养事工作有序开展。</w:t>
      </w:r>
    </w:p>
    <w:p w14:paraId="703121C2">
      <w:pPr>
        <w:spacing w:line="360" w:lineRule="auto"/>
        <w:ind w:firstLine="560" w:firstLineChars="200"/>
        <w:rPr>
          <w:rFonts w:hint="eastAsia"/>
          <w:sz w:val="28"/>
        </w:rPr>
      </w:pPr>
      <w:r>
        <w:rPr>
          <w:rFonts w:hint="eastAsia"/>
          <w:sz w:val="28"/>
        </w:rPr>
        <w:t>以钱养事经费预算主要以以年度服务合同确定的劳务费总额编制，签订劳务服务合同的以钱养事在职人员数量的增减和区域性工资水平的变动都会影响该项金额实际支出的变化。</w:t>
      </w:r>
    </w:p>
    <w:p w14:paraId="0E2483B3">
      <w:pPr>
        <w:spacing w:line="360" w:lineRule="auto"/>
        <w:ind w:firstLine="560" w:firstLineChars="200"/>
        <w:rPr>
          <w:rFonts w:hint="eastAsia"/>
          <w:sz w:val="28"/>
        </w:rPr>
      </w:pPr>
      <w:r>
        <w:rPr>
          <w:rFonts w:hint="eastAsia"/>
          <w:sz w:val="28"/>
        </w:rPr>
        <w:t>2017年，九峰街道办事处以钱养事工作以省、市、区以钱养事工作会议精神为指导，坚持政府农村公益性服务相关政策和法律法规，2017年申请预算资金的主要投向为建设区级配套服务中心、建设街道配套服务中心和车改项目，推动街道配套服务的转型升级，以更好地为民服务，建立良好的社区环境。</w:t>
      </w:r>
    </w:p>
    <w:p w14:paraId="2E7C08D4">
      <w:pPr>
        <w:spacing w:line="360" w:lineRule="auto"/>
        <w:ind w:firstLine="560" w:firstLineChars="200"/>
        <w:rPr>
          <w:rFonts w:hint="eastAsia"/>
          <w:sz w:val="28"/>
        </w:rPr>
      </w:pPr>
      <w:r>
        <w:rPr>
          <w:rFonts w:hint="eastAsia" w:ascii="楷体_GB2312" w:eastAsia="楷体_GB2312"/>
          <w:sz w:val="28"/>
        </w:rPr>
        <w:t>（二）项目预算绩效目标</w:t>
      </w:r>
    </w:p>
    <w:p w14:paraId="7B7A21F9">
      <w:pPr>
        <w:spacing w:line="360" w:lineRule="auto"/>
        <w:ind w:firstLine="560" w:firstLineChars="200"/>
        <w:rPr>
          <w:rFonts w:hint="eastAsia"/>
          <w:sz w:val="28"/>
        </w:rPr>
      </w:pPr>
      <w:r>
        <w:rPr>
          <w:rFonts w:hint="eastAsia"/>
          <w:sz w:val="28"/>
        </w:rPr>
        <w:t>根据《2017年部门项目申报及绩效目标表》，以钱养事经费绩效总目标如下：以加强农村公益服务为目的，大胆创新管理体制和运行机制，在单位转变性质、人员转变身份、实现全员养老保险的同时，加大财政投入力度，实行政府采购，花钱购买农村公益服务。</w:t>
      </w:r>
    </w:p>
    <w:p w14:paraId="71A40691">
      <w:pPr>
        <w:numPr>
          <w:ilvl w:val="0"/>
          <w:numId w:val="9"/>
        </w:numPr>
        <w:spacing w:line="360" w:lineRule="auto"/>
        <w:rPr>
          <w:rFonts w:hint="eastAsia"/>
          <w:sz w:val="28"/>
        </w:rPr>
      </w:pPr>
      <w:r>
        <w:rPr>
          <w:rFonts w:hint="eastAsia"/>
          <w:sz w:val="28"/>
        </w:rPr>
        <w:t>产出目标</w:t>
      </w:r>
    </w:p>
    <w:p w14:paraId="5C711F04">
      <w:pPr>
        <w:spacing w:line="360" w:lineRule="auto"/>
        <w:ind w:firstLine="560" w:firstLineChars="200"/>
        <w:rPr>
          <w:sz w:val="28"/>
        </w:rPr>
      </w:pPr>
      <w:r>
        <w:rPr>
          <w:rFonts w:hint="eastAsia"/>
          <w:sz w:val="28"/>
        </w:rPr>
        <w:t>产出目标包括数量指标、质量指标、时效指标和成本指标。</w:t>
      </w:r>
    </w:p>
    <w:p w14:paraId="5CA15237">
      <w:pPr>
        <w:spacing w:line="360" w:lineRule="auto"/>
        <w:ind w:firstLine="560" w:firstLineChars="200"/>
        <w:rPr>
          <w:sz w:val="28"/>
        </w:rPr>
      </w:pPr>
      <w:r>
        <w:rPr>
          <w:rFonts w:hint="eastAsia"/>
          <w:sz w:val="28"/>
        </w:rPr>
        <w:t>（1）数量指标：</w:t>
      </w:r>
    </w:p>
    <w:p w14:paraId="6E1EA47C">
      <w:pPr>
        <w:spacing w:line="360" w:lineRule="auto"/>
        <w:ind w:firstLine="560" w:firstLineChars="200"/>
        <w:rPr>
          <w:sz w:val="28"/>
        </w:rPr>
      </w:pPr>
      <w:r>
        <w:rPr>
          <w:rFonts w:hint="eastAsia"/>
          <w:sz w:val="28"/>
        </w:rPr>
        <w:t>指标内容：合理设置签订劳务服务合同的以钱养事在职人员人数和以钱养事服务中心的数量，兼顾成本与效益原则。</w:t>
      </w:r>
    </w:p>
    <w:p w14:paraId="6F559262">
      <w:pPr>
        <w:spacing w:line="360" w:lineRule="auto"/>
        <w:ind w:firstLine="560" w:firstLineChars="200"/>
        <w:rPr>
          <w:sz w:val="28"/>
        </w:rPr>
      </w:pPr>
      <w:r>
        <w:rPr>
          <w:rFonts w:hint="eastAsia"/>
          <w:sz w:val="28"/>
        </w:rPr>
        <w:t>（2）质量指标：</w:t>
      </w:r>
    </w:p>
    <w:p w14:paraId="6C780C5D">
      <w:pPr>
        <w:spacing w:line="360" w:lineRule="auto"/>
        <w:ind w:firstLine="560" w:firstLineChars="200"/>
        <w:rPr>
          <w:sz w:val="28"/>
        </w:rPr>
      </w:pPr>
      <w:r>
        <w:rPr>
          <w:rFonts w:hint="eastAsia"/>
          <w:sz w:val="28"/>
        </w:rPr>
        <w:t>指标内容：配套服务中心的建设和服务覆盖率均达到100% 。</w:t>
      </w:r>
    </w:p>
    <w:p w14:paraId="565403C0">
      <w:pPr>
        <w:spacing w:line="360" w:lineRule="auto"/>
        <w:ind w:firstLine="560" w:firstLineChars="200"/>
        <w:rPr>
          <w:sz w:val="28"/>
        </w:rPr>
      </w:pPr>
      <w:r>
        <w:rPr>
          <w:rFonts w:hint="eastAsia"/>
          <w:sz w:val="28"/>
        </w:rPr>
        <w:t>（3）时效指标：</w:t>
      </w:r>
    </w:p>
    <w:p w14:paraId="15FDB9D2">
      <w:pPr>
        <w:spacing w:line="360" w:lineRule="auto"/>
        <w:ind w:firstLine="560" w:firstLineChars="200"/>
        <w:rPr>
          <w:sz w:val="28"/>
        </w:rPr>
      </w:pPr>
      <w:r>
        <w:rPr>
          <w:rFonts w:hint="eastAsia"/>
          <w:sz w:val="28"/>
        </w:rPr>
        <w:t>指标内容：2017年年内完成上级下达的区级配套服务中心、街道配套服务中心、车改项目目标。</w:t>
      </w:r>
    </w:p>
    <w:p w14:paraId="24F80926">
      <w:pPr>
        <w:spacing w:line="360" w:lineRule="auto"/>
        <w:ind w:firstLine="560" w:firstLineChars="200"/>
        <w:rPr>
          <w:rFonts w:hint="eastAsia"/>
          <w:sz w:val="28"/>
        </w:rPr>
      </w:pPr>
      <w:r>
        <w:rPr>
          <w:rFonts w:hint="eastAsia"/>
          <w:sz w:val="28"/>
        </w:rPr>
        <w:t>（4）成本指标：149万元。</w:t>
      </w:r>
    </w:p>
    <w:p w14:paraId="3CFB869B">
      <w:pPr>
        <w:spacing w:line="360" w:lineRule="auto"/>
        <w:ind w:firstLine="560" w:firstLineChars="200"/>
        <w:rPr>
          <w:rFonts w:hint="eastAsia"/>
          <w:sz w:val="28"/>
        </w:rPr>
      </w:pPr>
      <w:r>
        <w:rPr>
          <w:rFonts w:hint="eastAsia"/>
          <w:sz w:val="28"/>
        </w:rPr>
        <w:t>2．效果目标</w:t>
      </w:r>
    </w:p>
    <w:p w14:paraId="2C51B33F">
      <w:pPr>
        <w:spacing w:line="360" w:lineRule="auto"/>
        <w:ind w:firstLine="560" w:firstLineChars="200"/>
        <w:rPr>
          <w:sz w:val="28"/>
        </w:rPr>
      </w:pPr>
      <w:r>
        <w:rPr>
          <w:rFonts w:hint="eastAsia"/>
          <w:sz w:val="28"/>
        </w:rPr>
        <w:t>效果目标一般包含经济效益指标、社会效益指标、环境效益指标、可持续影响指标和社会公众或服务对象满意度指标。</w:t>
      </w:r>
    </w:p>
    <w:p w14:paraId="25CFE8EB">
      <w:pPr>
        <w:spacing w:line="360" w:lineRule="auto"/>
        <w:ind w:firstLine="560" w:firstLineChars="200"/>
        <w:rPr>
          <w:rFonts w:hint="eastAsia"/>
          <w:sz w:val="28"/>
        </w:rPr>
      </w:pPr>
      <w:r>
        <w:rPr>
          <w:rFonts w:hint="eastAsia"/>
          <w:sz w:val="28"/>
        </w:rPr>
        <w:t>（1）经济效益指标：属于农村公益性服务事业，无直接经济效益；</w:t>
      </w:r>
    </w:p>
    <w:p w14:paraId="61BA0A76">
      <w:pPr>
        <w:spacing w:line="360" w:lineRule="auto"/>
        <w:ind w:firstLine="560" w:firstLineChars="200"/>
        <w:rPr>
          <w:rFonts w:hint="eastAsia"/>
          <w:sz w:val="28"/>
        </w:rPr>
      </w:pPr>
      <w:r>
        <w:rPr>
          <w:rFonts w:hint="eastAsia"/>
          <w:sz w:val="28"/>
        </w:rPr>
        <w:t>（2）社会效益指标：推动农村社会公共事业发展，为人民服务。</w:t>
      </w:r>
    </w:p>
    <w:p w14:paraId="6D3FE921">
      <w:pPr>
        <w:spacing w:line="360" w:lineRule="auto"/>
        <w:ind w:firstLine="560" w:firstLineChars="200"/>
        <w:rPr>
          <w:rFonts w:hint="eastAsia"/>
          <w:sz w:val="28"/>
        </w:rPr>
      </w:pPr>
      <w:r>
        <w:rPr>
          <w:rFonts w:hint="eastAsia"/>
          <w:sz w:val="28"/>
        </w:rPr>
        <w:t xml:space="preserve">（3）环境效益指标：提升乡村村民生活质量，改善乡村生活环境； </w:t>
      </w:r>
    </w:p>
    <w:p w14:paraId="0EF358D0">
      <w:pPr>
        <w:spacing w:line="360" w:lineRule="auto"/>
        <w:ind w:firstLine="560" w:firstLineChars="200"/>
        <w:rPr>
          <w:rFonts w:hint="eastAsia"/>
          <w:sz w:val="28"/>
        </w:rPr>
      </w:pPr>
      <w:r>
        <w:rPr>
          <w:rFonts w:hint="eastAsia"/>
          <w:sz w:val="28"/>
        </w:rPr>
        <w:t>（4）可持续影响指标：计划为常年、连续投入资金，确保项目持续发挥良好作用；</w:t>
      </w:r>
    </w:p>
    <w:p w14:paraId="65BFF6A2">
      <w:pPr>
        <w:spacing w:line="360" w:lineRule="auto"/>
        <w:ind w:firstLine="560" w:firstLineChars="200"/>
        <w:rPr>
          <w:rFonts w:hint="eastAsia"/>
          <w:sz w:val="28"/>
        </w:rPr>
      </w:pPr>
      <w:r>
        <w:rPr>
          <w:rFonts w:hint="eastAsia"/>
          <w:sz w:val="28"/>
        </w:rPr>
        <w:t>（5）社会公众或服务对象满意度指标：居民满意度不低于90%，工作及服务质量投诉率不高于5%。</w:t>
      </w:r>
    </w:p>
    <w:p w14:paraId="430487EC">
      <w:pPr>
        <w:spacing w:line="360" w:lineRule="auto"/>
        <w:ind w:firstLine="602" w:firstLineChars="200"/>
        <w:rPr>
          <w:rFonts w:hint="eastAsia" w:ascii="黑体" w:hAnsi="黑体" w:eastAsia="黑体"/>
          <w:b/>
          <w:sz w:val="30"/>
          <w:szCs w:val="30"/>
        </w:rPr>
      </w:pPr>
    </w:p>
    <w:p w14:paraId="77F85BC3">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二、项目绩效分析</w:t>
      </w:r>
    </w:p>
    <w:p w14:paraId="2B672959">
      <w:pPr>
        <w:spacing w:line="360" w:lineRule="auto"/>
        <w:ind w:firstLine="560" w:firstLineChars="200"/>
        <w:rPr>
          <w:rFonts w:hint="eastAsia" w:ascii="楷体_GB2312" w:eastAsia="楷体_GB2312"/>
          <w:sz w:val="28"/>
        </w:rPr>
      </w:pPr>
      <w:r>
        <w:rPr>
          <w:rFonts w:hint="eastAsia" w:ascii="楷体_GB2312" w:eastAsia="楷体_GB2312"/>
          <w:sz w:val="28"/>
        </w:rPr>
        <w:t>（一）项目管理情况</w:t>
      </w:r>
    </w:p>
    <w:p w14:paraId="1C5BCA68">
      <w:pPr>
        <w:spacing w:line="360" w:lineRule="auto"/>
        <w:ind w:firstLine="560" w:firstLineChars="200"/>
        <w:rPr>
          <w:rFonts w:hint="eastAsia"/>
          <w:sz w:val="28"/>
        </w:rPr>
      </w:pPr>
      <w:r>
        <w:rPr>
          <w:rFonts w:hint="eastAsia"/>
          <w:sz w:val="28"/>
        </w:rPr>
        <w:t>l．业务管理情况</w:t>
      </w:r>
    </w:p>
    <w:p w14:paraId="7771C02F">
      <w:pPr>
        <w:spacing w:line="360" w:lineRule="auto"/>
        <w:ind w:firstLine="560" w:firstLineChars="200"/>
        <w:rPr>
          <w:rFonts w:hint="eastAsia"/>
          <w:sz w:val="28"/>
        </w:rPr>
      </w:pPr>
      <w:r>
        <w:rPr>
          <w:rFonts w:hint="eastAsia"/>
          <w:sz w:val="28"/>
        </w:rPr>
        <w:t>（1）项目基础资料</w:t>
      </w:r>
    </w:p>
    <w:p w14:paraId="18F96043">
      <w:pPr>
        <w:spacing w:line="360" w:lineRule="auto"/>
        <w:ind w:firstLine="560" w:firstLineChars="200"/>
        <w:rPr>
          <w:rFonts w:hint="eastAsia"/>
          <w:sz w:val="28"/>
        </w:rPr>
      </w:pPr>
      <w:r>
        <w:rPr>
          <w:rFonts w:hint="eastAsia"/>
          <w:sz w:val="28"/>
        </w:rPr>
        <w:t>评价人员根据设置的评价指标，查阅综合九峰街道办工作相关资料，各项以钱养事工作均保存有比较完整的基础资料或工作记录。</w:t>
      </w:r>
    </w:p>
    <w:p w14:paraId="23F29253">
      <w:pPr>
        <w:spacing w:line="360" w:lineRule="auto"/>
        <w:ind w:firstLine="560" w:firstLineChars="200"/>
        <w:rPr>
          <w:rFonts w:hint="eastAsia"/>
          <w:sz w:val="28"/>
        </w:rPr>
      </w:pPr>
      <w:r>
        <w:rPr>
          <w:rFonts w:hint="eastAsia"/>
          <w:sz w:val="28"/>
        </w:rPr>
        <w:t>（2）项目质量控制</w:t>
      </w:r>
    </w:p>
    <w:p w14:paraId="7D26D6A3">
      <w:pPr>
        <w:spacing w:line="360" w:lineRule="auto"/>
        <w:ind w:firstLine="560" w:firstLineChars="200"/>
        <w:rPr>
          <w:rFonts w:hint="eastAsia"/>
          <w:sz w:val="28"/>
        </w:rPr>
      </w:pPr>
      <w:r>
        <w:rPr>
          <w:rFonts w:hint="eastAsia"/>
          <w:sz w:val="28"/>
        </w:rPr>
        <w:t>九峰街道办采取了多项措施，确保以钱养事工作质量。</w:t>
      </w:r>
    </w:p>
    <w:p w14:paraId="7F6C7692">
      <w:pPr>
        <w:spacing w:line="360" w:lineRule="auto"/>
        <w:ind w:firstLine="560" w:firstLineChars="200"/>
        <w:rPr>
          <w:rFonts w:hint="eastAsia"/>
          <w:sz w:val="28"/>
        </w:rPr>
      </w:pPr>
      <w:r>
        <w:rPr>
          <w:rFonts w:hint="eastAsia"/>
          <w:sz w:val="28"/>
        </w:rPr>
        <w:t>如：遵照相关法律法规，建立完善符合规范的以钱养事服务中心，进一步规范中心职能，从环卫、企业、农业、后勤、畜牧兽医、计生、文化、引进开发、社会事务方面入手，规范居务、优化服务、拓展商务、协调事务，充分考虑满足广大居民的公共性、一般性服务需求，致力于建立区、街综合服务平台。</w:t>
      </w:r>
    </w:p>
    <w:p w14:paraId="3EC46303">
      <w:pPr>
        <w:spacing w:line="360" w:lineRule="auto"/>
        <w:ind w:firstLine="560" w:firstLineChars="200"/>
        <w:rPr>
          <w:rFonts w:hint="eastAsia"/>
          <w:sz w:val="28"/>
        </w:rPr>
      </w:pPr>
      <w:r>
        <w:rPr>
          <w:rFonts w:hint="eastAsia"/>
          <w:sz w:val="28"/>
        </w:rPr>
        <w:t>（3）项目验收</w:t>
      </w:r>
    </w:p>
    <w:p w14:paraId="60350F34">
      <w:pPr>
        <w:spacing w:line="360" w:lineRule="auto"/>
        <w:ind w:firstLine="560" w:firstLineChars="200"/>
        <w:rPr>
          <w:rFonts w:hint="eastAsia"/>
          <w:sz w:val="28"/>
        </w:rPr>
      </w:pPr>
      <w:r>
        <w:rPr>
          <w:rFonts w:hint="eastAsia"/>
          <w:sz w:val="28"/>
        </w:rPr>
        <w:t>九峰街道办针对全年工作撰写提交了《九峰街道办事处以钱养事工作小结》，九峰街道办事处撰写提交了《九峰街道办事处2017年工作总结及2018年工作要点》，其中包含并总结了以钱养事工作，对九峰街道办的工作进行了验收和评价。</w:t>
      </w:r>
    </w:p>
    <w:p w14:paraId="54BA7926">
      <w:pPr>
        <w:spacing w:line="360" w:lineRule="auto"/>
        <w:ind w:firstLine="560" w:firstLineChars="200"/>
        <w:rPr>
          <w:sz w:val="28"/>
        </w:rPr>
      </w:pPr>
      <w:r>
        <w:rPr>
          <w:rFonts w:hint="eastAsia"/>
          <w:sz w:val="28"/>
        </w:rPr>
        <w:t>2．财务管理情况</w:t>
      </w:r>
    </w:p>
    <w:p w14:paraId="40050A7D">
      <w:pPr>
        <w:spacing w:line="360" w:lineRule="auto"/>
        <w:ind w:firstLine="560" w:firstLineChars="200"/>
        <w:rPr>
          <w:rFonts w:hint="eastAsia"/>
          <w:sz w:val="28"/>
        </w:rPr>
      </w:pPr>
      <w:r>
        <w:rPr>
          <w:rFonts w:hint="eastAsia"/>
          <w:sz w:val="28"/>
        </w:rPr>
        <w:t>根据《武汉东湖新技术开发区九峰街道办事处2017年部门预算草案编制说明》，以钱养事经费预算总额为149万元，街道下设环卫服务中心、企业服务中心、农业服务中心、后勤服务中心、畜牧兽医服务中心、计生服务中心、文化服务中心、引进开发服务中心、社会事务服务中心共计9个以钱养事单位，签订劳务服务合同的在职人员14人。以钱养事经费预算以年度服务合同确定的劳务费总额编制，其中，区街预算资金120.36万元，车改资金20.64万元，参照上年度标准另调入退休人员补差8万。</w:t>
      </w:r>
    </w:p>
    <w:p w14:paraId="7C9101CE">
      <w:pPr>
        <w:spacing w:line="360" w:lineRule="auto"/>
        <w:ind w:firstLine="560" w:firstLineChars="200"/>
        <w:rPr>
          <w:rFonts w:hint="eastAsia"/>
          <w:sz w:val="28"/>
        </w:rPr>
      </w:pPr>
      <w:r>
        <w:rPr>
          <w:rFonts w:hint="eastAsia"/>
          <w:sz w:val="28"/>
        </w:rPr>
        <w:t>2017年度以钱养事经费决算数为149万元，实际预算</w:t>
      </w:r>
      <w:r>
        <w:rPr>
          <w:sz w:val="28"/>
        </w:rPr>
        <w:t>执行率为</w:t>
      </w:r>
      <w:r>
        <w:rPr>
          <w:rFonts w:hint="eastAsia"/>
          <w:sz w:val="28"/>
        </w:rPr>
        <w:t>100% 。</w:t>
      </w:r>
    </w:p>
    <w:p w14:paraId="4E48585D">
      <w:pPr>
        <w:spacing w:line="360" w:lineRule="auto"/>
        <w:ind w:firstLine="560" w:firstLineChars="200"/>
        <w:rPr>
          <w:rFonts w:hint="eastAsia" w:ascii="楷体_GB2312" w:eastAsia="楷体_GB2312"/>
          <w:sz w:val="28"/>
        </w:rPr>
      </w:pPr>
      <w:r>
        <w:rPr>
          <w:rFonts w:hint="eastAsia" w:ascii="楷体_GB2312" w:eastAsia="楷体_GB2312"/>
          <w:sz w:val="28"/>
        </w:rPr>
        <w:t>（二）项目预算绩效目标的完成情况</w:t>
      </w:r>
    </w:p>
    <w:p w14:paraId="5C97F4A7">
      <w:pPr>
        <w:spacing w:line="360" w:lineRule="auto"/>
        <w:ind w:firstLine="560" w:firstLineChars="200"/>
        <w:rPr>
          <w:rFonts w:hint="eastAsia"/>
          <w:sz w:val="28"/>
        </w:rPr>
      </w:pPr>
      <w:r>
        <w:rPr>
          <w:rFonts w:hint="eastAsia"/>
          <w:sz w:val="28"/>
        </w:rPr>
        <w:t>依据年初 “九峰街道办事处以钱养事经费”《项目绩效目标编制说明》，结合2017年度项目实际实施情况，对部分绩效指标做出相应的调整，具体情况如下表《项目预算绩效评价表》。</w:t>
      </w:r>
    </w:p>
    <w:p w14:paraId="70452958">
      <w:pPr>
        <w:spacing w:line="360" w:lineRule="auto"/>
        <w:ind w:firstLine="560" w:firstLineChars="200"/>
        <w:rPr>
          <w:sz w:val="28"/>
        </w:rPr>
      </w:pPr>
      <w:r>
        <w:rPr>
          <w:rFonts w:hint="eastAsia"/>
          <w:sz w:val="28"/>
        </w:rPr>
        <w:t>根据项目特点，分四个方面综合评价“九峰街道办事处以钱养事经费”绩效，并采用百分制予以量化，四个方面及其分值权重如下：</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087C0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4" w:type="dxa"/>
            <w:shd w:val="clear" w:color="auto" w:fill="auto"/>
            <w:vAlign w:val="center"/>
          </w:tcPr>
          <w:p w14:paraId="25580957">
            <w:pPr>
              <w:spacing w:line="360" w:lineRule="auto"/>
              <w:jc w:val="center"/>
              <w:rPr>
                <w:rFonts w:hint="eastAsia"/>
                <w:sz w:val="22"/>
              </w:rPr>
            </w:pPr>
            <w:r>
              <w:rPr>
                <w:rFonts w:hint="eastAsia"/>
                <w:sz w:val="22"/>
              </w:rPr>
              <w:t>项目投入</w:t>
            </w:r>
          </w:p>
        </w:tc>
        <w:tc>
          <w:tcPr>
            <w:tcW w:w="1704" w:type="dxa"/>
            <w:shd w:val="clear" w:color="auto" w:fill="auto"/>
            <w:vAlign w:val="center"/>
          </w:tcPr>
          <w:p w14:paraId="3CE5C402">
            <w:pPr>
              <w:spacing w:line="360" w:lineRule="auto"/>
              <w:jc w:val="center"/>
              <w:rPr>
                <w:rFonts w:hint="eastAsia"/>
                <w:sz w:val="22"/>
              </w:rPr>
            </w:pPr>
            <w:r>
              <w:rPr>
                <w:rFonts w:hint="eastAsia"/>
                <w:sz w:val="22"/>
              </w:rPr>
              <w:t>过程管理</w:t>
            </w:r>
          </w:p>
        </w:tc>
        <w:tc>
          <w:tcPr>
            <w:tcW w:w="1704" w:type="dxa"/>
            <w:shd w:val="clear" w:color="auto" w:fill="auto"/>
            <w:vAlign w:val="center"/>
          </w:tcPr>
          <w:p w14:paraId="55C1E037">
            <w:pPr>
              <w:spacing w:line="360" w:lineRule="auto"/>
              <w:jc w:val="center"/>
              <w:rPr>
                <w:rFonts w:hint="eastAsia"/>
                <w:sz w:val="22"/>
              </w:rPr>
            </w:pPr>
            <w:r>
              <w:rPr>
                <w:rFonts w:hint="eastAsia"/>
                <w:sz w:val="22"/>
              </w:rPr>
              <w:t>项目产出</w:t>
            </w:r>
          </w:p>
        </w:tc>
        <w:tc>
          <w:tcPr>
            <w:tcW w:w="1705" w:type="dxa"/>
            <w:shd w:val="clear" w:color="auto" w:fill="auto"/>
            <w:vAlign w:val="center"/>
          </w:tcPr>
          <w:p w14:paraId="73BA415C">
            <w:pPr>
              <w:spacing w:line="360" w:lineRule="auto"/>
              <w:jc w:val="center"/>
              <w:rPr>
                <w:rFonts w:hint="eastAsia"/>
                <w:sz w:val="22"/>
              </w:rPr>
            </w:pPr>
            <w:r>
              <w:rPr>
                <w:rFonts w:hint="eastAsia"/>
                <w:sz w:val="22"/>
              </w:rPr>
              <w:t>项目效果</w:t>
            </w:r>
          </w:p>
        </w:tc>
        <w:tc>
          <w:tcPr>
            <w:tcW w:w="1705" w:type="dxa"/>
            <w:shd w:val="clear" w:color="auto" w:fill="auto"/>
            <w:vAlign w:val="center"/>
          </w:tcPr>
          <w:p w14:paraId="2D398054">
            <w:pPr>
              <w:spacing w:line="360" w:lineRule="auto"/>
              <w:jc w:val="center"/>
              <w:rPr>
                <w:rFonts w:hint="eastAsia"/>
                <w:sz w:val="22"/>
              </w:rPr>
            </w:pPr>
            <w:r>
              <w:rPr>
                <w:rFonts w:hint="eastAsia"/>
                <w:sz w:val="22"/>
              </w:rPr>
              <w:t>合计</w:t>
            </w:r>
          </w:p>
        </w:tc>
      </w:tr>
      <w:tr w14:paraId="71D9B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4" w:type="dxa"/>
            <w:shd w:val="clear" w:color="auto" w:fill="auto"/>
            <w:vAlign w:val="center"/>
          </w:tcPr>
          <w:p w14:paraId="366C105D">
            <w:pPr>
              <w:spacing w:line="360" w:lineRule="auto"/>
              <w:jc w:val="center"/>
              <w:rPr>
                <w:rFonts w:hint="eastAsia"/>
                <w:sz w:val="22"/>
              </w:rPr>
            </w:pPr>
            <w:r>
              <w:rPr>
                <w:rFonts w:hint="eastAsia"/>
                <w:sz w:val="22"/>
              </w:rPr>
              <w:t>2</w:t>
            </w:r>
            <w:r>
              <w:rPr>
                <w:sz w:val="22"/>
              </w:rPr>
              <w:t>0</w:t>
            </w:r>
          </w:p>
        </w:tc>
        <w:tc>
          <w:tcPr>
            <w:tcW w:w="1704" w:type="dxa"/>
            <w:shd w:val="clear" w:color="auto" w:fill="auto"/>
            <w:vAlign w:val="center"/>
          </w:tcPr>
          <w:p w14:paraId="297849DE">
            <w:pPr>
              <w:spacing w:line="360" w:lineRule="auto"/>
              <w:jc w:val="center"/>
              <w:rPr>
                <w:rFonts w:hint="eastAsia"/>
                <w:sz w:val="22"/>
              </w:rPr>
            </w:pPr>
            <w:r>
              <w:rPr>
                <w:rFonts w:hint="eastAsia"/>
                <w:sz w:val="22"/>
              </w:rPr>
              <w:t>2</w:t>
            </w:r>
            <w:r>
              <w:rPr>
                <w:sz w:val="22"/>
              </w:rPr>
              <w:t>0</w:t>
            </w:r>
          </w:p>
        </w:tc>
        <w:tc>
          <w:tcPr>
            <w:tcW w:w="1704" w:type="dxa"/>
            <w:shd w:val="clear" w:color="auto" w:fill="auto"/>
            <w:vAlign w:val="center"/>
          </w:tcPr>
          <w:p w14:paraId="7B1712B4">
            <w:pPr>
              <w:spacing w:line="360" w:lineRule="auto"/>
              <w:jc w:val="center"/>
              <w:rPr>
                <w:rFonts w:hint="eastAsia"/>
                <w:sz w:val="22"/>
              </w:rPr>
            </w:pPr>
            <w:r>
              <w:rPr>
                <w:rFonts w:hint="eastAsia"/>
                <w:sz w:val="22"/>
              </w:rPr>
              <w:t>3</w:t>
            </w:r>
            <w:r>
              <w:rPr>
                <w:sz w:val="22"/>
              </w:rPr>
              <w:t>0</w:t>
            </w:r>
          </w:p>
        </w:tc>
        <w:tc>
          <w:tcPr>
            <w:tcW w:w="1705" w:type="dxa"/>
            <w:shd w:val="clear" w:color="auto" w:fill="auto"/>
            <w:vAlign w:val="center"/>
          </w:tcPr>
          <w:p w14:paraId="1B308F99">
            <w:pPr>
              <w:spacing w:line="360" w:lineRule="auto"/>
              <w:jc w:val="center"/>
              <w:rPr>
                <w:rFonts w:hint="eastAsia"/>
                <w:sz w:val="22"/>
              </w:rPr>
            </w:pPr>
            <w:r>
              <w:rPr>
                <w:rFonts w:hint="eastAsia"/>
                <w:sz w:val="22"/>
              </w:rPr>
              <w:t>3</w:t>
            </w:r>
            <w:r>
              <w:rPr>
                <w:sz w:val="22"/>
              </w:rPr>
              <w:t>0</w:t>
            </w:r>
          </w:p>
        </w:tc>
        <w:tc>
          <w:tcPr>
            <w:tcW w:w="1705" w:type="dxa"/>
            <w:shd w:val="clear" w:color="auto" w:fill="auto"/>
            <w:vAlign w:val="center"/>
          </w:tcPr>
          <w:p w14:paraId="734B6FEA">
            <w:pPr>
              <w:spacing w:line="360" w:lineRule="auto"/>
              <w:jc w:val="center"/>
              <w:rPr>
                <w:rFonts w:hint="eastAsia"/>
                <w:sz w:val="22"/>
              </w:rPr>
            </w:pPr>
            <w:r>
              <w:rPr>
                <w:rFonts w:hint="eastAsia"/>
                <w:sz w:val="22"/>
              </w:rPr>
              <w:t>1</w:t>
            </w:r>
            <w:r>
              <w:rPr>
                <w:sz w:val="22"/>
              </w:rPr>
              <w:t>00</w:t>
            </w:r>
          </w:p>
        </w:tc>
      </w:tr>
    </w:tbl>
    <w:p w14:paraId="2171CC08">
      <w:pPr>
        <w:spacing w:line="360" w:lineRule="auto"/>
        <w:ind w:firstLine="560" w:firstLineChars="200"/>
        <w:rPr>
          <w:sz w:val="28"/>
        </w:rPr>
      </w:pPr>
      <w:r>
        <w:rPr>
          <w:rFonts w:hint="eastAsia"/>
          <w:sz w:val="28"/>
        </w:rPr>
        <w:t>根据分值将评价结果分为以下几个等级：</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04A7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4" w:type="dxa"/>
            <w:shd w:val="clear" w:color="auto" w:fill="auto"/>
            <w:vAlign w:val="center"/>
          </w:tcPr>
          <w:p w14:paraId="396A4B49">
            <w:pPr>
              <w:spacing w:line="360" w:lineRule="auto"/>
              <w:jc w:val="center"/>
              <w:rPr>
                <w:rFonts w:hint="eastAsia"/>
                <w:sz w:val="22"/>
              </w:rPr>
            </w:pPr>
            <w:r>
              <w:rPr>
                <w:rFonts w:hint="eastAsia"/>
                <w:sz w:val="22"/>
              </w:rPr>
              <w:t>分值区间</w:t>
            </w:r>
          </w:p>
        </w:tc>
        <w:tc>
          <w:tcPr>
            <w:tcW w:w="1704" w:type="dxa"/>
            <w:shd w:val="clear" w:color="auto" w:fill="auto"/>
            <w:vAlign w:val="center"/>
          </w:tcPr>
          <w:p w14:paraId="6825B08E">
            <w:pPr>
              <w:spacing w:line="360" w:lineRule="auto"/>
              <w:jc w:val="center"/>
              <w:rPr>
                <w:rFonts w:hint="eastAsia"/>
                <w:sz w:val="22"/>
              </w:rPr>
            </w:pPr>
            <w:r>
              <w:rPr>
                <w:rFonts w:hint="eastAsia"/>
                <w:sz w:val="22"/>
              </w:rPr>
              <w:t>【1</w:t>
            </w:r>
            <w:r>
              <w:rPr>
                <w:sz w:val="22"/>
              </w:rPr>
              <w:t>00</w:t>
            </w:r>
            <w:r>
              <w:rPr>
                <w:rFonts w:hint="eastAsia"/>
                <w:sz w:val="22"/>
              </w:rPr>
              <w:t>，9</w:t>
            </w:r>
            <w:r>
              <w:rPr>
                <w:sz w:val="22"/>
              </w:rPr>
              <w:t>0</w:t>
            </w:r>
            <w:r>
              <w:rPr>
                <w:rFonts w:hint="eastAsia"/>
                <w:sz w:val="22"/>
              </w:rPr>
              <w:t>】</w:t>
            </w:r>
          </w:p>
        </w:tc>
        <w:tc>
          <w:tcPr>
            <w:tcW w:w="1704" w:type="dxa"/>
            <w:shd w:val="clear" w:color="auto" w:fill="auto"/>
            <w:vAlign w:val="center"/>
          </w:tcPr>
          <w:p w14:paraId="46AF8612">
            <w:pPr>
              <w:spacing w:line="360" w:lineRule="auto"/>
              <w:jc w:val="center"/>
              <w:rPr>
                <w:rFonts w:hint="eastAsia"/>
                <w:sz w:val="22"/>
              </w:rPr>
            </w:pPr>
            <w:r>
              <w:rPr>
                <w:rFonts w:hint="eastAsia"/>
                <w:sz w:val="22"/>
              </w:rPr>
              <w:t>（9</w:t>
            </w:r>
            <w:r>
              <w:rPr>
                <w:sz w:val="22"/>
              </w:rPr>
              <w:t>0</w:t>
            </w:r>
            <w:r>
              <w:rPr>
                <w:rFonts w:hint="eastAsia"/>
                <w:sz w:val="22"/>
              </w:rPr>
              <w:t>，8</w:t>
            </w:r>
            <w:r>
              <w:rPr>
                <w:sz w:val="22"/>
              </w:rPr>
              <w:t>0</w:t>
            </w:r>
            <w:r>
              <w:rPr>
                <w:rFonts w:hint="eastAsia"/>
                <w:sz w:val="22"/>
              </w:rPr>
              <w:t>】</w:t>
            </w:r>
          </w:p>
        </w:tc>
        <w:tc>
          <w:tcPr>
            <w:tcW w:w="1705" w:type="dxa"/>
            <w:shd w:val="clear" w:color="auto" w:fill="auto"/>
            <w:vAlign w:val="center"/>
          </w:tcPr>
          <w:p w14:paraId="1E558F0C">
            <w:pPr>
              <w:spacing w:line="360" w:lineRule="auto"/>
              <w:jc w:val="center"/>
              <w:rPr>
                <w:rFonts w:hint="eastAsia"/>
                <w:sz w:val="22"/>
              </w:rPr>
            </w:pPr>
            <w:r>
              <w:rPr>
                <w:rFonts w:hint="eastAsia"/>
                <w:sz w:val="22"/>
              </w:rPr>
              <w:t>（8</w:t>
            </w:r>
            <w:r>
              <w:rPr>
                <w:sz w:val="22"/>
              </w:rPr>
              <w:t>0</w:t>
            </w:r>
            <w:r>
              <w:rPr>
                <w:rFonts w:hint="eastAsia"/>
                <w:sz w:val="22"/>
              </w:rPr>
              <w:t>，6</w:t>
            </w:r>
            <w:r>
              <w:rPr>
                <w:sz w:val="22"/>
              </w:rPr>
              <w:t>0</w:t>
            </w:r>
            <w:r>
              <w:rPr>
                <w:rFonts w:hint="eastAsia"/>
                <w:sz w:val="22"/>
              </w:rPr>
              <w:t>】</w:t>
            </w:r>
          </w:p>
        </w:tc>
        <w:tc>
          <w:tcPr>
            <w:tcW w:w="1705" w:type="dxa"/>
            <w:shd w:val="clear" w:color="auto" w:fill="auto"/>
            <w:vAlign w:val="center"/>
          </w:tcPr>
          <w:p w14:paraId="0B3EB91A">
            <w:pPr>
              <w:spacing w:line="360" w:lineRule="auto"/>
              <w:jc w:val="center"/>
              <w:rPr>
                <w:rFonts w:hint="eastAsia"/>
                <w:sz w:val="22"/>
              </w:rPr>
            </w:pPr>
            <w:r>
              <w:rPr>
                <w:rFonts w:hint="eastAsia"/>
                <w:sz w:val="22"/>
              </w:rPr>
              <w:t>（</w:t>
            </w:r>
            <w:r>
              <w:rPr>
                <w:sz w:val="22"/>
              </w:rPr>
              <w:t>60</w:t>
            </w:r>
            <w:r>
              <w:rPr>
                <w:rFonts w:hint="eastAsia"/>
                <w:sz w:val="22"/>
              </w:rPr>
              <w:t>，</w:t>
            </w:r>
            <w:r>
              <w:rPr>
                <w:sz w:val="22"/>
              </w:rPr>
              <w:t>0</w:t>
            </w:r>
            <w:r>
              <w:rPr>
                <w:rFonts w:hint="eastAsia"/>
                <w:sz w:val="22"/>
              </w:rPr>
              <w:t>】</w:t>
            </w:r>
          </w:p>
        </w:tc>
      </w:tr>
      <w:tr w14:paraId="77AF1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4" w:type="dxa"/>
            <w:shd w:val="clear" w:color="auto" w:fill="auto"/>
            <w:vAlign w:val="center"/>
          </w:tcPr>
          <w:p w14:paraId="1F027E37">
            <w:pPr>
              <w:spacing w:line="360" w:lineRule="auto"/>
              <w:jc w:val="center"/>
              <w:rPr>
                <w:rFonts w:hint="eastAsia"/>
                <w:sz w:val="22"/>
              </w:rPr>
            </w:pPr>
            <w:r>
              <w:rPr>
                <w:rFonts w:hint="eastAsia"/>
                <w:sz w:val="22"/>
              </w:rPr>
              <w:t>等级</w:t>
            </w:r>
          </w:p>
        </w:tc>
        <w:tc>
          <w:tcPr>
            <w:tcW w:w="1704" w:type="dxa"/>
            <w:shd w:val="clear" w:color="auto" w:fill="auto"/>
            <w:vAlign w:val="center"/>
          </w:tcPr>
          <w:p w14:paraId="3559D139">
            <w:pPr>
              <w:spacing w:line="360" w:lineRule="auto"/>
              <w:jc w:val="center"/>
              <w:rPr>
                <w:rFonts w:hint="eastAsia"/>
                <w:sz w:val="22"/>
              </w:rPr>
            </w:pPr>
            <w:r>
              <w:rPr>
                <w:rFonts w:hint="eastAsia"/>
                <w:sz w:val="22"/>
              </w:rPr>
              <w:t>优秀</w:t>
            </w:r>
          </w:p>
        </w:tc>
        <w:tc>
          <w:tcPr>
            <w:tcW w:w="1704" w:type="dxa"/>
            <w:shd w:val="clear" w:color="auto" w:fill="auto"/>
            <w:vAlign w:val="center"/>
          </w:tcPr>
          <w:p w14:paraId="341754D1">
            <w:pPr>
              <w:spacing w:line="360" w:lineRule="auto"/>
              <w:jc w:val="center"/>
              <w:rPr>
                <w:rFonts w:hint="eastAsia"/>
                <w:sz w:val="22"/>
              </w:rPr>
            </w:pPr>
            <w:r>
              <w:rPr>
                <w:rFonts w:hint="eastAsia"/>
                <w:sz w:val="22"/>
              </w:rPr>
              <w:t>良好</w:t>
            </w:r>
          </w:p>
        </w:tc>
        <w:tc>
          <w:tcPr>
            <w:tcW w:w="1705" w:type="dxa"/>
            <w:shd w:val="clear" w:color="auto" w:fill="auto"/>
            <w:vAlign w:val="center"/>
          </w:tcPr>
          <w:p w14:paraId="6082534F">
            <w:pPr>
              <w:spacing w:line="360" w:lineRule="auto"/>
              <w:jc w:val="center"/>
              <w:rPr>
                <w:rFonts w:hint="eastAsia"/>
                <w:sz w:val="22"/>
              </w:rPr>
            </w:pPr>
            <w:r>
              <w:rPr>
                <w:rFonts w:hint="eastAsia"/>
                <w:sz w:val="22"/>
              </w:rPr>
              <w:t>一般</w:t>
            </w:r>
          </w:p>
        </w:tc>
        <w:tc>
          <w:tcPr>
            <w:tcW w:w="1705" w:type="dxa"/>
            <w:shd w:val="clear" w:color="auto" w:fill="auto"/>
            <w:vAlign w:val="center"/>
          </w:tcPr>
          <w:p w14:paraId="3FB78DE0">
            <w:pPr>
              <w:spacing w:line="360" w:lineRule="auto"/>
              <w:jc w:val="center"/>
              <w:rPr>
                <w:rFonts w:hint="eastAsia"/>
                <w:sz w:val="22"/>
              </w:rPr>
            </w:pPr>
            <w:r>
              <w:rPr>
                <w:rFonts w:hint="eastAsia"/>
                <w:sz w:val="22"/>
              </w:rPr>
              <w:t>不合格</w:t>
            </w:r>
          </w:p>
        </w:tc>
      </w:tr>
    </w:tbl>
    <w:p w14:paraId="1A4AE1B3">
      <w:pPr>
        <w:spacing w:line="360" w:lineRule="auto"/>
        <w:rPr>
          <w:sz w:val="28"/>
        </w:rPr>
        <w:sectPr>
          <w:pgSz w:w="11906" w:h="16838"/>
          <w:pgMar w:top="1440" w:right="1800" w:bottom="1440" w:left="1800" w:header="851" w:footer="992" w:gutter="0"/>
          <w:cols w:space="425" w:num="1"/>
          <w:docGrid w:type="lines" w:linePitch="312" w:charSpace="0"/>
        </w:sectPr>
      </w:pPr>
    </w:p>
    <w:p w14:paraId="1C50FE8B">
      <w:pPr>
        <w:rPr>
          <w:rFonts w:hint="eastAsia" w:ascii="Calibri" w:hAnsi="Calibri"/>
          <w:sz w:val="28"/>
        </w:rPr>
      </w:pPr>
      <w:r>
        <w:rPr>
          <w:rFonts w:hint="eastAsia" w:ascii="Calibri" w:hAnsi="Calibri"/>
          <w:sz w:val="28"/>
        </w:rPr>
        <w:t>表：项目预算绩效评价表</w:t>
      </w:r>
    </w:p>
    <w:tbl>
      <w:tblPr>
        <w:tblStyle w:val="5"/>
        <w:tblW w:w="13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328"/>
        <w:gridCol w:w="2385"/>
        <w:gridCol w:w="4446"/>
        <w:gridCol w:w="4002"/>
        <w:gridCol w:w="714"/>
      </w:tblGrid>
      <w:tr w14:paraId="002D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1112" w:type="dxa"/>
            <w:shd w:val="clear" w:color="auto" w:fill="auto"/>
            <w:vAlign w:val="center"/>
          </w:tcPr>
          <w:p w14:paraId="58EAF76C">
            <w:pPr>
              <w:widowControl/>
              <w:jc w:val="center"/>
              <w:rPr>
                <w:rFonts w:ascii="宋体" w:hAnsi="宋体" w:cs="宋体"/>
                <w:b/>
                <w:bCs/>
                <w:color w:val="000000"/>
                <w:kern w:val="0"/>
                <w:sz w:val="22"/>
              </w:rPr>
            </w:pPr>
            <w:r>
              <w:rPr>
                <w:rFonts w:hint="eastAsia" w:ascii="宋体" w:hAnsi="宋体" w:cs="宋体"/>
                <w:b/>
                <w:bCs/>
                <w:color w:val="000000"/>
                <w:kern w:val="0"/>
                <w:sz w:val="22"/>
              </w:rPr>
              <w:t>一级</w:t>
            </w:r>
          </w:p>
          <w:p w14:paraId="3BA9C4A3">
            <w:pPr>
              <w:widowControl/>
              <w:jc w:val="center"/>
              <w:rPr>
                <w:rFonts w:ascii="宋体" w:hAnsi="宋体" w:cs="宋体"/>
                <w:b/>
                <w:bCs/>
                <w:color w:val="000000"/>
                <w:kern w:val="0"/>
                <w:sz w:val="22"/>
              </w:rPr>
            </w:pPr>
            <w:r>
              <w:rPr>
                <w:rFonts w:hint="eastAsia" w:ascii="宋体" w:hAnsi="宋体" w:cs="宋体"/>
                <w:b/>
                <w:bCs/>
                <w:color w:val="000000"/>
                <w:kern w:val="0"/>
                <w:sz w:val="22"/>
              </w:rPr>
              <w:t>指标</w:t>
            </w:r>
          </w:p>
        </w:tc>
        <w:tc>
          <w:tcPr>
            <w:tcW w:w="1328" w:type="dxa"/>
            <w:shd w:val="clear" w:color="auto" w:fill="auto"/>
            <w:vAlign w:val="center"/>
          </w:tcPr>
          <w:p w14:paraId="7E9E52CE">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2385" w:type="dxa"/>
            <w:shd w:val="clear" w:color="auto" w:fill="auto"/>
            <w:vAlign w:val="center"/>
          </w:tcPr>
          <w:p w14:paraId="60402F97">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4446" w:type="dxa"/>
            <w:shd w:val="clear" w:color="auto" w:fill="auto"/>
            <w:vAlign w:val="center"/>
          </w:tcPr>
          <w:p w14:paraId="3E84813A">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4002" w:type="dxa"/>
            <w:shd w:val="clear" w:color="auto" w:fill="auto"/>
            <w:vAlign w:val="center"/>
          </w:tcPr>
          <w:p w14:paraId="66943F58">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14" w:type="dxa"/>
            <w:shd w:val="clear" w:color="auto" w:fill="auto"/>
            <w:vAlign w:val="center"/>
          </w:tcPr>
          <w:p w14:paraId="532D698D">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6093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restart"/>
            <w:shd w:val="clear" w:color="auto" w:fill="auto"/>
            <w:vAlign w:val="center"/>
          </w:tcPr>
          <w:p w14:paraId="682CAB7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1328" w:type="dxa"/>
            <w:vMerge w:val="restart"/>
            <w:shd w:val="clear" w:color="auto" w:fill="auto"/>
            <w:vAlign w:val="center"/>
          </w:tcPr>
          <w:p w14:paraId="5FA56DE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2385" w:type="dxa"/>
            <w:shd w:val="clear" w:color="auto" w:fill="auto"/>
            <w:vAlign w:val="center"/>
          </w:tcPr>
          <w:p w14:paraId="4A94A7B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4446" w:type="dxa"/>
            <w:shd w:val="clear" w:color="auto" w:fill="auto"/>
            <w:vAlign w:val="center"/>
          </w:tcPr>
          <w:p w14:paraId="64D0640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4002" w:type="dxa"/>
            <w:shd w:val="clear" w:color="auto" w:fill="auto"/>
            <w:vAlign w:val="center"/>
          </w:tcPr>
          <w:p w14:paraId="24CA8F9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本项目经费为持续性、常年性项目，项目立项规范，符合相关政策要求。</w:t>
            </w:r>
          </w:p>
        </w:tc>
        <w:tc>
          <w:tcPr>
            <w:tcW w:w="714" w:type="dxa"/>
            <w:shd w:val="clear" w:color="auto" w:fill="auto"/>
            <w:vAlign w:val="center"/>
          </w:tcPr>
          <w:p w14:paraId="30CDD5F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78B6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12" w:type="dxa"/>
            <w:vMerge w:val="continue"/>
            <w:shd w:val="clear" w:color="auto" w:fill="auto"/>
            <w:vAlign w:val="center"/>
          </w:tcPr>
          <w:p w14:paraId="1C4328C2">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39AB1E02">
            <w:pPr>
              <w:widowControl/>
              <w:jc w:val="left"/>
              <w:rPr>
                <w:rFonts w:ascii="楷体_GB2312" w:hAnsi="宋体" w:eastAsia="楷体_GB2312" w:cs="宋体"/>
                <w:color w:val="000000"/>
                <w:kern w:val="0"/>
                <w:sz w:val="22"/>
              </w:rPr>
            </w:pPr>
          </w:p>
        </w:tc>
        <w:tc>
          <w:tcPr>
            <w:tcW w:w="2385" w:type="dxa"/>
            <w:shd w:val="clear" w:color="auto" w:fill="auto"/>
            <w:vAlign w:val="center"/>
          </w:tcPr>
          <w:p w14:paraId="607898A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4446" w:type="dxa"/>
            <w:shd w:val="clear" w:color="auto" w:fill="auto"/>
            <w:vAlign w:val="center"/>
          </w:tcPr>
          <w:p w14:paraId="13194C0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项目是否设定绩效目标和绩效指标，所设定的绩效目标和指标是否符合实际，以反映和考核项目绩效目标与项目实施的相符情况。</w:t>
            </w:r>
          </w:p>
        </w:tc>
        <w:tc>
          <w:tcPr>
            <w:tcW w:w="4002" w:type="dxa"/>
            <w:shd w:val="clear" w:color="auto" w:fill="auto"/>
            <w:vAlign w:val="center"/>
          </w:tcPr>
          <w:p w14:paraId="7BCE6AA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项目设定了绩效目标和绩效指标，所设定的绩效目标和指标基本符合实际，能体现项目效果。</w:t>
            </w:r>
          </w:p>
        </w:tc>
        <w:tc>
          <w:tcPr>
            <w:tcW w:w="714" w:type="dxa"/>
            <w:shd w:val="clear" w:color="auto" w:fill="auto"/>
            <w:vAlign w:val="center"/>
          </w:tcPr>
          <w:p w14:paraId="6B1F0B6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6DB3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2" w:type="dxa"/>
            <w:vMerge w:val="continue"/>
            <w:shd w:val="clear" w:color="auto" w:fill="auto"/>
            <w:vAlign w:val="center"/>
          </w:tcPr>
          <w:p w14:paraId="39E07D45">
            <w:pPr>
              <w:widowControl/>
              <w:jc w:val="left"/>
              <w:rPr>
                <w:rFonts w:ascii="楷体_GB2312" w:hAnsi="宋体" w:eastAsia="楷体_GB2312" w:cs="宋体"/>
                <w:color w:val="000000"/>
                <w:kern w:val="0"/>
                <w:sz w:val="22"/>
              </w:rPr>
            </w:pPr>
          </w:p>
        </w:tc>
        <w:tc>
          <w:tcPr>
            <w:tcW w:w="1328" w:type="dxa"/>
            <w:vMerge w:val="restart"/>
            <w:shd w:val="clear" w:color="auto" w:fill="auto"/>
            <w:vAlign w:val="center"/>
          </w:tcPr>
          <w:p w14:paraId="537A534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2385" w:type="dxa"/>
            <w:shd w:val="clear" w:color="auto" w:fill="auto"/>
            <w:vAlign w:val="center"/>
          </w:tcPr>
          <w:p w14:paraId="764E511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4446" w:type="dxa"/>
            <w:shd w:val="clear" w:color="auto" w:fill="auto"/>
            <w:vAlign w:val="center"/>
          </w:tcPr>
          <w:p w14:paraId="4DD6B69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4002" w:type="dxa"/>
            <w:shd w:val="clear" w:color="auto" w:fill="auto"/>
            <w:vAlign w:val="center"/>
          </w:tcPr>
          <w:p w14:paraId="5049A27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预算申报金额263万元，预算批复金额149万元，实际支出资金149万元，资金到位率100%。</w:t>
            </w:r>
          </w:p>
        </w:tc>
        <w:tc>
          <w:tcPr>
            <w:tcW w:w="714" w:type="dxa"/>
            <w:shd w:val="clear" w:color="auto" w:fill="auto"/>
            <w:vAlign w:val="center"/>
          </w:tcPr>
          <w:p w14:paraId="4DDB5D1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4C95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19070BBD">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21B2B093">
            <w:pPr>
              <w:widowControl/>
              <w:jc w:val="left"/>
              <w:rPr>
                <w:rFonts w:ascii="楷体_GB2312" w:hAnsi="宋体" w:eastAsia="楷体_GB2312" w:cs="宋体"/>
                <w:color w:val="000000"/>
                <w:kern w:val="0"/>
                <w:sz w:val="22"/>
              </w:rPr>
            </w:pPr>
          </w:p>
        </w:tc>
        <w:tc>
          <w:tcPr>
            <w:tcW w:w="2385" w:type="dxa"/>
            <w:shd w:val="clear" w:color="auto" w:fill="auto"/>
            <w:vAlign w:val="center"/>
          </w:tcPr>
          <w:p w14:paraId="4963E34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4446" w:type="dxa"/>
            <w:shd w:val="clear" w:color="auto" w:fill="auto"/>
            <w:vAlign w:val="center"/>
          </w:tcPr>
          <w:p w14:paraId="0381840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4002" w:type="dxa"/>
            <w:shd w:val="clear" w:color="auto" w:fill="auto"/>
            <w:vAlign w:val="center"/>
          </w:tcPr>
          <w:p w14:paraId="2F13B7C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及时拨付各村项目资金，资金到位及时率100%</w:t>
            </w:r>
          </w:p>
        </w:tc>
        <w:tc>
          <w:tcPr>
            <w:tcW w:w="714" w:type="dxa"/>
            <w:shd w:val="clear" w:color="auto" w:fill="auto"/>
            <w:vAlign w:val="center"/>
          </w:tcPr>
          <w:p w14:paraId="23615FE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1BF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47C4FD59">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14" w:type="dxa"/>
            <w:shd w:val="clear" w:color="auto" w:fill="auto"/>
            <w:vAlign w:val="center"/>
          </w:tcPr>
          <w:p w14:paraId="551D00D5">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17</w:t>
            </w:r>
          </w:p>
        </w:tc>
      </w:tr>
      <w:tr w14:paraId="3632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restart"/>
            <w:shd w:val="clear" w:color="auto" w:fill="auto"/>
            <w:vAlign w:val="center"/>
          </w:tcPr>
          <w:p w14:paraId="783749A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1328" w:type="dxa"/>
            <w:vMerge w:val="restart"/>
            <w:shd w:val="clear" w:color="auto" w:fill="auto"/>
            <w:vAlign w:val="center"/>
          </w:tcPr>
          <w:p w14:paraId="6549B0D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2385" w:type="dxa"/>
            <w:shd w:val="clear" w:color="auto" w:fill="auto"/>
            <w:vAlign w:val="center"/>
          </w:tcPr>
          <w:p w14:paraId="1A0698E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4446" w:type="dxa"/>
            <w:shd w:val="clear" w:color="auto" w:fill="auto"/>
            <w:vAlign w:val="center"/>
          </w:tcPr>
          <w:p w14:paraId="448744C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4002" w:type="dxa"/>
            <w:vMerge w:val="restart"/>
            <w:shd w:val="clear" w:color="auto" w:fill="auto"/>
            <w:vAlign w:val="center"/>
          </w:tcPr>
          <w:p w14:paraId="05F4D73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建立了良好的工作机制和工作流程并得以有效执行。</w:t>
            </w:r>
          </w:p>
        </w:tc>
        <w:tc>
          <w:tcPr>
            <w:tcW w:w="714" w:type="dxa"/>
            <w:shd w:val="clear" w:color="auto" w:fill="auto"/>
            <w:vAlign w:val="center"/>
          </w:tcPr>
          <w:p w14:paraId="436E30B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1FC3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5BCD4D44">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26A75D38">
            <w:pPr>
              <w:widowControl/>
              <w:jc w:val="left"/>
              <w:rPr>
                <w:rFonts w:ascii="楷体_GB2312" w:hAnsi="宋体" w:eastAsia="楷体_GB2312" w:cs="宋体"/>
                <w:color w:val="000000"/>
                <w:kern w:val="0"/>
                <w:sz w:val="22"/>
              </w:rPr>
            </w:pPr>
          </w:p>
        </w:tc>
        <w:tc>
          <w:tcPr>
            <w:tcW w:w="2385" w:type="dxa"/>
            <w:shd w:val="clear" w:color="auto" w:fill="auto"/>
            <w:vAlign w:val="center"/>
          </w:tcPr>
          <w:p w14:paraId="18AE589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4446" w:type="dxa"/>
            <w:shd w:val="clear" w:color="auto" w:fill="auto"/>
            <w:vAlign w:val="center"/>
          </w:tcPr>
          <w:p w14:paraId="13835A7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4002" w:type="dxa"/>
            <w:vMerge w:val="continue"/>
            <w:shd w:val="clear" w:color="auto" w:fill="auto"/>
            <w:vAlign w:val="center"/>
          </w:tcPr>
          <w:p w14:paraId="7718DE3E">
            <w:pPr>
              <w:widowControl/>
              <w:jc w:val="left"/>
              <w:rPr>
                <w:rFonts w:ascii="楷体_GB2312" w:hAnsi="宋体" w:eastAsia="楷体_GB2312" w:cs="宋体"/>
                <w:color w:val="000000"/>
                <w:kern w:val="0"/>
                <w:sz w:val="22"/>
              </w:rPr>
            </w:pPr>
          </w:p>
        </w:tc>
        <w:tc>
          <w:tcPr>
            <w:tcW w:w="714" w:type="dxa"/>
            <w:shd w:val="clear" w:color="auto" w:fill="auto"/>
            <w:vAlign w:val="center"/>
          </w:tcPr>
          <w:p w14:paraId="20BD11E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0C4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2" w:type="dxa"/>
            <w:vMerge w:val="continue"/>
            <w:shd w:val="clear" w:color="auto" w:fill="auto"/>
            <w:vAlign w:val="center"/>
          </w:tcPr>
          <w:p w14:paraId="1B3EFB20">
            <w:pPr>
              <w:widowControl/>
              <w:jc w:val="left"/>
              <w:rPr>
                <w:rFonts w:ascii="楷体_GB2312" w:hAnsi="宋体" w:eastAsia="楷体_GB2312" w:cs="宋体"/>
                <w:color w:val="000000"/>
                <w:kern w:val="0"/>
                <w:sz w:val="22"/>
              </w:rPr>
            </w:pPr>
          </w:p>
        </w:tc>
        <w:tc>
          <w:tcPr>
            <w:tcW w:w="1328" w:type="dxa"/>
            <w:vMerge w:val="restart"/>
            <w:shd w:val="clear" w:color="auto" w:fill="auto"/>
            <w:vAlign w:val="center"/>
          </w:tcPr>
          <w:p w14:paraId="30D1249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2385" w:type="dxa"/>
            <w:shd w:val="clear" w:color="auto" w:fill="auto"/>
            <w:vAlign w:val="center"/>
          </w:tcPr>
          <w:p w14:paraId="1142902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4446" w:type="dxa"/>
            <w:shd w:val="clear" w:color="auto" w:fill="auto"/>
            <w:vAlign w:val="center"/>
          </w:tcPr>
          <w:p w14:paraId="4E004FA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4002" w:type="dxa"/>
            <w:vMerge w:val="restart"/>
            <w:shd w:val="clear" w:color="auto" w:fill="auto"/>
            <w:vAlign w:val="center"/>
          </w:tcPr>
          <w:p w14:paraId="631B69E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制订了严格的财务管理措施，每项支出均有迹可循。会计账簿中重要支出事项原始单据或记录手续齐全，单证规范，标准相符，财务把关严格，会计核算准确、完整。</w:t>
            </w:r>
          </w:p>
        </w:tc>
        <w:tc>
          <w:tcPr>
            <w:tcW w:w="714" w:type="dxa"/>
            <w:shd w:val="clear" w:color="auto" w:fill="auto"/>
            <w:vAlign w:val="center"/>
          </w:tcPr>
          <w:p w14:paraId="56FEFA7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03C0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12" w:type="dxa"/>
            <w:vMerge w:val="continue"/>
            <w:shd w:val="clear" w:color="auto" w:fill="auto"/>
            <w:vAlign w:val="center"/>
          </w:tcPr>
          <w:p w14:paraId="28135C51">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35080774">
            <w:pPr>
              <w:widowControl/>
              <w:jc w:val="left"/>
              <w:rPr>
                <w:rFonts w:ascii="楷体_GB2312" w:hAnsi="宋体" w:eastAsia="楷体_GB2312" w:cs="宋体"/>
                <w:color w:val="000000"/>
                <w:kern w:val="0"/>
                <w:sz w:val="22"/>
              </w:rPr>
            </w:pPr>
          </w:p>
        </w:tc>
        <w:tc>
          <w:tcPr>
            <w:tcW w:w="2385" w:type="dxa"/>
            <w:shd w:val="clear" w:color="auto" w:fill="auto"/>
            <w:vAlign w:val="center"/>
          </w:tcPr>
          <w:p w14:paraId="7816B6F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4446" w:type="dxa"/>
            <w:shd w:val="clear" w:color="auto" w:fill="auto"/>
            <w:vAlign w:val="center"/>
          </w:tcPr>
          <w:p w14:paraId="50DB560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4002" w:type="dxa"/>
            <w:vMerge w:val="continue"/>
            <w:shd w:val="clear" w:color="auto" w:fill="auto"/>
            <w:vAlign w:val="center"/>
          </w:tcPr>
          <w:p w14:paraId="07140F3E">
            <w:pPr>
              <w:widowControl/>
              <w:jc w:val="left"/>
              <w:rPr>
                <w:rFonts w:ascii="楷体_GB2312" w:hAnsi="宋体" w:eastAsia="楷体_GB2312" w:cs="宋体"/>
                <w:color w:val="000000"/>
                <w:kern w:val="0"/>
                <w:sz w:val="22"/>
              </w:rPr>
            </w:pPr>
          </w:p>
        </w:tc>
        <w:tc>
          <w:tcPr>
            <w:tcW w:w="714" w:type="dxa"/>
            <w:shd w:val="clear" w:color="auto" w:fill="auto"/>
            <w:vAlign w:val="center"/>
          </w:tcPr>
          <w:p w14:paraId="22C58E2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4D1A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248D07D9">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14" w:type="dxa"/>
            <w:shd w:val="clear" w:color="auto" w:fill="auto"/>
            <w:vAlign w:val="center"/>
          </w:tcPr>
          <w:p w14:paraId="3FDBA7AE">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18</w:t>
            </w:r>
          </w:p>
        </w:tc>
      </w:tr>
      <w:tr w14:paraId="1953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12" w:type="dxa"/>
            <w:vMerge w:val="restart"/>
            <w:shd w:val="clear" w:color="auto" w:fill="auto"/>
            <w:vAlign w:val="center"/>
          </w:tcPr>
          <w:p w14:paraId="31928F7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1328" w:type="dxa"/>
            <w:vMerge w:val="restart"/>
            <w:shd w:val="clear" w:color="auto" w:fill="auto"/>
            <w:vAlign w:val="center"/>
          </w:tcPr>
          <w:p w14:paraId="2DF508F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数量指标（10分）</w:t>
            </w:r>
          </w:p>
        </w:tc>
        <w:tc>
          <w:tcPr>
            <w:tcW w:w="2385" w:type="dxa"/>
            <w:shd w:val="clear" w:color="auto" w:fill="auto"/>
            <w:vAlign w:val="center"/>
          </w:tcPr>
          <w:p w14:paraId="291E153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在职人员人数（5分）</w:t>
            </w:r>
          </w:p>
        </w:tc>
        <w:tc>
          <w:tcPr>
            <w:tcW w:w="4446" w:type="dxa"/>
            <w:vMerge w:val="restart"/>
            <w:shd w:val="clear" w:color="auto" w:fill="auto"/>
            <w:vAlign w:val="center"/>
          </w:tcPr>
          <w:p w14:paraId="57F6FD9E">
            <w:pPr>
              <w:widowControl/>
              <w:jc w:val="left"/>
              <w:rPr>
                <w:rFonts w:ascii="楷体_GB2312" w:hAnsi="宋体" w:eastAsia="楷体_GB2312" w:cs="宋体"/>
                <w:color w:val="000000"/>
                <w:kern w:val="0"/>
                <w:sz w:val="22"/>
              </w:rPr>
            </w:pPr>
            <w:r>
              <w:rPr>
                <w:rFonts w:ascii="楷体_GB2312" w:hAnsi="宋体" w:eastAsia="楷体_GB2312" w:cs="宋体"/>
                <w:color w:val="000000"/>
                <w:kern w:val="0"/>
                <w:sz w:val="22"/>
              </w:rPr>
              <w:t>数量合理且符合成本效益原则</w:t>
            </w:r>
          </w:p>
        </w:tc>
        <w:tc>
          <w:tcPr>
            <w:tcW w:w="4002" w:type="dxa"/>
            <w:shd w:val="clear" w:color="auto" w:fill="auto"/>
            <w:vAlign w:val="center"/>
          </w:tcPr>
          <w:p w14:paraId="0F0EC82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14人</w:t>
            </w:r>
          </w:p>
        </w:tc>
        <w:tc>
          <w:tcPr>
            <w:tcW w:w="714" w:type="dxa"/>
            <w:shd w:val="clear" w:color="auto" w:fill="auto"/>
            <w:vAlign w:val="center"/>
          </w:tcPr>
          <w:p w14:paraId="70EBE12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3E2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50822AA9">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3C28A921">
            <w:pPr>
              <w:widowControl/>
              <w:jc w:val="left"/>
              <w:rPr>
                <w:rFonts w:ascii="楷体_GB2312" w:hAnsi="宋体" w:eastAsia="楷体_GB2312" w:cs="宋体"/>
                <w:color w:val="000000"/>
                <w:kern w:val="0"/>
                <w:sz w:val="22"/>
              </w:rPr>
            </w:pPr>
          </w:p>
        </w:tc>
        <w:tc>
          <w:tcPr>
            <w:tcW w:w="2385" w:type="dxa"/>
            <w:shd w:val="clear" w:color="auto" w:fill="auto"/>
            <w:vAlign w:val="center"/>
          </w:tcPr>
          <w:p w14:paraId="06CEC11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服务中心数量（5分）</w:t>
            </w:r>
          </w:p>
        </w:tc>
        <w:tc>
          <w:tcPr>
            <w:tcW w:w="4446" w:type="dxa"/>
            <w:vMerge w:val="continue"/>
            <w:shd w:val="clear" w:color="auto" w:fill="auto"/>
            <w:vAlign w:val="center"/>
          </w:tcPr>
          <w:p w14:paraId="66AED67E">
            <w:pPr>
              <w:widowControl/>
              <w:jc w:val="left"/>
              <w:rPr>
                <w:rFonts w:ascii="楷体_GB2312" w:hAnsi="宋体" w:eastAsia="楷体_GB2312" w:cs="宋体"/>
                <w:color w:val="000000"/>
                <w:kern w:val="0"/>
                <w:sz w:val="22"/>
              </w:rPr>
            </w:pPr>
          </w:p>
        </w:tc>
        <w:tc>
          <w:tcPr>
            <w:tcW w:w="4002" w:type="dxa"/>
            <w:shd w:val="clear" w:color="auto" w:fill="auto"/>
            <w:vAlign w:val="center"/>
          </w:tcPr>
          <w:p w14:paraId="4A82001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9个</w:t>
            </w:r>
          </w:p>
        </w:tc>
        <w:tc>
          <w:tcPr>
            <w:tcW w:w="714" w:type="dxa"/>
            <w:shd w:val="clear" w:color="auto" w:fill="auto"/>
            <w:vAlign w:val="center"/>
          </w:tcPr>
          <w:p w14:paraId="3821387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5F45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0C1F6F99">
            <w:pPr>
              <w:widowControl/>
              <w:jc w:val="left"/>
              <w:rPr>
                <w:rFonts w:ascii="楷体_GB2312" w:hAnsi="宋体" w:eastAsia="楷体_GB2312" w:cs="宋体"/>
                <w:color w:val="000000"/>
                <w:kern w:val="0"/>
                <w:sz w:val="22"/>
              </w:rPr>
            </w:pPr>
          </w:p>
        </w:tc>
        <w:tc>
          <w:tcPr>
            <w:tcW w:w="1328" w:type="dxa"/>
            <w:vMerge w:val="restart"/>
            <w:shd w:val="clear" w:color="auto" w:fill="auto"/>
            <w:vAlign w:val="center"/>
          </w:tcPr>
          <w:p w14:paraId="3758BDE0">
            <w:pPr>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质量指标（10分）</w:t>
            </w:r>
          </w:p>
        </w:tc>
        <w:tc>
          <w:tcPr>
            <w:tcW w:w="2385" w:type="dxa"/>
            <w:shd w:val="clear" w:color="auto" w:fill="auto"/>
            <w:vAlign w:val="center"/>
          </w:tcPr>
          <w:p w14:paraId="48496317">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建设覆盖率（5分）</w:t>
            </w:r>
          </w:p>
        </w:tc>
        <w:tc>
          <w:tcPr>
            <w:tcW w:w="4446" w:type="dxa"/>
            <w:shd w:val="clear" w:color="auto" w:fill="auto"/>
            <w:vAlign w:val="center"/>
          </w:tcPr>
          <w:p w14:paraId="5AB04AF0">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中心设置在计划建设覆盖点</w:t>
            </w:r>
          </w:p>
        </w:tc>
        <w:tc>
          <w:tcPr>
            <w:tcW w:w="4002" w:type="dxa"/>
            <w:shd w:val="clear" w:color="auto" w:fill="auto"/>
            <w:vAlign w:val="center"/>
          </w:tcPr>
          <w:p w14:paraId="5779079D">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6169FB6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BDF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36C8D0BB">
            <w:pPr>
              <w:widowControl/>
              <w:jc w:val="left"/>
              <w:rPr>
                <w:rFonts w:ascii="楷体_GB2312" w:hAnsi="宋体" w:eastAsia="楷体_GB2312" w:cs="宋体"/>
                <w:color w:val="000000"/>
                <w:kern w:val="0"/>
                <w:sz w:val="22"/>
              </w:rPr>
            </w:pPr>
          </w:p>
        </w:tc>
        <w:tc>
          <w:tcPr>
            <w:tcW w:w="1328" w:type="dxa"/>
            <w:vMerge w:val="continue"/>
            <w:shd w:val="clear" w:color="auto" w:fill="auto"/>
            <w:vAlign w:val="center"/>
          </w:tcPr>
          <w:p w14:paraId="7AC9AC4F">
            <w:pPr>
              <w:jc w:val="center"/>
              <w:rPr>
                <w:rFonts w:hint="eastAsia" w:ascii="楷体_GB2312" w:hAnsi="宋体" w:eastAsia="楷体_GB2312" w:cs="宋体"/>
                <w:color w:val="000000"/>
                <w:kern w:val="0"/>
                <w:sz w:val="22"/>
              </w:rPr>
            </w:pPr>
          </w:p>
        </w:tc>
        <w:tc>
          <w:tcPr>
            <w:tcW w:w="2385" w:type="dxa"/>
            <w:shd w:val="clear" w:color="auto" w:fill="auto"/>
            <w:vAlign w:val="center"/>
          </w:tcPr>
          <w:p w14:paraId="3D6BDCE0">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服务覆盖率（5分）</w:t>
            </w:r>
          </w:p>
        </w:tc>
        <w:tc>
          <w:tcPr>
            <w:tcW w:w="4446" w:type="dxa"/>
            <w:shd w:val="clear" w:color="auto" w:fill="auto"/>
            <w:vAlign w:val="center"/>
          </w:tcPr>
          <w:p w14:paraId="7F30FAAC">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完成计划服务覆盖范围目标</w:t>
            </w:r>
          </w:p>
        </w:tc>
        <w:tc>
          <w:tcPr>
            <w:tcW w:w="4002" w:type="dxa"/>
            <w:shd w:val="clear" w:color="auto" w:fill="auto"/>
            <w:vAlign w:val="center"/>
          </w:tcPr>
          <w:p w14:paraId="2BF8EF4F">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5A5D835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11D3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2" w:type="dxa"/>
            <w:vMerge w:val="continue"/>
            <w:shd w:val="clear" w:color="auto" w:fill="auto"/>
            <w:vAlign w:val="center"/>
          </w:tcPr>
          <w:p w14:paraId="6B382C4C">
            <w:pPr>
              <w:widowControl/>
              <w:jc w:val="left"/>
              <w:rPr>
                <w:rFonts w:ascii="楷体_GB2312" w:hAnsi="宋体" w:eastAsia="楷体_GB2312" w:cs="宋体"/>
                <w:color w:val="000000"/>
                <w:kern w:val="0"/>
                <w:sz w:val="22"/>
              </w:rPr>
            </w:pPr>
          </w:p>
        </w:tc>
        <w:tc>
          <w:tcPr>
            <w:tcW w:w="1328" w:type="dxa"/>
            <w:shd w:val="clear" w:color="auto" w:fill="auto"/>
            <w:vAlign w:val="center"/>
          </w:tcPr>
          <w:p w14:paraId="19DC584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（10分）</w:t>
            </w:r>
          </w:p>
        </w:tc>
        <w:tc>
          <w:tcPr>
            <w:tcW w:w="2385" w:type="dxa"/>
            <w:shd w:val="clear" w:color="auto" w:fill="auto"/>
            <w:vAlign w:val="center"/>
          </w:tcPr>
          <w:p w14:paraId="3D91778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完成及时率（10分）</w:t>
            </w:r>
          </w:p>
        </w:tc>
        <w:tc>
          <w:tcPr>
            <w:tcW w:w="4446" w:type="dxa"/>
            <w:shd w:val="clear" w:color="auto" w:fill="auto"/>
            <w:vAlign w:val="center"/>
          </w:tcPr>
          <w:p w14:paraId="2164C63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项目完成及时性达到100%</w:t>
            </w:r>
          </w:p>
        </w:tc>
        <w:tc>
          <w:tcPr>
            <w:tcW w:w="4002" w:type="dxa"/>
            <w:shd w:val="clear" w:color="auto" w:fill="auto"/>
            <w:vAlign w:val="center"/>
          </w:tcPr>
          <w:p w14:paraId="0505E1D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14" w:type="dxa"/>
            <w:shd w:val="clear" w:color="auto" w:fill="auto"/>
            <w:vAlign w:val="center"/>
          </w:tcPr>
          <w:p w14:paraId="47F87B2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w:t>
            </w:r>
          </w:p>
        </w:tc>
      </w:tr>
      <w:tr w14:paraId="4E9D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65DF4683">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14" w:type="dxa"/>
            <w:shd w:val="clear" w:color="auto" w:fill="auto"/>
            <w:vAlign w:val="center"/>
          </w:tcPr>
          <w:p w14:paraId="03202096">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28</w:t>
            </w:r>
          </w:p>
        </w:tc>
      </w:tr>
      <w:tr w14:paraId="2F51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12" w:type="dxa"/>
            <w:vMerge w:val="restart"/>
            <w:shd w:val="clear" w:color="auto" w:fill="auto"/>
            <w:vAlign w:val="center"/>
          </w:tcPr>
          <w:p w14:paraId="33817F3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1328" w:type="dxa"/>
            <w:shd w:val="clear" w:color="auto" w:fill="auto"/>
            <w:vAlign w:val="center"/>
          </w:tcPr>
          <w:p w14:paraId="177B628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社会效益指标（10分）</w:t>
            </w:r>
          </w:p>
        </w:tc>
        <w:tc>
          <w:tcPr>
            <w:tcW w:w="2385" w:type="dxa"/>
            <w:shd w:val="clear" w:color="auto" w:fill="auto"/>
            <w:vAlign w:val="center"/>
          </w:tcPr>
          <w:p w14:paraId="7808B4D0">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对农村公益性服务的改善（10分）</w:t>
            </w:r>
          </w:p>
        </w:tc>
        <w:tc>
          <w:tcPr>
            <w:tcW w:w="4446" w:type="dxa"/>
            <w:shd w:val="clear" w:color="auto" w:fill="auto"/>
            <w:vAlign w:val="center"/>
          </w:tcPr>
          <w:p w14:paraId="17C2C92C">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贯彻落实为人民服务的宗旨，是否真正为居民提供便利</w:t>
            </w:r>
          </w:p>
        </w:tc>
        <w:tc>
          <w:tcPr>
            <w:tcW w:w="4002" w:type="dxa"/>
            <w:shd w:val="clear" w:color="auto" w:fill="auto"/>
            <w:vAlign w:val="center"/>
          </w:tcPr>
          <w:p w14:paraId="60FCA55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推动农村社会公共事业发展</w:t>
            </w:r>
          </w:p>
        </w:tc>
        <w:tc>
          <w:tcPr>
            <w:tcW w:w="714" w:type="dxa"/>
            <w:shd w:val="clear" w:color="auto" w:fill="auto"/>
            <w:vAlign w:val="center"/>
          </w:tcPr>
          <w:p w14:paraId="04DF157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w:t>
            </w:r>
          </w:p>
        </w:tc>
      </w:tr>
      <w:tr w14:paraId="384C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12" w:type="dxa"/>
            <w:vMerge w:val="continue"/>
            <w:shd w:val="clear" w:color="auto" w:fill="auto"/>
            <w:vAlign w:val="center"/>
          </w:tcPr>
          <w:p w14:paraId="2EC9BE25">
            <w:pPr>
              <w:widowControl/>
              <w:jc w:val="left"/>
              <w:rPr>
                <w:rFonts w:ascii="楷体_GB2312" w:hAnsi="宋体" w:eastAsia="楷体_GB2312" w:cs="宋体"/>
                <w:color w:val="000000"/>
                <w:kern w:val="0"/>
                <w:sz w:val="22"/>
              </w:rPr>
            </w:pPr>
          </w:p>
        </w:tc>
        <w:tc>
          <w:tcPr>
            <w:tcW w:w="1328" w:type="dxa"/>
            <w:shd w:val="clear" w:color="auto" w:fill="auto"/>
            <w:vAlign w:val="center"/>
          </w:tcPr>
          <w:p w14:paraId="62CA3114">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环境效益指标(5分)</w:t>
            </w:r>
          </w:p>
        </w:tc>
        <w:tc>
          <w:tcPr>
            <w:tcW w:w="2385" w:type="dxa"/>
            <w:shd w:val="clear" w:color="auto" w:fill="auto"/>
            <w:vAlign w:val="center"/>
          </w:tcPr>
          <w:p w14:paraId="69E9CE34">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服务环境的改善(5分)</w:t>
            </w:r>
          </w:p>
        </w:tc>
        <w:tc>
          <w:tcPr>
            <w:tcW w:w="4446" w:type="dxa"/>
            <w:shd w:val="clear" w:color="auto" w:fill="auto"/>
            <w:vAlign w:val="center"/>
          </w:tcPr>
          <w:p w14:paraId="0DF378E9">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社区环境改善情况</w:t>
            </w:r>
          </w:p>
        </w:tc>
        <w:tc>
          <w:tcPr>
            <w:tcW w:w="4002" w:type="dxa"/>
            <w:shd w:val="clear" w:color="auto" w:fill="auto"/>
            <w:vAlign w:val="center"/>
          </w:tcPr>
          <w:p w14:paraId="050BC487">
            <w:pPr>
              <w:widowControl/>
              <w:jc w:val="left"/>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提升乡村村民生活质量，改善乡村生活环境</w:t>
            </w:r>
          </w:p>
        </w:tc>
        <w:tc>
          <w:tcPr>
            <w:tcW w:w="714" w:type="dxa"/>
            <w:shd w:val="clear" w:color="auto" w:fill="auto"/>
            <w:vAlign w:val="center"/>
          </w:tcPr>
          <w:p w14:paraId="52827F5F">
            <w:pPr>
              <w:widowControl/>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77D6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12" w:type="dxa"/>
            <w:vMerge w:val="continue"/>
            <w:shd w:val="clear" w:color="auto" w:fill="auto"/>
            <w:vAlign w:val="center"/>
          </w:tcPr>
          <w:p w14:paraId="57D825FB">
            <w:pPr>
              <w:widowControl/>
              <w:jc w:val="left"/>
              <w:rPr>
                <w:rFonts w:ascii="楷体_GB2312" w:hAnsi="宋体" w:eastAsia="楷体_GB2312" w:cs="宋体"/>
                <w:color w:val="000000"/>
                <w:kern w:val="0"/>
                <w:sz w:val="22"/>
              </w:rPr>
            </w:pPr>
          </w:p>
        </w:tc>
        <w:tc>
          <w:tcPr>
            <w:tcW w:w="1328" w:type="dxa"/>
            <w:shd w:val="clear" w:color="auto" w:fill="auto"/>
            <w:vAlign w:val="center"/>
          </w:tcPr>
          <w:p w14:paraId="740A902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可持续影响指标(5分)</w:t>
            </w:r>
          </w:p>
        </w:tc>
        <w:tc>
          <w:tcPr>
            <w:tcW w:w="2385" w:type="dxa"/>
            <w:shd w:val="clear" w:color="auto" w:fill="auto"/>
            <w:vAlign w:val="center"/>
          </w:tcPr>
          <w:p w14:paraId="3A36096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可持续影响指标（5分）</w:t>
            </w:r>
          </w:p>
        </w:tc>
        <w:tc>
          <w:tcPr>
            <w:tcW w:w="4446" w:type="dxa"/>
            <w:shd w:val="clear" w:color="auto" w:fill="auto"/>
            <w:vAlign w:val="center"/>
          </w:tcPr>
          <w:p w14:paraId="2A56B52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项目后期运行是否能持续发挥作用</w:t>
            </w:r>
          </w:p>
        </w:tc>
        <w:tc>
          <w:tcPr>
            <w:tcW w:w="4002" w:type="dxa"/>
            <w:shd w:val="clear" w:color="auto" w:fill="auto"/>
            <w:vAlign w:val="center"/>
          </w:tcPr>
          <w:p w14:paraId="0FA0CFF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计划为常年、连续投入资金，确保项目持续发挥良好作用</w:t>
            </w:r>
          </w:p>
        </w:tc>
        <w:tc>
          <w:tcPr>
            <w:tcW w:w="714" w:type="dxa"/>
            <w:shd w:val="clear" w:color="auto" w:fill="auto"/>
            <w:vAlign w:val="center"/>
          </w:tcPr>
          <w:p w14:paraId="5C89E94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DC5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12" w:type="dxa"/>
            <w:vMerge w:val="continue"/>
            <w:shd w:val="clear" w:color="auto" w:fill="auto"/>
            <w:vAlign w:val="center"/>
          </w:tcPr>
          <w:p w14:paraId="7EFDF868">
            <w:pPr>
              <w:widowControl/>
              <w:jc w:val="left"/>
              <w:rPr>
                <w:rFonts w:ascii="楷体_GB2312" w:hAnsi="宋体" w:eastAsia="楷体_GB2312" w:cs="宋体"/>
                <w:color w:val="000000"/>
                <w:kern w:val="0"/>
                <w:sz w:val="22"/>
              </w:rPr>
            </w:pPr>
          </w:p>
        </w:tc>
        <w:tc>
          <w:tcPr>
            <w:tcW w:w="1328" w:type="dxa"/>
            <w:shd w:val="clear" w:color="auto" w:fill="auto"/>
            <w:vAlign w:val="center"/>
          </w:tcPr>
          <w:p w14:paraId="0EEB2C6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服务对象满意度指标 （10分）</w:t>
            </w:r>
          </w:p>
        </w:tc>
        <w:tc>
          <w:tcPr>
            <w:tcW w:w="2385" w:type="dxa"/>
            <w:shd w:val="clear" w:color="auto" w:fill="auto"/>
            <w:vAlign w:val="center"/>
          </w:tcPr>
          <w:p w14:paraId="1ADD71C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社会公众或服务对象满意度指标（10分）</w:t>
            </w:r>
          </w:p>
        </w:tc>
        <w:tc>
          <w:tcPr>
            <w:tcW w:w="4446" w:type="dxa"/>
            <w:shd w:val="clear" w:color="auto" w:fill="auto"/>
            <w:vAlign w:val="center"/>
          </w:tcPr>
          <w:p w14:paraId="1AE421F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居民满意度不低于90%，工作及服务质量投诉率不高于5%</w:t>
            </w:r>
          </w:p>
        </w:tc>
        <w:tc>
          <w:tcPr>
            <w:tcW w:w="4002" w:type="dxa"/>
            <w:shd w:val="clear" w:color="auto" w:fill="auto"/>
            <w:vAlign w:val="center"/>
          </w:tcPr>
          <w:p w14:paraId="79D4DE5F">
            <w:pPr>
              <w:widowControl/>
              <w:rPr>
                <w:rFonts w:ascii="楷体_GB2312" w:hAnsi="宋体" w:eastAsia="楷体_GB2312" w:cs="宋体"/>
                <w:color w:val="000000"/>
                <w:kern w:val="0"/>
                <w:sz w:val="22"/>
              </w:rPr>
            </w:pPr>
            <w:r>
              <w:rPr>
                <w:rFonts w:hint="eastAsia" w:ascii="楷体_GB2312" w:hAnsi="宋体" w:eastAsia="楷体_GB2312" w:cs="宋体"/>
                <w:color w:val="000000"/>
                <w:kern w:val="0"/>
                <w:sz w:val="22"/>
              </w:rPr>
              <w:t>居民满意度85%</w:t>
            </w:r>
          </w:p>
        </w:tc>
        <w:tc>
          <w:tcPr>
            <w:tcW w:w="714" w:type="dxa"/>
            <w:shd w:val="clear" w:color="auto" w:fill="auto"/>
            <w:vAlign w:val="center"/>
          </w:tcPr>
          <w:p w14:paraId="27EDD54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7</w:t>
            </w:r>
          </w:p>
        </w:tc>
      </w:tr>
      <w:tr w14:paraId="25C4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7ACE91B4">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14" w:type="dxa"/>
            <w:shd w:val="clear" w:color="auto" w:fill="auto"/>
            <w:vAlign w:val="center"/>
          </w:tcPr>
          <w:p w14:paraId="1A2A523F">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24</w:t>
            </w:r>
          </w:p>
        </w:tc>
      </w:tr>
      <w:tr w14:paraId="21C8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73" w:type="dxa"/>
            <w:gridSpan w:val="5"/>
            <w:shd w:val="clear" w:color="auto" w:fill="auto"/>
            <w:vAlign w:val="center"/>
          </w:tcPr>
          <w:p w14:paraId="0E6A5EDB">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14" w:type="dxa"/>
            <w:shd w:val="clear" w:color="auto" w:fill="auto"/>
            <w:vAlign w:val="center"/>
          </w:tcPr>
          <w:p w14:paraId="602DFC2F">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87</w:t>
            </w:r>
          </w:p>
        </w:tc>
      </w:tr>
    </w:tbl>
    <w:p w14:paraId="662559AE">
      <w:pPr>
        <w:spacing w:line="360" w:lineRule="auto"/>
        <w:rPr>
          <w:rFonts w:hint="eastAsia" w:ascii="楷体_GB2312" w:eastAsia="楷体_GB2312"/>
          <w:sz w:val="28"/>
        </w:rPr>
      </w:pPr>
    </w:p>
    <w:p w14:paraId="4A865AA8">
      <w:pPr>
        <w:spacing w:line="360" w:lineRule="auto"/>
        <w:ind w:firstLine="560" w:firstLineChars="200"/>
        <w:rPr>
          <w:sz w:val="28"/>
        </w:rPr>
        <w:sectPr>
          <w:pgSz w:w="16838" w:h="11906" w:orient="landscape"/>
          <w:pgMar w:top="1800" w:right="1440" w:bottom="1800" w:left="1440" w:header="851" w:footer="992" w:gutter="0"/>
          <w:cols w:space="425" w:num="1"/>
          <w:docGrid w:type="lines" w:linePitch="312" w:charSpace="0"/>
        </w:sectPr>
      </w:pPr>
    </w:p>
    <w:p w14:paraId="708D13DA">
      <w:pPr>
        <w:spacing w:line="360" w:lineRule="auto"/>
        <w:ind w:firstLine="560" w:firstLineChars="200"/>
        <w:rPr>
          <w:sz w:val="28"/>
        </w:rPr>
      </w:pPr>
      <w:r>
        <w:rPr>
          <w:rFonts w:hint="eastAsia"/>
          <w:sz w:val="28"/>
        </w:rPr>
        <w:t>1．产出目标</w:t>
      </w:r>
    </w:p>
    <w:p w14:paraId="5325B32F">
      <w:pPr>
        <w:spacing w:line="360" w:lineRule="auto"/>
        <w:ind w:firstLine="560" w:firstLineChars="200"/>
        <w:rPr>
          <w:rFonts w:hint="eastAsia"/>
          <w:sz w:val="28"/>
        </w:rPr>
      </w:pPr>
      <w:r>
        <w:rPr>
          <w:rFonts w:hint="eastAsia"/>
          <w:sz w:val="28"/>
        </w:rPr>
        <w:t>（1）数量指标</w:t>
      </w:r>
    </w:p>
    <w:p w14:paraId="4FA0FAB1">
      <w:pPr>
        <w:spacing w:line="360" w:lineRule="auto"/>
        <w:ind w:firstLine="560" w:firstLineChars="200"/>
        <w:rPr>
          <w:rFonts w:hint="eastAsia"/>
          <w:sz w:val="28"/>
        </w:rPr>
      </w:pPr>
      <w:r>
        <w:rPr>
          <w:rFonts w:hint="eastAsia"/>
          <w:sz w:val="28"/>
        </w:rPr>
        <w:t>受客观因素限制，以钱养事单位在职人员数量和服务中心设置数量未具体测算合理值，但从二者的数量关系上分析，实际数量相对合理。建议对设置数量结合实际情况做进一步的测算。</w:t>
      </w:r>
    </w:p>
    <w:p w14:paraId="3FE4938D">
      <w:pPr>
        <w:spacing w:line="360" w:lineRule="auto"/>
        <w:ind w:firstLine="560" w:firstLineChars="200"/>
        <w:rPr>
          <w:rFonts w:hint="eastAsia"/>
          <w:sz w:val="28"/>
        </w:rPr>
      </w:pPr>
      <w:r>
        <w:rPr>
          <w:rFonts w:hint="eastAsia"/>
          <w:sz w:val="28"/>
        </w:rPr>
        <w:t>（2）质量指标</w:t>
      </w:r>
    </w:p>
    <w:p w14:paraId="7FB72623">
      <w:pPr>
        <w:spacing w:line="360" w:lineRule="auto"/>
        <w:ind w:firstLine="560" w:firstLineChars="200"/>
        <w:rPr>
          <w:rFonts w:hint="eastAsia"/>
          <w:sz w:val="28"/>
        </w:rPr>
      </w:pPr>
      <w:r>
        <w:rPr>
          <w:rFonts w:hint="eastAsia"/>
          <w:sz w:val="28"/>
        </w:rPr>
        <w:t>以钱养事中心建设覆盖率率（按实际建设数量/计划建设数量×</w:t>
      </w:r>
      <w:r>
        <w:rPr>
          <w:sz w:val="28"/>
        </w:rPr>
        <w:t>100%</w:t>
      </w:r>
      <w:r>
        <w:rPr>
          <w:rFonts w:hint="eastAsia"/>
          <w:sz w:val="28"/>
        </w:rPr>
        <w:t>）和服务覆盖率（按服务对象数量/计划服务对象数量×</w:t>
      </w:r>
      <w:r>
        <w:rPr>
          <w:sz w:val="28"/>
        </w:rPr>
        <w:t>100%</w:t>
      </w:r>
      <w:r>
        <w:rPr>
          <w:rFonts w:hint="eastAsia"/>
          <w:sz w:val="28"/>
        </w:rPr>
        <w:t>）均达到100%，基本覆盖了所有计划建设和服务的对象。</w:t>
      </w:r>
    </w:p>
    <w:p w14:paraId="62ADE669">
      <w:pPr>
        <w:spacing w:line="360" w:lineRule="auto"/>
        <w:ind w:firstLine="560" w:firstLineChars="200"/>
        <w:rPr>
          <w:rFonts w:hint="eastAsia"/>
          <w:sz w:val="28"/>
        </w:rPr>
      </w:pPr>
      <w:r>
        <w:rPr>
          <w:rFonts w:hint="eastAsia"/>
          <w:sz w:val="28"/>
        </w:rPr>
        <w:t>（3）时效指标</w:t>
      </w:r>
    </w:p>
    <w:p w14:paraId="30BC0B8A">
      <w:pPr>
        <w:spacing w:line="360" w:lineRule="auto"/>
        <w:ind w:firstLine="560" w:firstLineChars="200"/>
        <w:rPr>
          <w:rFonts w:hint="eastAsia"/>
          <w:sz w:val="28"/>
        </w:rPr>
      </w:pPr>
      <w:r>
        <w:rPr>
          <w:rFonts w:hint="eastAsia"/>
          <w:sz w:val="28"/>
        </w:rPr>
        <w:t>计划的以钱养事工作内容均在2017年内完成，资金均及时发放，项目计划完成率达到100% 。</w:t>
      </w:r>
    </w:p>
    <w:p w14:paraId="2080F50D">
      <w:pPr>
        <w:spacing w:line="360" w:lineRule="auto"/>
        <w:ind w:firstLine="560" w:firstLineChars="200"/>
        <w:rPr>
          <w:sz w:val="28"/>
        </w:rPr>
      </w:pPr>
      <w:r>
        <w:rPr>
          <w:rFonts w:hint="eastAsia"/>
          <w:sz w:val="28"/>
        </w:rPr>
        <w:t>2．效果目标</w:t>
      </w:r>
    </w:p>
    <w:p w14:paraId="7A9F4530">
      <w:pPr>
        <w:spacing w:line="360" w:lineRule="auto"/>
        <w:ind w:firstLine="560" w:firstLineChars="200"/>
        <w:rPr>
          <w:rFonts w:hint="eastAsia"/>
          <w:sz w:val="28"/>
        </w:rPr>
      </w:pPr>
      <w:r>
        <w:rPr>
          <w:rFonts w:hint="eastAsia"/>
          <w:sz w:val="28"/>
        </w:rPr>
        <w:t>（1）社会效益指标</w:t>
      </w:r>
    </w:p>
    <w:p w14:paraId="1A8EB48E">
      <w:pPr>
        <w:spacing w:line="360" w:lineRule="auto"/>
        <w:ind w:firstLine="560" w:firstLineChars="200"/>
        <w:rPr>
          <w:rFonts w:hint="eastAsia"/>
          <w:sz w:val="28"/>
        </w:rPr>
      </w:pPr>
      <w:r>
        <w:rPr>
          <w:rFonts w:hint="eastAsia"/>
          <w:sz w:val="28"/>
        </w:rPr>
        <w:t>项目总体推动了农村社会公共事业发展，真正做到了为人民服务，营造了和谐的社区氛围，立足群众的需求，真正做到</w:t>
      </w:r>
      <w:r>
        <w:rPr>
          <w:rFonts w:hint="eastAsia"/>
          <w:sz w:val="28"/>
          <w:lang w:eastAsia="zh-CN"/>
        </w:rPr>
        <w:t>为</w:t>
      </w:r>
      <w:r>
        <w:rPr>
          <w:rFonts w:hint="eastAsia"/>
          <w:sz w:val="28"/>
        </w:rPr>
        <w:t>人民服务，丰富居民的文化生活。</w:t>
      </w:r>
    </w:p>
    <w:p w14:paraId="600D6280">
      <w:pPr>
        <w:spacing w:line="360" w:lineRule="auto"/>
        <w:ind w:firstLine="560" w:firstLineChars="200"/>
        <w:rPr>
          <w:rFonts w:hint="eastAsia"/>
          <w:sz w:val="28"/>
        </w:rPr>
      </w:pPr>
      <w:r>
        <w:rPr>
          <w:rFonts w:hint="eastAsia"/>
          <w:sz w:val="28"/>
        </w:rPr>
        <w:t>（3）环境效益指标</w:t>
      </w:r>
    </w:p>
    <w:p w14:paraId="35964146">
      <w:pPr>
        <w:spacing w:line="360" w:lineRule="auto"/>
        <w:ind w:firstLine="560" w:firstLineChars="200"/>
        <w:rPr>
          <w:rFonts w:hint="eastAsia"/>
          <w:sz w:val="28"/>
        </w:rPr>
      </w:pPr>
      <w:r>
        <w:rPr>
          <w:rFonts w:hint="eastAsia"/>
          <w:sz w:val="28"/>
        </w:rPr>
        <w:t>以钱养事工作对环境带来的效益主要体现在社会环境上，主要是社区环境的改善，通过改善服务环境，提升乡村村民生活质量。</w:t>
      </w:r>
    </w:p>
    <w:p w14:paraId="05FFA4BD">
      <w:pPr>
        <w:spacing w:line="360" w:lineRule="auto"/>
        <w:ind w:firstLine="560" w:firstLineChars="200"/>
        <w:rPr>
          <w:rFonts w:hint="eastAsia"/>
          <w:sz w:val="28"/>
        </w:rPr>
      </w:pPr>
      <w:r>
        <w:rPr>
          <w:rFonts w:hint="eastAsia"/>
          <w:sz w:val="28"/>
        </w:rPr>
        <w:t>（4）可持续影响指标</w:t>
      </w:r>
    </w:p>
    <w:p w14:paraId="433AA450">
      <w:pPr>
        <w:spacing w:line="360" w:lineRule="auto"/>
        <w:ind w:firstLine="560" w:firstLineChars="200"/>
        <w:rPr>
          <w:rFonts w:hint="eastAsia"/>
          <w:sz w:val="28"/>
        </w:rPr>
      </w:pPr>
      <w:r>
        <w:rPr>
          <w:rFonts w:hint="eastAsia"/>
          <w:sz w:val="28"/>
        </w:rPr>
        <w:t>从群众的反馈情况来看，项目的投入和运作取得了一定成效，且效果随项目一直在持续，说明以钱养事是正确的农村公益事务改革。</w:t>
      </w:r>
    </w:p>
    <w:p w14:paraId="6DF74207">
      <w:pPr>
        <w:spacing w:line="360" w:lineRule="auto"/>
        <w:ind w:firstLine="560" w:firstLineChars="200"/>
        <w:rPr>
          <w:rFonts w:hint="eastAsia"/>
          <w:sz w:val="28"/>
        </w:rPr>
      </w:pPr>
      <w:r>
        <w:rPr>
          <w:rFonts w:hint="eastAsia"/>
          <w:sz w:val="28"/>
        </w:rPr>
        <w:t>（5）社会公众或服务对象满意度指标</w:t>
      </w:r>
    </w:p>
    <w:p w14:paraId="285C1A5A">
      <w:pPr>
        <w:spacing w:line="360" w:lineRule="auto"/>
        <w:ind w:firstLine="560" w:firstLineChars="200"/>
        <w:rPr>
          <w:rFonts w:hint="eastAsia"/>
          <w:sz w:val="28"/>
        </w:rPr>
      </w:pPr>
      <w:r>
        <w:rPr>
          <w:rFonts w:hint="eastAsia"/>
          <w:sz w:val="28"/>
        </w:rPr>
        <w:t>通过调查问卷统计，社会公众或服务对象满意度为80%，有10%左右的居民对以钱养事工作不了解，整体工作满意度有待提高。</w:t>
      </w:r>
    </w:p>
    <w:p w14:paraId="2FCF0352">
      <w:pPr>
        <w:spacing w:line="360" w:lineRule="auto"/>
        <w:ind w:firstLine="560" w:firstLineChars="200"/>
        <w:rPr>
          <w:rFonts w:hint="eastAsia"/>
          <w:sz w:val="28"/>
        </w:rPr>
      </w:pPr>
    </w:p>
    <w:p w14:paraId="7F9DE3CC">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1EB70D92">
      <w:pPr>
        <w:spacing w:line="360" w:lineRule="auto"/>
        <w:ind w:firstLine="560" w:firstLineChars="200"/>
        <w:rPr>
          <w:sz w:val="28"/>
        </w:rPr>
      </w:pPr>
      <w:r>
        <w:rPr>
          <w:rFonts w:hint="eastAsia" w:ascii="楷体_GB2312" w:eastAsia="楷体_GB2312"/>
          <w:sz w:val="28"/>
        </w:rPr>
        <w:t>（一）自评结论</w:t>
      </w:r>
    </w:p>
    <w:p w14:paraId="759F0C0E">
      <w:pPr>
        <w:spacing w:line="360" w:lineRule="auto"/>
        <w:ind w:firstLine="560" w:firstLineChars="200"/>
        <w:rPr>
          <w:rFonts w:hint="eastAsia"/>
          <w:sz w:val="28"/>
        </w:rPr>
      </w:pPr>
      <w:r>
        <w:rPr>
          <w:rFonts w:hint="eastAsia"/>
          <w:sz w:val="28"/>
        </w:rPr>
        <w:t>“项目投入”方面，作为以钱养事经费，为确保九峰街道办事处九峰街道办工作经费有保障，2017年预算申报金额263万元，预算批复金额149万元，预算测算准确率偏低；2017年预算数相比2016年预算金额调增了8万元，主要是因调入退休人员补差8万。此外，绩效目标合理性欠佳，部分绩效指标的设定无法反映和考核项目绩效目标与项目实施的相符情况。故“项目决投入”扣3分，得17分。</w:t>
      </w:r>
    </w:p>
    <w:p w14:paraId="4698E2C8">
      <w:pPr>
        <w:spacing w:line="360" w:lineRule="auto"/>
        <w:ind w:firstLine="560" w:firstLineChars="200"/>
        <w:rPr>
          <w:rFonts w:hint="eastAsia"/>
          <w:sz w:val="28"/>
        </w:rPr>
      </w:pPr>
      <w:r>
        <w:rPr>
          <w:rFonts w:hint="eastAsia"/>
          <w:sz w:val="28"/>
        </w:rPr>
        <w:t>“过程管理”方面，以钱养事工作的其他基础资料完整，以钱养事工作的阶段性质量控制、工作小结等文件齐全，但相关管理和考核制度还不够健全和有效，故扣2分。在经费财务管理方面，支出内容合理，支付手续齐全，会计核算规范。因此，“过程管理”获18分。</w:t>
      </w:r>
    </w:p>
    <w:p w14:paraId="72DD422C">
      <w:pPr>
        <w:spacing w:line="360" w:lineRule="auto"/>
        <w:ind w:firstLine="560" w:firstLineChars="200"/>
        <w:rPr>
          <w:rFonts w:hint="eastAsia"/>
          <w:sz w:val="28"/>
        </w:rPr>
      </w:pPr>
      <w:r>
        <w:rPr>
          <w:rFonts w:hint="eastAsia"/>
          <w:sz w:val="28"/>
        </w:rPr>
        <w:t>“项目产出”方面，除以钱养事单位在职人员数量和服务中心设置数量具体值未合理测算外，其他指标均达目标值100%，“项目产出”扣2分，得28分。</w:t>
      </w:r>
    </w:p>
    <w:p w14:paraId="3993DF6E">
      <w:pPr>
        <w:spacing w:line="360" w:lineRule="auto"/>
        <w:ind w:firstLine="560" w:firstLineChars="200"/>
        <w:rPr>
          <w:rFonts w:hint="eastAsia"/>
          <w:sz w:val="28"/>
        </w:rPr>
      </w:pPr>
      <w:r>
        <w:rPr>
          <w:rFonts w:hint="eastAsia"/>
          <w:sz w:val="28"/>
        </w:rPr>
        <w:t>“项目效果”方面，社会效益指标、环境效益指标、可持续影响指标在短期内能合理测评的数据有限，各扣1分，服务对象满意度指标因居民满意度低于90%，投诉率未测算，故扣3分； “项目产出”得25分。</w:t>
      </w:r>
    </w:p>
    <w:p w14:paraId="6C679116">
      <w:pPr>
        <w:spacing w:line="360" w:lineRule="auto"/>
        <w:ind w:firstLine="560" w:firstLineChars="200"/>
        <w:rPr>
          <w:rFonts w:hint="eastAsia"/>
          <w:sz w:val="28"/>
        </w:rPr>
      </w:pPr>
      <w:r>
        <w:rPr>
          <w:rFonts w:hint="eastAsia"/>
          <w:sz w:val="28"/>
        </w:rPr>
        <w:t>综上，九峰街道办事处2017年“以钱养事经费”绩效自评综合得分87分，绩效评价结果为“良好”。</w:t>
      </w:r>
    </w:p>
    <w:p w14:paraId="24500E3A">
      <w:pPr>
        <w:spacing w:line="360" w:lineRule="auto"/>
        <w:ind w:firstLine="560" w:firstLineChars="200"/>
        <w:rPr>
          <w:rFonts w:ascii="楷体_GB2312" w:eastAsia="楷体_GB2312"/>
          <w:sz w:val="28"/>
        </w:rPr>
      </w:pPr>
      <w:r>
        <w:rPr>
          <w:rFonts w:hint="eastAsia" w:ascii="楷体_GB2312" w:eastAsia="楷体_GB2312"/>
          <w:sz w:val="28"/>
        </w:rPr>
        <w:t>（二）主要经验，存在的问题和改进措施</w:t>
      </w:r>
    </w:p>
    <w:p w14:paraId="73772878">
      <w:pPr>
        <w:spacing w:line="360" w:lineRule="auto"/>
        <w:ind w:firstLine="560" w:firstLineChars="200"/>
        <w:rPr>
          <w:rFonts w:hint="eastAsia"/>
          <w:sz w:val="28"/>
        </w:rPr>
      </w:pPr>
      <w:r>
        <w:rPr>
          <w:rFonts w:hint="eastAsia"/>
          <w:sz w:val="28"/>
        </w:rPr>
        <w:t>1.主要经验</w:t>
      </w:r>
    </w:p>
    <w:p w14:paraId="28EC219D">
      <w:pPr>
        <w:spacing w:line="360" w:lineRule="auto"/>
        <w:ind w:firstLine="560" w:firstLineChars="200"/>
        <w:rPr>
          <w:rFonts w:hint="eastAsia"/>
          <w:sz w:val="28"/>
        </w:rPr>
      </w:pPr>
      <w:r>
        <w:rPr>
          <w:rFonts w:hint="eastAsia"/>
          <w:sz w:val="28"/>
        </w:rPr>
        <w:t>以钱养事的工作开展重点在于认真贯彻落实政府“以钱养事”相关政策精神，首先是转变思想，以加强农村公益服务为目的，大胆创新管理机制，强化服务理念，有效履行政府公益性服务职能，坚持以政府为主导；其次是要结合实际，因地制宜合理设置项目，明确责任主体和服务主体的权利和义务，对相关从业人员实施严格的资格审查，加强对各主体和合同的监督管理。</w:t>
      </w:r>
    </w:p>
    <w:p w14:paraId="1C3D3725">
      <w:pPr>
        <w:spacing w:line="360" w:lineRule="auto"/>
        <w:ind w:firstLine="560" w:firstLineChars="200"/>
        <w:rPr>
          <w:rFonts w:hint="eastAsia"/>
          <w:sz w:val="28"/>
        </w:rPr>
      </w:pPr>
      <w:r>
        <w:rPr>
          <w:rFonts w:hint="eastAsia"/>
          <w:sz w:val="28"/>
        </w:rPr>
        <w:t>2.存在的问题</w:t>
      </w:r>
    </w:p>
    <w:p w14:paraId="5D955852">
      <w:pPr>
        <w:spacing w:line="360" w:lineRule="auto"/>
        <w:ind w:firstLine="560" w:firstLineChars="200"/>
        <w:rPr>
          <w:rFonts w:hint="eastAsia"/>
          <w:sz w:val="28"/>
        </w:rPr>
      </w:pPr>
      <w:r>
        <w:rPr>
          <w:rFonts w:hint="eastAsia"/>
          <w:sz w:val="28"/>
        </w:rPr>
        <w:t>对以钱养事的产出和效果的考核方式较为单一，未采用定期抽查和随机抽查相结合的方式，没有建立村民代表、专业技术人员和领导小组相结合的考核评价机制，考核结果没有公示。应加强对项目事前、事中、事后的监管，考核指标尽量做到量化。</w:t>
      </w:r>
    </w:p>
    <w:p w14:paraId="4F3E45D8">
      <w:pPr>
        <w:spacing w:line="360" w:lineRule="auto"/>
        <w:ind w:firstLine="560" w:firstLineChars="200"/>
        <w:rPr>
          <w:rFonts w:hint="eastAsia"/>
          <w:sz w:val="28"/>
        </w:rPr>
      </w:pPr>
      <w:r>
        <w:rPr>
          <w:rFonts w:hint="eastAsia"/>
          <w:sz w:val="28"/>
        </w:rPr>
        <w:t>3.改进措施</w:t>
      </w:r>
    </w:p>
    <w:p w14:paraId="69F79D2B">
      <w:pPr>
        <w:spacing w:line="360" w:lineRule="auto"/>
        <w:ind w:firstLine="560" w:firstLineChars="200"/>
        <w:rPr>
          <w:rFonts w:hint="eastAsia"/>
          <w:sz w:val="28"/>
        </w:rPr>
      </w:pPr>
      <w:r>
        <w:rPr>
          <w:rFonts w:hint="eastAsia"/>
          <w:sz w:val="28"/>
        </w:rPr>
        <w:t>（1）建立和完善公益性服务合同履行情况考评制度。可设置合适的权重，结合乡镇政府、业务主管部门和服务对象等多方意见，听取农民群众的声音并将农民群众对服务人员的评价作为重要考核依据。设置每年最低的考核次数，对重大临时性事项即时跟踪考核。考核评价结果要公示，并将考核结果与服务经费挂钩。</w:t>
      </w:r>
    </w:p>
    <w:p w14:paraId="269D005B">
      <w:pPr>
        <w:spacing w:line="360" w:lineRule="auto"/>
        <w:ind w:firstLine="560" w:firstLineChars="200"/>
        <w:rPr>
          <w:rFonts w:hint="eastAsia"/>
          <w:sz w:val="28"/>
        </w:rPr>
      </w:pPr>
      <w:r>
        <w:rPr>
          <w:rFonts w:hint="eastAsia"/>
          <w:sz w:val="28"/>
        </w:rPr>
        <w:t>（2）要加强对农村公益性服务专业技术人员的行业管理，积极做好培训和职称评审工作，提高业务素质。同时落实领导责任，各级人大和业务主管部门履行监督职能，共同考核服务效果，加大综合推进力度。</w:t>
      </w:r>
    </w:p>
    <w:p w14:paraId="7212913C">
      <w:pPr>
        <w:pStyle w:val="9"/>
        <w:widowControl w:val="0"/>
        <w:numPr>
          <w:ilvl w:val="0"/>
          <w:numId w:val="0"/>
        </w:numPr>
        <w:tabs>
          <w:tab w:val="left" w:pos="993"/>
          <w:tab w:val="left" w:pos="1418"/>
        </w:tabs>
        <w:spacing w:line="600" w:lineRule="exact"/>
        <w:jc w:val="left"/>
        <w:rPr>
          <w:rFonts w:hint="eastAsia"/>
          <w:sz w:val="28"/>
        </w:rPr>
      </w:pPr>
    </w:p>
    <w:p w14:paraId="4F50A7A6">
      <w:pPr>
        <w:pStyle w:val="9"/>
        <w:widowControl w:val="0"/>
        <w:numPr>
          <w:ilvl w:val="0"/>
          <w:numId w:val="0"/>
        </w:numPr>
        <w:tabs>
          <w:tab w:val="left" w:pos="993"/>
          <w:tab w:val="left" w:pos="1418"/>
        </w:tabs>
        <w:spacing w:line="600" w:lineRule="exact"/>
        <w:jc w:val="left"/>
        <w:rPr>
          <w:rFonts w:hint="eastAsia"/>
          <w:sz w:val="28"/>
        </w:rPr>
      </w:pPr>
    </w:p>
    <w:p w14:paraId="2FDF8579">
      <w:pPr>
        <w:pStyle w:val="9"/>
        <w:widowControl w:val="0"/>
        <w:numPr>
          <w:ilvl w:val="0"/>
          <w:numId w:val="0"/>
        </w:numPr>
        <w:tabs>
          <w:tab w:val="left" w:pos="993"/>
          <w:tab w:val="left" w:pos="1418"/>
        </w:tabs>
        <w:spacing w:line="600" w:lineRule="exact"/>
        <w:jc w:val="left"/>
        <w:rPr>
          <w:rFonts w:hint="eastAsia"/>
          <w:sz w:val="28"/>
        </w:rPr>
      </w:pPr>
    </w:p>
    <w:p w14:paraId="03C418ED">
      <w:pPr>
        <w:pStyle w:val="9"/>
        <w:widowControl w:val="0"/>
        <w:numPr>
          <w:ilvl w:val="0"/>
          <w:numId w:val="0"/>
        </w:numPr>
        <w:tabs>
          <w:tab w:val="left" w:pos="993"/>
          <w:tab w:val="left" w:pos="1418"/>
        </w:tabs>
        <w:spacing w:line="600" w:lineRule="exact"/>
        <w:jc w:val="left"/>
        <w:rPr>
          <w:rFonts w:hint="eastAsia"/>
          <w:sz w:val="28"/>
        </w:rPr>
      </w:pPr>
    </w:p>
    <w:p w14:paraId="5B7E70DB">
      <w:pPr>
        <w:pStyle w:val="9"/>
        <w:widowControl w:val="0"/>
        <w:numPr>
          <w:ilvl w:val="0"/>
          <w:numId w:val="0"/>
        </w:numPr>
        <w:tabs>
          <w:tab w:val="left" w:pos="993"/>
          <w:tab w:val="left" w:pos="1418"/>
        </w:tabs>
        <w:spacing w:line="600" w:lineRule="exact"/>
        <w:jc w:val="left"/>
        <w:rPr>
          <w:rFonts w:hint="eastAsia"/>
          <w:sz w:val="28"/>
        </w:rPr>
      </w:pPr>
    </w:p>
    <w:p w14:paraId="606CB974">
      <w:pPr>
        <w:pStyle w:val="9"/>
        <w:widowControl w:val="0"/>
        <w:numPr>
          <w:ilvl w:val="0"/>
          <w:numId w:val="0"/>
        </w:numPr>
        <w:tabs>
          <w:tab w:val="left" w:pos="993"/>
          <w:tab w:val="left" w:pos="1418"/>
        </w:tabs>
        <w:spacing w:line="600" w:lineRule="exact"/>
        <w:jc w:val="left"/>
        <w:rPr>
          <w:rFonts w:hint="eastAsia"/>
          <w:sz w:val="28"/>
        </w:rPr>
      </w:pPr>
    </w:p>
    <w:p w14:paraId="1D048E91">
      <w:pPr>
        <w:pStyle w:val="9"/>
        <w:widowControl w:val="0"/>
        <w:numPr>
          <w:ilvl w:val="0"/>
          <w:numId w:val="0"/>
        </w:numPr>
        <w:tabs>
          <w:tab w:val="left" w:pos="993"/>
          <w:tab w:val="left" w:pos="1418"/>
        </w:tabs>
        <w:spacing w:line="600" w:lineRule="exact"/>
        <w:jc w:val="left"/>
        <w:rPr>
          <w:rFonts w:hint="eastAsia"/>
          <w:sz w:val="28"/>
        </w:rPr>
      </w:pPr>
    </w:p>
    <w:p w14:paraId="0A323218">
      <w:pPr>
        <w:pStyle w:val="9"/>
        <w:widowControl w:val="0"/>
        <w:numPr>
          <w:ilvl w:val="0"/>
          <w:numId w:val="0"/>
        </w:numPr>
        <w:tabs>
          <w:tab w:val="left" w:pos="993"/>
          <w:tab w:val="left" w:pos="1418"/>
        </w:tabs>
        <w:spacing w:line="600" w:lineRule="exact"/>
        <w:jc w:val="left"/>
        <w:rPr>
          <w:rFonts w:hint="eastAsia"/>
          <w:sz w:val="28"/>
        </w:rPr>
      </w:pPr>
    </w:p>
    <w:p w14:paraId="36393C13">
      <w:pPr>
        <w:pStyle w:val="9"/>
        <w:widowControl w:val="0"/>
        <w:numPr>
          <w:ilvl w:val="0"/>
          <w:numId w:val="0"/>
        </w:numPr>
        <w:tabs>
          <w:tab w:val="left" w:pos="993"/>
          <w:tab w:val="left" w:pos="1418"/>
        </w:tabs>
        <w:spacing w:line="600" w:lineRule="exact"/>
        <w:jc w:val="left"/>
        <w:rPr>
          <w:rFonts w:hint="eastAsia"/>
          <w:sz w:val="28"/>
        </w:rPr>
      </w:pPr>
    </w:p>
    <w:p w14:paraId="68BD9B4D">
      <w:pPr>
        <w:pStyle w:val="9"/>
        <w:widowControl w:val="0"/>
        <w:numPr>
          <w:ilvl w:val="0"/>
          <w:numId w:val="0"/>
        </w:numPr>
        <w:tabs>
          <w:tab w:val="left" w:pos="993"/>
          <w:tab w:val="left" w:pos="1418"/>
        </w:tabs>
        <w:spacing w:line="600" w:lineRule="exact"/>
        <w:jc w:val="left"/>
        <w:rPr>
          <w:rFonts w:hint="eastAsia"/>
          <w:sz w:val="28"/>
        </w:rPr>
      </w:pPr>
    </w:p>
    <w:p w14:paraId="5B42312E">
      <w:pPr>
        <w:pStyle w:val="9"/>
        <w:widowControl w:val="0"/>
        <w:numPr>
          <w:ilvl w:val="0"/>
          <w:numId w:val="0"/>
        </w:numPr>
        <w:tabs>
          <w:tab w:val="left" w:pos="993"/>
          <w:tab w:val="left" w:pos="1418"/>
        </w:tabs>
        <w:spacing w:line="600" w:lineRule="exact"/>
        <w:jc w:val="left"/>
        <w:rPr>
          <w:rFonts w:hint="eastAsia"/>
          <w:sz w:val="28"/>
        </w:rPr>
      </w:pPr>
    </w:p>
    <w:p w14:paraId="41C65739">
      <w:pPr>
        <w:pStyle w:val="9"/>
        <w:widowControl w:val="0"/>
        <w:numPr>
          <w:ilvl w:val="0"/>
          <w:numId w:val="0"/>
        </w:numPr>
        <w:tabs>
          <w:tab w:val="left" w:pos="993"/>
          <w:tab w:val="left" w:pos="1418"/>
        </w:tabs>
        <w:spacing w:line="600" w:lineRule="exact"/>
        <w:jc w:val="left"/>
        <w:rPr>
          <w:rFonts w:hint="eastAsia"/>
          <w:sz w:val="28"/>
        </w:rPr>
      </w:pPr>
    </w:p>
    <w:p w14:paraId="36BD53B5">
      <w:pPr>
        <w:pStyle w:val="9"/>
        <w:widowControl w:val="0"/>
        <w:numPr>
          <w:ilvl w:val="0"/>
          <w:numId w:val="0"/>
        </w:numPr>
        <w:tabs>
          <w:tab w:val="left" w:pos="993"/>
          <w:tab w:val="left" w:pos="1418"/>
        </w:tabs>
        <w:spacing w:line="600" w:lineRule="exact"/>
        <w:jc w:val="left"/>
        <w:rPr>
          <w:rFonts w:hint="eastAsia"/>
          <w:sz w:val="28"/>
        </w:rPr>
      </w:pPr>
    </w:p>
    <w:p w14:paraId="3370CA40">
      <w:pPr>
        <w:pStyle w:val="9"/>
        <w:widowControl w:val="0"/>
        <w:numPr>
          <w:ilvl w:val="0"/>
          <w:numId w:val="0"/>
        </w:numPr>
        <w:tabs>
          <w:tab w:val="left" w:pos="993"/>
          <w:tab w:val="left" w:pos="1418"/>
        </w:tabs>
        <w:spacing w:line="600" w:lineRule="exact"/>
        <w:jc w:val="left"/>
        <w:rPr>
          <w:rFonts w:hint="eastAsia"/>
          <w:sz w:val="28"/>
        </w:rPr>
      </w:pPr>
    </w:p>
    <w:p w14:paraId="3267E2DB">
      <w:pPr>
        <w:pStyle w:val="9"/>
        <w:widowControl w:val="0"/>
        <w:numPr>
          <w:ilvl w:val="0"/>
          <w:numId w:val="0"/>
        </w:numPr>
        <w:tabs>
          <w:tab w:val="left" w:pos="993"/>
          <w:tab w:val="left" w:pos="1418"/>
        </w:tabs>
        <w:spacing w:line="600" w:lineRule="exact"/>
        <w:jc w:val="left"/>
        <w:rPr>
          <w:rFonts w:hint="eastAsia"/>
          <w:sz w:val="28"/>
        </w:rPr>
      </w:pPr>
    </w:p>
    <w:p w14:paraId="3CEA5B76">
      <w:pPr>
        <w:pStyle w:val="9"/>
        <w:widowControl w:val="0"/>
        <w:numPr>
          <w:ilvl w:val="0"/>
          <w:numId w:val="0"/>
        </w:numPr>
        <w:tabs>
          <w:tab w:val="left" w:pos="993"/>
          <w:tab w:val="left" w:pos="1418"/>
        </w:tabs>
        <w:spacing w:line="600" w:lineRule="exact"/>
        <w:jc w:val="left"/>
        <w:rPr>
          <w:rFonts w:hint="eastAsia"/>
          <w:sz w:val="28"/>
        </w:rPr>
      </w:pPr>
    </w:p>
    <w:p w14:paraId="5EBF0FBA">
      <w:pPr>
        <w:pStyle w:val="9"/>
        <w:widowControl w:val="0"/>
        <w:numPr>
          <w:ilvl w:val="0"/>
          <w:numId w:val="0"/>
        </w:numPr>
        <w:tabs>
          <w:tab w:val="left" w:pos="993"/>
          <w:tab w:val="left" w:pos="1418"/>
        </w:tabs>
        <w:spacing w:line="600" w:lineRule="exact"/>
        <w:jc w:val="left"/>
        <w:rPr>
          <w:rFonts w:hint="eastAsia"/>
          <w:sz w:val="28"/>
        </w:rPr>
      </w:pPr>
    </w:p>
    <w:p w14:paraId="11656FC0">
      <w:pPr>
        <w:pStyle w:val="9"/>
        <w:widowControl w:val="0"/>
        <w:numPr>
          <w:ilvl w:val="0"/>
          <w:numId w:val="0"/>
        </w:numPr>
        <w:tabs>
          <w:tab w:val="left" w:pos="993"/>
          <w:tab w:val="left" w:pos="1418"/>
        </w:tabs>
        <w:spacing w:line="600" w:lineRule="exact"/>
        <w:jc w:val="left"/>
        <w:rPr>
          <w:rFonts w:hint="eastAsia"/>
          <w:sz w:val="28"/>
        </w:rPr>
      </w:pPr>
    </w:p>
    <w:p w14:paraId="73C71FBD">
      <w:pPr>
        <w:jc w:val="center"/>
        <w:rPr>
          <w:rFonts w:hint="eastAsia" w:ascii="宋体" w:hAnsi="宋体"/>
          <w:sz w:val="56"/>
          <w:szCs w:val="56"/>
        </w:rPr>
      </w:pPr>
      <w:r>
        <w:rPr>
          <w:rFonts w:hint="eastAsia" w:ascii="宋体" w:hAnsi="宋体"/>
          <w:sz w:val="56"/>
          <w:szCs w:val="56"/>
        </w:rPr>
        <w:t>武汉东湖新技术开发区预算项目</w:t>
      </w:r>
    </w:p>
    <w:p w14:paraId="297C6E50">
      <w:pPr>
        <w:jc w:val="center"/>
        <w:rPr>
          <w:rFonts w:hint="eastAsia" w:ascii="宋体" w:hAnsi="宋体"/>
          <w:sz w:val="56"/>
          <w:szCs w:val="56"/>
        </w:rPr>
      </w:pPr>
      <w:r>
        <w:rPr>
          <w:rFonts w:hint="eastAsia" w:ascii="宋体" w:hAnsi="宋体"/>
          <w:sz w:val="56"/>
          <w:szCs w:val="56"/>
        </w:rPr>
        <w:t>绩效自评报告</w:t>
      </w:r>
    </w:p>
    <w:p w14:paraId="411790E0">
      <w:pPr>
        <w:rPr>
          <w:rFonts w:hint="eastAsia" w:ascii="宋体" w:hAnsi="宋体"/>
          <w:sz w:val="32"/>
          <w:szCs w:val="32"/>
        </w:rPr>
      </w:pPr>
    </w:p>
    <w:p w14:paraId="58C6B683">
      <w:pPr>
        <w:rPr>
          <w:rFonts w:hint="eastAsia" w:ascii="宋体" w:hAnsi="宋体"/>
          <w:sz w:val="32"/>
          <w:szCs w:val="32"/>
        </w:rPr>
      </w:pPr>
    </w:p>
    <w:p w14:paraId="05841B9A">
      <w:pPr>
        <w:rPr>
          <w:rFonts w:hint="eastAsia" w:ascii="宋体" w:hAnsi="宋体"/>
          <w:sz w:val="32"/>
          <w:szCs w:val="32"/>
        </w:rPr>
      </w:pPr>
    </w:p>
    <w:p w14:paraId="4A684151">
      <w:pPr>
        <w:rPr>
          <w:rFonts w:hint="eastAsia" w:ascii="宋体" w:hAnsi="宋体"/>
          <w:sz w:val="32"/>
          <w:szCs w:val="32"/>
        </w:rPr>
      </w:pPr>
    </w:p>
    <w:p w14:paraId="6EE00A82">
      <w:pPr>
        <w:rPr>
          <w:rFonts w:ascii="宋体" w:hAnsi="宋体"/>
          <w:sz w:val="32"/>
          <w:szCs w:val="32"/>
        </w:rPr>
      </w:pPr>
    </w:p>
    <w:p w14:paraId="70C7A526">
      <w:pPr>
        <w:ind w:left="420" w:leftChars="200"/>
        <w:rPr>
          <w:rFonts w:hint="eastAsia"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基层组织经费             </w:t>
      </w:r>
    </w:p>
    <w:p w14:paraId="27B27D3B">
      <w:pPr>
        <w:ind w:left="420" w:leftChars="200"/>
        <w:rPr>
          <w:rFonts w:hint="eastAsia" w:ascii="宋体" w:hAnsi="宋体"/>
          <w:sz w:val="32"/>
          <w:szCs w:val="32"/>
          <w:u w:val="single"/>
        </w:rPr>
      </w:pPr>
      <w:r>
        <w:rPr>
          <w:rFonts w:hint="eastAsia" w:ascii="宋体" w:hAnsi="宋体"/>
          <w:sz w:val="32"/>
          <w:szCs w:val="32"/>
        </w:rPr>
        <w:t>项目单位：</w:t>
      </w:r>
      <w:r>
        <w:rPr>
          <w:rFonts w:hint="eastAsia" w:ascii="宋体" w:hAnsi="宋体"/>
          <w:sz w:val="32"/>
          <w:szCs w:val="32"/>
          <w:u w:val="single"/>
        </w:rPr>
        <w:t xml:space="preserve">武汉东湖新技术开发区九峰街道办事处 </w:t>
      </w:r>
    </w:p>
    <w:p w14:paraId="43EB3308">
      <w:pPr>
        <w:ind w:left="420" w:leftChars="200"/>
        <w:rPr>
          <w:rFonts w:ascii="宋体" w:hAnsi="宋体"/>
          <w:sz w:val="32"/>
          <w:szCs w:val="32"/>
          <w:u w:val="single"/>
        </w:rPr>
      </w:pPr>
      <w:r>
        <w:rPr>
          <w:rFonts w:hint="eastAsia" w:ascii="宋体" w:hAnsi="宋体"/>
          <w:sz w:val="32"/>
          <w:szCs w:val="32"/>
        </w:rPr>
        <w:t>区财政局主管业务科室；</w:t>
      </w:r>
      <w:r>
        <w:rPr>
          <w:rFonts w:hint="eastAsia" w:ascii="宋体" w:hAnsi="宋体"/>
          <w:sz w:val="32"/>
          <w:szCs w:val="32"/>
          <w:u w:val="single"/>
        </w:rPr>
        <w:t xml:space="preserve">       （盖章）       </w:t>
      </w:r>
    </w:p>
    <w:p w14:paraId="4DE8DACE">
      <w:pPr>
        <w:ind w:left="420" w:leftChars="200"/>
        <w:rPr>
          <w:rFonts w:hint="eastAsia" w:ascii="宋体" w:hAnsi="宋体"/>
          <w:sz w:val="32"/>
          <w:szCs w:val="32"/>
        </w:rPr>
      </w:pPr>
      <w:r>
        <w:rPr>
          <w:rFonts w:hint="eastAsia" w:ascii="宋体" w:hAnsi="宋体"/>
          <w:sz w:val="32"/>
          <w:szCs w:val="32"/>
        </w:rPr>
        <w:t>评价机构：</w:t>
      </w:r>
      <w:r>
        <w:rPr>
          <w:rFonts w:hint="eastAsia" w:ascii="宋体" w:hAnsi="宋体"/>
          <w:sz w:val="32"/>
          <w:szCs w:val="32"/>
          <w:u w:val="single"/>
        </w:rPr>
        <w:t>武汉康力会计师事务有限责任公司</w:t>
      </w:r>
    </w:p>
    <w:p w14:paraId="11E5869B">
      <w:pPr>
        <w:rPr>
          <w:rFonts w:ascii="宋体" w:hAnsi="宋体"/>
          <w:sz w:val="32"/>
          <w:szCs w:val="32"/>
        </w:rPr>
      </w:pPr>
    </w:p>
    <w:p w14:paraId="1966DABC">
      <w:pPr>
        <w:rPr>
          <w:rFonts w:hint="eastAsia" w:ascii="宋体" w:hAnsi="宋体"/>
          <w:sz w:val="32"/>
          <w:szCs w:val="32"/>
        </w:rPr>
      </w:pPr>
    </w:p>
    <w:p w14:paraId="68968BA6">
      <w:pPr>
        <w:rPr>
          <w:rFonts w:hint="eastAsia" w:ascii="宋体" w:hAnsi="宋体"/>
          <w:sz w:val="32"/>
          <w:szCs w:val="32"/>
        </w:rPr>
      </w:pPr>
    </w:p>
    <w:p w14:paraId="4681B86A">
      <w:pPr>
        <w:rPr>
          <w:rFonts w:hint="eastAsia" w:ascii="宋体" w:hAnsi="宋体"/>
          <w:sz w:val="32"/>
          <w:szCs w:val="32"/>
        </w:rPr>
      </w:pPr>
    </w:p>
    <w:p w14:paraId="6D3424DF">
      <w:pPr>
        <w:rPr>
          <w:rFonts w:ascii="宋体" w:hAnsi="宋体"/>
          <w:sz w:val="32"/>
          <w:szCs w:val="32"/>
        </w:rPr>
      </w:pPr>
    </w:p>
    <w:p w14:paraId="50118666">
      <w:pPr>
        <w:rPr>
          <w:rFonts w:hint="eastAsia" w:ascii="宋体" w:hAnsi="宋体"/>
          <w:sz w:val="32"/>
          <w:szCs w:val="32"/>
        </w:rPr>
      </w:pPr>
    </w:p>
    <w:p w14:paraId="26F4DA5A">
      <w:pPr>
        <w:jc w:val="center"/>
        <w:rPr>
          <w:rFonts w:ascii="宋体" w:hAnsi="宋体"/>
          <w:sz w:val="32"/>
          <w:szCs w:val="32"/>
        </w:rPr>
      </w:pPr>
      <w:r>
        <w:rPr>
          <w:rFonts w:hint="eastAsia" w:ascii="宋体" w:hAnsi="宋体"/>
          <w:sz w:val="32"/>
          <w:szCs w:val="32"/>
        </w:rPr>
        <w:t>2018年6月</w:t>
      </w:r>
    </w:p>
    <w:p w14:paraId="3E7241B0">
      <w:pPr>
        <w:widowControl/>
        <w:ind w:right="640"/>
        <w:jc w:val="center"/>
        <w:rPr>
          <w:rFonts w:ascii="方正宋黑简体" w:eastAsia="方正宋黑简体"/>
          <w:b/>
          <w:sz w:val="44"/>
          <w:szCs w:val="44"/>
        </w:rPr>
      </w:pPr>
      <w:r>
        <w:rPr>
          <w:rFonts w:ascii="宋体" w:hAnsi="宋体"/>
          <w:sz w:val="32"/>
          <w:szCs w:val="32"/>
        </w:rPr>
        <w:br w:type="page"/>
      </w:r>
      <w:r>
        <w:rPr>
          <w:rFonts w:hint="eastAsia" w:ascii="方正宋黑简体" w:eastAsia="方正宋黑简体"/>
          <w:b/>
          <w:sz w:val="44"/>
          <w:szCs w:val="44"/>
        </w:rPr>
        <w:t>报 告 正 文</w:t>
      </w:r>
    </w:p>
    <w:p w14:paraId="76DFB966">
      <w:pPr>
        <w:widowControl/>
        <w:spacing w:line="600" w:lineRule="exact"/>
        <w:ind w:firstLine="640" w:firstLineChars="200"/>
        <w:jc w:val="left"/>
        <w:rPr>
          <w:rFonts w:hint="eastAsia" w:ascii="宋体" w:hAnsi="宋体"/>
          <w:sz w:val="32"/>
          <w:szCs w:val="32"/>
        </w:rPr>
      </w:pPr>
    </w:p>
    <w:p w14:paraId="211147FA">
      <w:pPr>
        <w:spacing w:line="360" w:lineRule="auto"/>
        <w:ind w:firstLine="562" w:firstLineChars="200"/>
        <w:rPr>
          <w:rFonts w:hint="eastAsia" w:ascii="宋体" w:hAnsi="宋体"/>
          <w:b/>
          <w:sz w:val="28"/>
          <w:szCs w:val="28"/>
        </w:rPr>
      </w:pPr>
      <w:r>
        <w:rPr>
          <w:rFonts w:hint="eastAsia" w:ascii="宋体" w:hAnsi="宋体"/>
          <w:b/>
          <w:sz w:val="28"/>
          <w:szCs w:val="28"/>
        </w:rPr>
        <w:t>一、项目基本情况</w:t>
      </w:r>
    </w:p>
    <w:p w14:paraId="43BCFDCD">
      <w:pPr>
        <w:spacing w:line="360" w:lineRule="auto"/>
        <w:ind w:firstLine="560" w:firstLineChars="200"/>
        <w:rPr>
          <w:rFonts w:ascii="宋体" w:hAnsi="宋体"/>
          <w:sz w:val="28"/>
          <w:szCs w:val="28"/>
        </w:rPr>
      </w:pPr>
      <w:r>
        <w:rPr>
          <w:rFonts w:hint="eastAsia" w:ascii="宋体" w:hAnsi="宋体"/>
          <w:sz w:val="28"/>
          <w:szCs w:val="28"/>
        </w:rPr>
        <w:t>（一）项目概况</w:t>
      </w:r>
    </w:p>
    <w:p w14:paraId="65C8D944">
      <w:pPr>
        <w:pStyle w:val="12"/>
        <w:ind w:firstLine="504" w:firstLineChars="180"/>
        <w:rPr>
          <w:rFonts w:ascii="宋体" w:hAnsi="宋体" w:cs="宋体"/>
          <w:sz w:val="28"/>
          <w:szCs w:val="28"/>
        </w:rPr>
      </w:pPr>
      <w:r>
        <w:rPr>
          <w:rFonts w:hint="eastAsia" w:ascii="宋体" w:hAnsi="宋体" w:cs="宋体"/>
          <w:sz w:val="28"/>
          <w:szCs w:val="28"/>
        </w:rPr>
        <w:t>武汉东湖新技术开发区九峰街道办事处隶属武汉东湖新技术开发区管委会，包括1个行政单位，9个“以钱养事”服务中心，5个事业单位；下设10个行政村，共83个小组，5个社区。</w:t>
      </w:r>
    </w:p>
    <w:p w14:paraId="27010E52">
      <w:pPr>
        <w:spacing w:line="360" w:lineRule="auto"/>
        <w:ind w:firstLine="560" w:firstLineChars="200"/>
        <w:rPr>
          <w:rFonts w:hint="eastAsia" w:ascii="宋体" w:hAnsi="宋体"/>
          <w:sz w:val="28"/>
          <w:szCs w:val="28"/>
        </w:rPr>
      </w:pPr>
      <w:r>
        <w:rPr>
          <w:rFonts w:hint="eastAsia" w:ascii="宋体" w:hAnsi="宋体"/>
          <w:sz w:val="28"/>
          <w:szCs w:val="28"/>
        </w:rPr>
        <w:t>项目意在加强、改进党和国家机关党的工作，充分发挥机关基层党组织的作用，创造良好的社会环境，进行基层日常工作，提升基层组织的工作效率。</w:t>
      </w:r>
    </w:p>
    <w:p w14:paraId="78CD1632">
      <w:pPr>
        <w:spacing w:line="360" w:lineRule="auto"/>
        <w:ind w:firstLine="560" w:firstLineChars="200"/>
        <w:rPr>
          <w:rFonts w:hint="eastAsia" w:ascii="宋体" w:hAnsi="宋体"/>
          <w:sz w:val="28"/>
          <w:szCs w:val="28"/>
        </w:rPr>
      </w:pPr>
      <w:r>
        <w:rPr>
          <w:rFonts w:hint="eastAsia" w:ascii="宋体" w:hAnsi="宋体"/>
          <w:sz w:val="28"/>
          <w:szCs w:val="28"/>
        </w:rPr>
        <w:t>项目制定了详细的活动规划、严格的资金使用计划并对活动效果做出了预期。项目严格依据武汉东湖新技术开发区九峰街道办事处历年来基层组织建设资金的支出情况，并结合各基层组织实际情况分配资金，力求做到资金使用效率最大化。</w:t>
      </w:r>
    </w:p>
    <w:p w14:paraId="4B90316F">
      <w:pPr>
        <w:spacing w:line="360" w:lineRule="auto"/>
        <w:ind w:firstLine="560" w:firstLineChars="200"/>
        <w:rPr>
          <w:rFonts w:ascii="宋体" w:hAnsi="宋体"/>
          <w:sz w:val="28"/>
          <w:szCs w:val="28"/>
        </w:rPr>
      </w:pPr>
      <w:r>
        <w:rPr>
          <w:rFonts w:hint="eastAsia" w:ascii="宋体" w:hAnsi="宋体"/>
          <w:sz w:val="28"/>
          <w:szCs w:val="28"/>
        </w:rPr>
        <w:t>项目预算经费106万元。其中：</w:t>
      </w:r>
    </w:p>
    <w:p w14:paraId="02C83952">
      <w:pPr>
        <w:snapToGrid w:val="0"/>
        <w:spacing w:line="600" w:lineRule="exact"/>
        <w:rPr>
          <w:rFonts w:hint="eastAsia" w:ascii="宋体" w:hAnsi="宋体"/>
          <w:bCs/>
          <w:sz w:val="28"/>
          <w:szCs w:val="28"/>
        </w:rPr>
      </w:pPr>
      <w:r>
        <w:rPr>
          <w:rFonts w:hint="eastAsia" w:ascii="宋体" w:hAnsi="宋体"/>
          <w:bCs/>
          <w:sz w:val="28"/>
          <w:szCs w:val="28"/>
        </w:rPr>
        <w:t xml:space="preserve">    1、党群工作经费21.15万元。用于为加强党的基层组织建设，宣传党的政策，落实党的决定，实现基层党组织全覆盖，丰富基层党组织活动。开展好基层干部轮训，加强党员教育，落实好“三会一课”、党内民主生活制度组织基层干部轮训，加强党的基层组织建设。</w:t>
      </w:r>
    </w:p>
    <w:p w14:paraId="28A6461C">
      <w:pPr>
        <w:snapToGrid w:val="0"/>
        <w:spacing w:line="600" w:lineRule="exact"/>
        <w:ind w:firstLine="560" w:firstLineChars="200"/>
        <w:rPr>
          <w:rFonts w:hint="eastAsia" w:ascii="宋体" w:hAnsi="宋体"/>
          <w:bCs/>
          <w:sz w:val="28"/>
          <w:szCs w:val="28"/>
        </w:rPr>
      </w:pPr>
      <w:r>
        <w:rPr>
          <w:rFonts w:hint="eastAsia" w:ascii="宋体" w:hAnsi="宋体"/>
          <w:bCs/>
          <w:sz w:val="28"/>
          <w:szCs w:val="28"/>
        </w:rPr>
        <w:t>2、纪委专项业务经费4.70万元。用于宣传教育、外出办案及纪委培训等专项业务4.70万元。</w:t>
      </w:r>
    </w:p>
    <w:p w14:paraId="6161BE33">
      <w:pPr>
        <w:snapToGrid w:val="0"/>
        <w:spacing w:line="600" w:lineRule="exact"/>
        <w:rPr>
          <w:rFonts w:hint="eastAsia" w:ascii="宋体" w:hAnsi="宋体"/>
          <w:bCs/>
          <w:sz w:val="28"/>
          <w:szCs w:val="28"/>
        </w:rPr>
      </w:pPr>
      <w:r>
        <w:rPr>
          <w:rFonts w:hint="eastAsia" w:ascii="宋体" w:hAnsi="宋体"/>
          <w:bCs/>
          <w:sz w:val="28"/>
          <w:szCs w:val="28"/>
        </w:rPr>
        <w:t xml:space="preserve">    3、工会经费3.30万元。用于检查基层目标完成情况，参加上级学习培训，年终座谈会3.30万元。</w:t>
      </w:r>
    </w:p>
    <w:p w14:paraId="5BA54664">
      <w:pPr>
        <w:snapToGrid w:val="0"/>
        <w:spacing w:line="600" w:lineRule="exact"/>
        <w:rPr>
          <w:rFonts w:hint="eastAsia" w:ascii="宋体" w:hAnsi="宋体"/>
          <w:bCs/>
          <w:sz w:val="28"/>
          <w:szCs w:val="28"/>
        </w:rPr>
      </w:pPr>
      <w:r>
        <w:rPr>
          <w:rFonts w:hint="eastAsia" w:ascii="宋体" w:hAnsi="宋体"/>
          <w:bCs/>
          <w:sz w:val="28"/>
          <w:szCs w:val="28"/>
        </w:rPr>
        <w:t xml:space="preserve">    4、基层团组织活动经费9.50万元。用于基层团干培训，五四纪念活动 ，边缘青少年活动，青年</w:t>
      </w:r>
      <w:r>
        <w:rPr>
          <w:rFonts w:hint="eastAsia" w:ascii="宋体" w:hAnsi="宋体"/>
          <w:bCs/>
          <w:sz w:val="28"/>
          <w:szCs w:val="28"/>
          <w:lang w:eastAsia="zh-CN"/>
        </w:rPr>
        <w:t>志</w:t>
      </w:r>
      <w:r>
        <w:rPr>
          <w:rFonts w:hint="eastAsia" w:ascii="宋体" w:hAnsi="宋体"/>
          <w:bCs/>
          <w:sz w:val="28"/>
          <w:szCs w:val="28"/>
        </w:rPr>
        <w:t>愿者活动，加强青少年理想信念教育3.50万元；2017年九峰街建设6个青少年空间，按照团市委要求组织活动，引导青少年健康成长成才6.00万元。</w:t>
      </w:r>
    </w:p>
    <w:p w14:paraId="297D5E60">
      <w:pPr>
        <w:snapToGrid w:val="0"/>
        <w:spacing w:line="600" w:lineRule="exact"/>
        <w:rPr>
          <w:rFonts w:hint="eastAsia" w:ascii="宋体" w:hAnsi="宋体"/>
          <w:bCs/>
          <w:sz w:val="28"/>
          <w:szCs w:val="28"/>
        </w:rPr>
      </w:pPr>
      <w:r>
        <w:rPr>
          <w:rFonts w:hint="eastAsia" w:ascii="宋体" w:hAnsi="宋体"/>
          <w:bCs/>
          <w:sz w:val="28"/>
          <w:szCs w:val="28"/>
        </w:rPr>
        <w:t xml:space="preserve">    5、组织人事工作经费5.30万元。用于表彰庆祝活动、工作会议及节日慰问特困党员，党支部活动经费，农村“五个好”创建、党员“双带”示范、流动党员、“创先争优”、 及“城乡互联，结对共建”等活动经费5.30万元。</w:t>
      </w:r>
    </w:p>
    <w:p w14:paraId="5DF33432">
      <w:pPr>
        <w:snapToGrid w:val="0"/>
        <w:spacing w:line="600" w:lineRule="exact"/>
        <w:rPr>
          <w:rFonts w:hint="eastAsia" w:ascii="宋体" w:hAnsi="宋体"/>
          <w:bCs/>
          <w:sz w:val="28"/>
          <w:szCs w:val="28"/>
        </w:rPr>
      </w:pPr>
      <w:r>
        <w:rPr>
          <w:rFonts w:hint="eastAsia" w:ascii="宋体" w:hAnsi="宋体"/>
          <w:bCs/>
          <w:sz w:val="28"/>
          <w:szCs w:val="28"/>
        </w:rPr>
        <w:t xml:space="preserve">    6、基层财政工作经费30.00万元。用于基层财政所开展日常办公所需之办公用品、耗材、邮电费、印刷费、水电费、工作餐费、会议费、培训费、办公设施日常维修维护费等日常事务性支出，以及财政资金监督管理会务费、培训费，开展本级资金绩效项目申报、评价劳务费。</w:t>
      </w:r>
    </w:p>
    <w:p w14:paraId="24561DA4">
      <w:pPr>
        <w:snapToGrid w:val="0"/>
        <w:spacing w:line="600" w:lineRule="exact"/>
        <w:rPr>
          <w:rFonts w:hint="eastAsia" w:ascii="宋体" w:hAnsi="宋体"/>
          <w:bCs/>
          <w:sz w:val="28"/>
          <w:szCs w:val="28"/>
        </w:rPr>
      </w:pPr>
      <w:r>
        <w:rPr>
          <w:rFonts w:hint="eastAsia" w:ascii="宋体" w:hAnsi="宋体"/>
          <w:bCs/>
          <w:sz w:val="28"/>
          <w:szCs w:val="28"/>
        </w:rPr>
        <w:t xml:space="preserve">    7、妇联工作经费3.50万元。用于“三.八”纪念表彰、妇女维权学习及妇联开展各种讲座、困难家庭慰问及帮扶、文明家庭创建等活动。</w:t>
      </w:r>
    </w:p>
    <w:p w14:paraId="5D7C2BF2">
      <w:pPr>
        <w:snapToGrid w:val="0"/>
        <w:spacing w:line="600" w:lineRule="exact"/>
        <w:rPr>
          <w:rFonts w:hint="eastAsia" w:ascii="宋体" w:hAnsi="宋体"/>
          <w:bCs/>
          <w:sz w:val="28"/>
          <w:szCs w:val="28"/>
        </w:rPr>
      </w:pPr>
      <w:r>
        <w:rPr>
          <w:rFonts w:hint="eastAsia" w:ascii="宋体" w:hAnsi="宋体"/>
          <w:bCs/>
          <w:sz w:val="28"/>
          <w:szCs w:val="28"/>
        </w:rPr>
        <w:t xml:space="preserve">    8、人大政协经费5.40万元。用于人大年度例会，市、区代表视察活动，代表年度座谈总结会(1次) 及年度慰问经费及表彰培训会共计5.4万元。</w:t>
      </w:r>
    </w:p>
    <w:p w14:paraId="0AD143B2">
      <w:pPr>
        <w:snapToGrid w:val="0"/>
        <w:spacing w:line="600" w:lineRule="exact"/>
        <w:rPr>
          <w:rFonts w:hint="eastAsia" w:ascii="宋体" w:hAnsi="宋体"/>
          <w:bCs/>
          <w:sz w:val="28"/>
          <w:szCs w:val="28"/>
        </w:rPr>
      </w:pPr>
      <w:r>
        <w:rPr>
          <w:rFonts w:hint="eastAsia" w:ascii="宋体" w:hAnsi="宋体"/>
          <w:bCs/>
          <w:sz w:val="28"/>
          <w:szCs w:val="28"/>
        </w:rPr>
        <w:t xml:space="preserve">    9、党政工作经费23.15万元。用于街道党工委主持召开会务及年终慰问计5.00万元。档案资料管理达标经费3.00万元。绩效目标管理日常布置及年终总结表彰15.15万元。</w:t>
      </w:r>
    </w:p>
    <w:p w14:paraId="5EC8FF4A">
      <w:pPr>
        <w:pStyle w:val="10"/>
        <w:ind w:firstLine="506" w:firstLineChars="181"/>
        <w:rPr>
          <w:rFonts w:ascii="宋体" w:hAnsi="宋体" w:cs="宋体"/>
          <w:sz w:val="28"/>
          <w:szCs w:val="28"/>
        </w:rPr>
      </w:pPr>
      <w:r>
        <w:rPr>
          <w:rFonts w:hint="eastAsia" w:ascii="宋体" w:hAnsi="宋体" w:cs="宋体"/>
          <w:sz w:val="28"/>
          <w:szCs w:val="28"/>
        </w:rPr>
        <w:t>截止2017年12月31日，项目资金使用76.88万元，开展基层组织活动18次，发展新党员8名，基层组织活动覆盖率达到了100%，建设了6个青少年空间并按照团市委的要求组织了相关活动，人大代表年度座谈总结会举行了1次，项目完成度较高，实现了预期效果。</w:t>
      </w:r>
    </w:p>
    <w:p w14:paraId="014EA2EE">
      <w:pPr>
        <w:ind w:firstLine="560" w:firstLineChars="200"/>
        <w:rPr>
          <w:rFonts w:hint="eastAsia" w:ascii="宋体" w:hAnsi="宋体" w:cs="宋体"/>
          <w:sz w:val="28"/>
          <w:szCs w:val="28"/>
        </w:rPr>
      </w:pPr>
      <w:r>
        <w:rPr>
          <w:rFonts w:hint="eastAsia" w:ascii="宋体" w:hAnsi="宋体" w:cs="宋体"/>
          <w:sz w:val="28"/>
          <w:szCs w:val="28"/>
        </w:rPr>
        <w:t>从项目实施情况来看，基本完成目标，各项指标均能达标。基层组织党员对基层组织活动满意度较高，并能积极参与其中。</w:t>
      </w:r>
    </w:p>
    <w:p w14:paraId="4740C400">
      <w:pPr>
        <w:ind w:firstLine="560" w:firstLineChars="200"/>
        <w:rPr>
          <w:rFonts w:ascii="宋体" w:hAnsi="宋体" w:cs="宋体"/>
          <w:sz w:val="28"/>
          <w:szCs w:val="28"/>
        </w:rPr>
      </w:pPr>
      <w:r>
        <w:rPr>
          <w:rFonts w:hint="eastAsia" w:ascii="宋体" w:hAnsi="宋体" w:cs="宋体"/>
          <w:sz w:val="28"/>
          <w:szCs w:val="28"/>
        </w:rPr>
        <w:t>对基层组织特困党员较大的帮扶力度切实解决了特困党员的生存困难，在特困党员中收获了良好的口碑。</w:t>
      </w:r>
    </w:p>
    <w:p w14:paraId="45A2347D">
      <w:pPr>
        <w:spacing w:line="360" w:lineRule="auto"/>
        <w:ind w:firstLine="560" w:firstLineChars="200"/>
        <w:rPr>
          <w:rFonts w:hint="eastAsia" w:ascii="宋体" w:hAnsi="宋体"/>
          <w:sz w:val="28"/>
          <w:szCs w:val="28"/>
        </w:rPr>
      </w:pPr>
      <w:r>
        <w:rPr>
          <w:rFonts w:hint="eastAsia" w:ascii="宋体" w:hAnsi="宋体"/>
          <w:sz w:val="28"/>
          <w:szCs w:val="28"/>
        </w:rPr>
        <w:t>（二）项目预算绩效目标</w:t>
      </w:r>
    </w:p>
    <w:p w14:paraId="2B1E363D">
      <w:pPr>
        <w:spacing w:line="360" w:lineRule="auto"/>
        <w:ind w:firstLine="560" w:firstLineChars="200"/>
        <w:rPr>
          <w:rFonts w:hint="eastAsia" w:ascii="宋体" w:hAnsi="宋体"/>
          <w:sz w:val="28"/>
          <w:szCs w:val="28"/>
        </w:rPr>
      </w:pPr>
      <w:r>
        <w:rPr>
          <w:rFonts w:hint="eastAsia" w:ascii="宋体" w:hAnsi="宋体"/>
          <w:sz w:val="28"/>
          <w:szCs w:val="28"/>
        </w:rPr>
        <w:t>项目预算绩效总目标</w:t>
      </w:r>
    </w:p>
    <w:p w14:paraId="5E6C35D6">
      <w:pPr>
        <w:spacing w:line="360" w:lineRule="auto"/>
        <w:ind w:firstLine="560" w:firstLineChars="200"/>
        <w:rPr>
          <w:rFonts w:hint="eastAsia" w:ascii="宋体" w:hAnsi="宋体"/>
          <w:sz w:val="28"/>
          <w:szCs w:val="28"/>
        </w:rPr>
      </w:pPr>
      <w:r>
        <w:rPr>
          <w:rFonts w:hint="eastAsia" w:ascii="宋体" w:hAnsi="宋体"/>
          <w:sz w:val="28"/>
          <w:szCs w:val="28"/>
        </w:rPr>
        <w:t>通过基层组织项目使得资金使用率达到100.00%，完成基层组织目标工作，及时有效的开展基层各项工作，提升基层服务，确认社会稳定，建立良好的社会环境，基层组织党员及群众满意度95.00%。</w:t>
      </w:r>
    </w:p>
    <w:p w14:paraId="0CA91D4B">
      <w:pPr>
        <w:spacing w:line="360" w:lineRule="auto"/>
        <w:ind w:firstLine="560" w:firstLineChars="200"/>
        <w:rPr>
          <w:rFonts w:hint="eastAsia" w:ascii="宋体" w:hAnsi="宋体"/>
          <w:sz w:val="28"/>
          <w:szCs w:val="28"/>
        </w:rPr>
      </w:pPr>
      <w:r>
        <w:rPr>
          <w:rFonts w:hint="eastAsia" w:ascii="宋体" w:hAnsi="宋体"/>
          <w:sz w:val="28"/>
          <w:szCs w:val="28"/>
        </w:rPr>
        <w:t>年度项目预算绩效目标</w:t>
      </w:r>
    </w:p>
    <w:p w14:paraId="70E67CB3">
      <w:pPr>
        <w:spacing w:line="360" w:lineRule="auto"/>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．产出目标</w:t>
      </w:r>
    </w:p>
    <w:p w14:paraId="0302A0BA">
      <w:pPr>
        <w:spacing w:line="360" w:lineRule="auto"/>
        <w:ind w:firstLine="560" w:firstLineChars="200"/>
        <w:rPr>
          <w:rFonts w:ascii="宋体" w:hAnsi="宋体"/>
          <w:sz w:val="28"/>
          <w:szCs w:val="28"/>
        </w:rPr>
      </w:pPr>
      <w:r>
        <w:rPr>
          <w:rFonts w:hint="eastAsia" w:ascii="宋体" w:hAnsi="宋体"/>
          <w:sz w:val="28"/>
          <w:szCs w:val="28"/>
        </w:rPr>
        <w:t>（1）数量指标：</w:t>
      </w:r>
    </w:p>
    <w:p w14:paraId="3B126E8B">
      <w:pPr>
        <w:spacing w:line="360" w:lineRule="auto"/>
        <w:ind w:firstLine="560" w:firstLineChars="200"/>
        <w:rPr>
          <w:rFonts w:hint="eastAsia" w:ascii="宋体" w:hAnsi="宋体"/>
          <w:sz w:val="28"/>
          <w:szCs w:val="28"/>
        </w:rPr>
      </w:pPr>
      <w:r>
        <w:rPr>
          <w:rFonts w:hint="eastAsia" w:ascii="宋体" w:hAnsi="宋体"/>
          <w:sz w:val="28"/>
          <w:szCs w:val="28"/>
        </w:rPr>
        <w:t>1）数量指标1：资金占用率，指标值100.00%。</w:t>
      </w:r>
    </w:p>
    <w:p w14:paraId="5C55B8F4">
      <w:pPr>
        <w:spacing w:line="360" w:lineRule="auto"/>
        <w:ind w:firstLine="560" w:firstLineChars="200"/>
        <w:rPr>
          <w:rFonts w:hint="eastAsia" w:ascii="宋体" w:hAnsi="宋体"/>
          <w:sz w:val="28"/>
          <w:szCs w:val="28"/>
        </w:rPr>
      </w:pPr>
      <w:r>
        <w:rPr>
          <w:rFonts w:hint="eastAsia" w:ascii="宋体" w:hAnsi="宋体"/>
          <w:sz w:val="28"/>
          <w:szCs w:val="28"/>
        </w:rPr>
        <w:t>2）数量指标2：基层组织活动（包括村级党群活动），指标值：</w:t>
      </w:r>
      <w:r>
        <w:rPr>
          <w:rFonts w:ascii="宋体" w:hAnsi="宋体"/>
          <w:sz w:val="28"/>
          <w:szCs w:val="28"/>
        </w:rPr>
        <w:t>18</w:t>
      </w:r>
      <w:r>
        <w:rPr>
          <w:rFonts w:hint="eastAsia" w:ascii="宋体" w:hAnsi="宋体"/>
          <w:sz w:val="28"/>
          <w:szCs w:val="28"/>
        </w:rPr>
        <w:t>次。</w:t>
      </w:r>
    </w:p>
    <w:p w14:paraId="4F3590C4">
      <w:pPr>
        <w:spacing w:line="360" w:lineRule="auto"/>
        <w:ind w:firstLine="560" w:firstLineChars="200"/>
        <w:rPr>
          <w:rFonts w:hint="eastAsia" w:ascii="宋体" w:hAnsi="宋体"/>
          <w:sz w:val="28"/>
          <w:szCs w:val="28"/>
        </w:rPr>
      </w:pPr>
      <w:r>
        <w:rPr>
          <w:rFonts w:hint="eastAsia" w:ascii="宋体" w:hAnsi="宋体"/>
          <w:sz w:val="28"/>
          <w:szCs w:val="28"/>
        </w:rPr>
        <w:t>3）数量指标3：基层团组织活动，指标指：建设6个青少年空间。</w:t>
      </w:r>
    </w:p>
    <w:p w14:paraId="36447FC3">
      <w:pPr>
        <w:spacing w:line="360" w:lineRule="auto"/>
        <w:ind w:firstLine="560" w:firstLineChars="200"/>
        <w:rPr>
          <w:rFonts w:ascii="宋体" w:hAnsi="宋体"/>
          <w:sz w:val="28"/>
          <w:szCs w:val="28"/>
        </w:rPr>
      </w:pPr>
      <w:r>
        <w:rPr>
          <w:rFonts w:hint="eastAsia" w:ascii="宋体" w:hAnsi="宋体"/>
          <w:sz w:val="28"/>
          <w:szCs w:val="28"/>
        </w:rPr>
        <w:t>4）数量指标4：人大代表年度座谈总结会，指标值：人大代表年度座谈总结会1次。</w:t>
      </w:r>
    </w:p>
    <w:p w14:paraId="7881792F">
      <w:pPr>
        <w:spacing w:line="360" w:lineRule="auto"/>
        <w:ind w:firstLine="560" w:firstLineChars="200"/>
        <w:rPr>
          <w:rFonts w:ascii="宋体" w:hAnsi="宋体"/>
          <w:sz w:val="28"/>
          <w:szCs w:val="28"/>
        </w:rPr>
      </w:pPr>
      <w:r>
        <w:rPr>
          <w:rFonts w:hint="eastAsia" w:ascii="宋体" w:hAnsi="宋体"/>
          <w:sz w:val="28"/>
          <w:szCs w:val="28"/>
        </w:rPr>
        <w:t>（2）质量指标：</w:t>
      </w:r>
    </w:p>
    <w:p w14:paraId="52C6F6B5">
      <w:pPr>
        <w:spacing w:line="360" w:lineRule="auto"/>
        <w:ind w:firstLine="560" w:firstLineChars="200"/>
        <w:rPr>
          <w:rFonts w:hint="eastAsia" w:ascii="宋体" w:hAnsi="宋体"/>
          <w:sz w:val="28"/>
          <w:szCs w:val="28"/>
        </w:rPr>
      </w:pPr>
      <w:r>
        <w:rPr>
          <w:rFonts w:hint="eastAsia" w:ascii="宋体" w:hAnsi="宋体"/>
          <w:sz w:val="28"/>
          <w:szCs w:val="28"/>
        </w:rPr>
        <w:t>指标内容：基层组织活动覆盖率，指标值：</w:t>
      </w:r>
      <w:r>
        <w:rPr>
          <w:rFonts w:ascii="宋体" w:hAnsi="宋体"/>
          <w:sz w:val="28"/>
          <w:szCs w:val="28"/>
        </w:rPr>
        <w:t>100</w:t>
      </w:r>
      <w:r>
        <w:rPr>
          <w:rFonts w:hint="eastAsia" w:ascii="宋体" w:hAnsi="宋体"/>
          <w:sz w:val="28"/>
          <w:szCs w:val="28"/>
        </w:rPr>
        <w:t>.00</w:t>
      </w:r>
      <w:r>
        <w:rPr>
          <w:rFonts w:ascii="宋体" w:hAnsi="宋体"/>
          <w:sz w:val="28"/>
          <w:szCs w:val="28"/>
        </w:rPr>
        <w:t>%</w:t>
      </w:r>
      <w:r>
        <w:rPr>
          <w:rFonts w:hint="eastAsia" w:ascii="宋体" w:hAnsi="宋体"/>
          <w:sz w:val="28"/>
          <w:szCs w:val="28"/>
        </w:rPr>
        <w:t>。</w:t>
      </w:r>
    </w:p>
    <w:p w14:paraId="656385F2">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时效指标：</w:t>
      </w:r>
    </w:p>
    <w:p w14:paraId="614BD82A">
      <w:pPr>
        <w:spacing w:line="360" w:lineRule="auto"/>
        <w:ind w:firstLine="560" w:firstLineChars="200"/>
        <w:rPr>
          <w:rFonts w:ascii="宋体" w:hAnsi="宋体"/>
          <w:sz w:val="28"/>
          <w:szCs w:val="28"/>
        </w:rPr>
      </w:pPr>
      <w:r>
        <w:rPr>
          <w:rFonts w:hint="eastAsia" w:ascii="宋体" w:hAnsi="宋体"/>
          <w:sz w:val="28"/>
          <w:szCs w:val="28"/>
        </w:rPr>
        <w:t>指标内容：完成及时率，指标值：</w:t>
      </w:r>
      <w:r>
        <w:rPr>
          <w:rFonts w:ascii="宋体" w:hAnsi="宋体"/>
          <w:sz w:val="28"/>
          <w:szCs w:val="28"/>
        </w:rPr>
        <w:t>100</w:t>
      </w:r>
      <w:r>
        <w:rPr>
          <w:rFonts w:hint="eastAsia" w:ascii="宋体" w:hAnsi="宋体"/>
          <w:sz w:val="28"/>
          <w:szCs w:val="28"/>
        </w:rPr>
        <w:t>.00</w:t>
      </w:r>
      <w:r>
        <w:rPr>
          <w:rFonts w:ascii="宋体" w:hAnsi="宋体"/>
          <w:sz w:val="28"/>
          <w:szCs w:val="28"/>
        </w:rPr>
        <w:t>%</w:t>
      </w:r>
      <w:r>
        <w:rPr>
          <w:rFonts w:hint="eastAsia" w:ascii="宋体" w:hAnsi="宋体"/>
          <w:sz w:val="28"/>
          <w:szCs w:val="28"/>
        </w:rPr>
        <w:t>，按组织活动完成及时率</w:t>
      </w:r>
      <w:r>
        <w:rPr>
          <w:rFonts w:ascii="宋体" w:hAnsi="宋体"/>
          <w:sz w:val="28"/>
          <w:szCs w:val="28"/>
        </w:rPr>
        <w:t>100</w:t>
      </w:r>
      <w:r>
        <w:rPr>
          <w:rFonts w:hint="eastAsia" w:ascii="宋体" w:hAnsi="宋体"/>
          <w:sz w:val="28"/>
          <w:szCs w:val="28"/>
        </w:rPr>
        <w:t>.00</w:t>
      </w:r>
      <w:r>
        <w:rPr>
          <w:rFonts w:ascii="宋体" w:hAnsi="宋体"/>
          <w:sz w:val="28"/>
          <w:szCs w:val="28"/>
        </w:rPr>
        <w:t>%</w:t>
      </w:r>
      <w:r>
        <w:rPr>
          <w:rFonts w:hint="eastAsia" w:ascii="宋体" w:hAnsi="宋体"/>
          <w:sz w:val="28"/>
          <w:szCs w:val="28"/>
        </w:rPr>
        <w:t>进行考核。</w:t>
      </w:r>
    </w:p>
    <w:p w14:paraId="654D1A96">
      <w:pPr>
        <w:spacing w:line="360" w:lineRule="auto"/>
        <w:ind w:firstLine="560" w:firstLineChars="200"/>
        <w:rPr>
          <w:rFonts w:ascii="宋体" w:hAnsi="宋体"/>
          <w:sz w:val="28"/>
          <w:szCs w:val="28"/>
        </w:rPr>
      </w:pPr>
      <w:r>
        <w:rPr>
          <w:rFonts w:hint="eastAsia" w:ascii="宋体" w:hAnsi="宋体"/>
          <w:sz w:val="28"/>
          <w:szCs w:val="28"/>
        </w:rPr>
        <w:t>2．效果目标</w:t>
      </w:r>
    </w:p>
    <w:p w14:paraId="0981071C">
      <w:pPr>
        <w:spacing w:line="360" w:lineRule="auto"/>
        <w:ind w:firstLine="560" w:firstLineChars="200"/>
        <w:rPr>
          <w:rFonts w:ascii="宋体" w:hAnsi="宋体"/>
          <w:sz w:val="28"/>
          <w:szCs w:val="28"/>
        </w:rPr>
      </w:pPr>
      <w:r>
        <w:rPr>
          <w:rFonts w:hint="eastAsia" w:ascii="宋体" w:hAnsi="宋体"/>
          <w:sz w:val="28"/>
          <w:szCs w:val="28"/>
        </w:rPr>
        <w:t>（1）经济效益指标：无直接经济效益。</w:t>
      </w:r>
    </w:p>
    <w:p w14:paraId="5789441D">
      <w:pPr>
        <w:spacing w:line="360" w:lineRule="auto"/>
        <w:ind w:firstLine="560" w:firstLineChars="200"/>
        <w:rPr>
          <w:rFonts w:ascii="宋体" w:hAnsi="宋体"/>
          <w:sz w:val="28"/>
          <w:szCs w:val="28"/>
        </w:rPr>
      </w:pPr>
      <w:r>
        <w:rPr>
          <w:rFonts w:hint="eastAsia" w:ascii="宋体" w:hAnsi="宋体"/>
          <w:sz w:val="28"/>
          <w:szCs w:val="28"/>
        </w:rPr>
        <w:t>（2）社会效益指标：基层服务质量提高。</w:t>
      </w:r>
    </w:p>
    <w:p w14:paraId="67BA958C">
      <w:pPr>
        <w:spacing w:line="360" w:lineRule="auto"/>
        <w:ind w:firstLine="560" w:firstLineChars="200"/>
        <w:rPr>
          <w:rFonts w:ascii="宋体" w:hAnsi="宋体"/>
          <w:sz w:val="28"/>
          <w:szCs w:val="28"/>
        </w:rPr>
      </w:pPr>
      <w:r>
        <w:rPr>
          <w:rFonts w:hint="eastAsia" w:ascii="宋体" w:hAnsi="宋体"/>
          <w:sz w:val="28"/>
          <w:szCs w:val="28"/>
        </w:rPr>
        <w:t>（3）环境效益指标：提升基层服务效率，创造和谐社会环境。</w:t>
      </w:r>
    </w:p>
    <w:p w14:paraId="7333E9DA">
      <w:pPr>
        <w:spacing w:line="360" w:lineRule="auto"/>
        <w:ind w:firstLine="560" w:firstLineChars="200"/>
        <w:rPr>
          <w:rFonts w:ascii="宋体" w:hAnsi="宋体"/>
          <w:sz w:val="28"/>
          <w:szCs w:val="28"/>
        </w:rPr>
      </w:pPr>
      <w:r>
        <w:rPr>
          <w:rFonts w:hint="eastAsia" w:ascii="宋体" w:hAnsi="宋体"/>
          <w:sz w:val="28"/>
          <w:szCs w:val="28"/>
        </w:rPr>
        <w:t>（4）可持续影响指标</w:t>
      </w:r>
      <w:r>
        <w:rPr>
          <w:rFonts w:ascii="宋体" w:hAnsi="宋体"/>
          <w:sz w:val="28"/>
          <w:szCs w:val="28"/>
        </w:rPr>
        <w:t>:</w:t>
      </w:r>
      <w:r>
        <w:rPr>
          <w:rFonts w:hint="eastAsia" w:ascii="宋体" w:hAnsi="宋体"/>
          <w:sz w:val="28"/>
          <w:szCs w:val="28"/>
        </w:rPr>
        <w:t>确保社会稳定，建立良好的建设环境。</w:t>
      </w:r>
    </w:p>
    <w:p w14:paraId="35A3EF04">
      <w:pPr>
        <w:spacing w:line="360" w:lineRule="auto"/>
        <w:ind w:firstLine="560" w:firstLineChars="200"/>
        <w:rPr>
          <w:rFonts w:ascii="宋体" w:hAnsi="宋体"/>
          <w:sz w:val="28"/>
          <w:szCs w:val="28"/>
        </w:rPr>
      </w:pPr>
      <w:r>
        <w:rPr>
          <w:rFonts w:hint="eastAsia" w:ascii="宋体" w:hAnsi="宋体"/>
          <w:sz w:val="28"/>
          <w:szCs w:val="28"/>
        </w:rPr>
        <w:t>（5）社会公众或服务对象满意度指标：基层党员及群众满意度</w:t>
      </w:r>
      <w:r>
        <w:rPr>
          <w:rFonts w:ascii="宋体" w:hAnsi="宋体"/>
          <w:sz w:val="28"/>
          <w:szCs w:val="28"/>
        </w:rPr>
        <w:t>95</w:t>
      </w:r>
      <w:r>
        <w:rPr>
          <w:rFonts w:hint="eastAsia" w:ascii="宋体" w:hAnsi="宋体"/>
          <w:sz w:val="28"/>
          <w:szCs w:val="28"/>
        </w:rPr>
        <w:t>.00</w:t>
      </w:r>
      <w:r>
        <w:rPr>
          <w:rFonts w:ascii="宋体" w:hAnsi="宋体"/>
          <w:sz w:val="28"/>
          <w:szCs w:val="28"/>
        </w:rPr>
        <w:t>%</w:t>
      </w:r>
      <w:r>
        <w:rPr>
          <w:rFonts w:hint="eastAsia" w:ascii="宋体" w:hAnsi="宋体"/>
          <w:sz w:val="28"/>
          <w:szCs w:val="28"/>
        </w:rPr>
        <w:t>。</w:t>
      </w:r>
    </w:p>
    <w:p w14:paraId="2DCF256A">
      <w:pPr>
        <w:spacing w:line="360" w:lineRule="auto"/>
        <w:ind w:firstLine="560" w:firstLineChars="200"/>
        <w:rPr>
          <w:rFonts w:hint="eastAsia" w:ascii="宋体" w:hAnsi="宋体"/>
          <w:sz w:val="28"/>
          <w:szCs w:val="28"/>
        </w:rPr>
      </w:pPr>
    </w:p>
    <w:p w14:paraId="75B461AC">
      <w:pPr>
        <w:spacing w:line="360" w:lineRule="auto"/>
        <w:ind w:firstLine="562" w:firstLineChars="200"/>
        <w:rPr>
          <w:rFonts w:hint="eastAsia" w:ascii="宋体" w:hAnsi="宋体"/>
          <w:b/>
          <w:sz w:val="28"/>
          <w:szCs w:val="28"/>
        </w:rPr>
      </w:pPr>
      <w:r>
        <w:rPr>
          <w:rFonts w:hint="eastAsia" w:ascii="宋体" w:hAnsi="宋体"/>
          <w:b/>
          <w:sz w:val="28"/>
          <w:szCs w:val="28"/>
        </w:rPr>
        <w:t>二、项目绩效分析</w:t>
      </w:r>
    </w:p>
    <w:p w14:paraId="1A1A1681">
      <w:pPr>
        <w:spacing w:line="360" w:lineRule="auto"/>
        <w:ind w:firstLine="560" w:firstLineChars="200"/>
        <w:rPr>
          <w:rFonts w:hint="eastAsia" w:ascii="宋体" w:hAnsi="宋体"/>
          <w:sz w:val="28"/>
          <w:szCs w:val="28"/>
        </w:rPr>
      </w:pPr>
      <w:r>
        <w:rPr>
          <w:rFonts w:hint="eastAsia" w:ascii="宋体" w:hAnsi="宋体"/>
          <w:sz w:val="28"/>
          <w:szCs w:val="28"/>
        </w:rPr>
        <w:t>（一）项目管理情况</w:t>
      </w:r>
    </w:p>
    <w:p w14:paraId="1742DAB6">
      <w:pPr>
        <w:spacing w:line="360" w:lineRule="auto"/>
        <w:ind w:firstLine="560" w:firstLineChars="200"/>
        <w:rPr>
          <w:rFonts w:ascii="宋体" w:hAnsi="宋体"/>
          <w:sz w:val="28"/>
          <w:szCs w:val="28"/>
        </w:rPr>
      </w:pPr>
      <w:r>
        <w:rPr>
          <w:rFonts w:hint="eastAsia" w:ascii="宋体" w:hAnsi="宋体"/>
          <w:sz w:val="28"/>
          <w:szCs w:val="28"/>
        </w:rPr>
        <w:t>l．业务管理情况</w:t>
      </w:r>
    </w:p>
    <w:p w14:paraId="5C431A05">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（1）项目基础资料齐备</w:t>
      </w:r>
    </w:p>
    <w:p w14:paraId="6889C06D">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项目各阶段、各环节资料均保存完好，包括预算计划资料、经费分配资料、资金划拨资料等，均妥善整理归档。</w:t>
      </w:r>
    </w:p>
    <w:p w14:paraId="0EE75F0B">
      <w:pPr>
        <w:widowControl/>
        <w:numPr>
          <w:ilvl w:val="0"/>
          <w:numId w:val="10"/>
        </w:numPr>
        <w:spacing w:line="600" w:lineRule="exact"/>
        <w:ind w:firstLine="560" w:firstLineChars="200"/>
        <w:jc w:val="left"/>
        <w:rPr>
          <w:rFonts w:ascii="宋体" w:hAnsi="宋体" w:cs="宋体"/>
          <w:sz w:val="28"/>
          <w:szCs w:val="28"/>
        </w:rPr>
      </w:pPr>
      <w:r>
        <w:rPr>
          <w:rFonts w:hint="eastAsia" w:ascii="宋体" w:hAnsi="宋体" w:cs="宋体"/>
          <w:sz w:val="28"/>
          <w:szCs w:val="28"/>
        </w:rPr>
        <w:t>项目质量控制较为严格</w:t>
      </w:r>
    </w:p>
    <w:p w14:paraId="0C4144AA">
      <w:pPr>
        <w:pStyle w:val="10"/>
        <w:spacing w:line="600" w:lineRule="exact"/>
        <w:ind w:firstLine="560"/>
        <w:rPr>
          <w:rFonts w:ascii="宋体" w:hAnsi="宋体" w:cs="宋体"/>
          <w:sz w:val="28"/>
          <w:szCs w:val="28"/>
        </w:rPr>
      </w:pPr>
      <w:r>
        <w:rPr>
          <w:rFonts w:hint="eastAsia" w:ascii="宋体" w:hAnsi="宋体" w:cs="宋体"/>
          <w:sz w:val="28"/>
          <w:szCs w:val="28"/>
        </w:rPr>
        <w:t>项目执行部门建立了良好的工作机制和工作流程并得以有效执行，确保公开、公平、公正，经费支出即保证正常工作需要，又不造成浪费，并形成有效记录和档案，便于追溯可查。</w:t>
      </w:r>
    </w:p>
    <w:p w14:paraId="6B334E12">
      <w:pPr>
        <w:widowControl/>
        <w:numPr>
          <w:ilvl w:val="0"/>
          <w:numId w:val="10"/>
        </w:numPr>
        <w:spacing w:line="600" w:lineRule="exact"/>
        <w:ind w:firstLine="560" w:firstLineChars="200"/>
        <w:jc w:val="left"/>
        <w:rPr>
          <w:rFonts w:ascii="宋体" w:hAnsi="宋体" w:cs="宋体"/>
          <w:sz w:val="28"/>
          <w:szCs w:val="28"/>
        </w:rPr>
      </w:pPr>
      <w:r>
        <w:rPr>
          <w:rFonts w:hint="eastAsia" w:ascii="宋体" w:hAnsi="宋体" w:cs="宋体"/>
          <w:sz w:val="28"/>
          <w:szCs w:val="28"/>
        </w:rPr>
        <w:t>建立项目监督和考核机制</w:t>
      </w:r>
    </w:p>
    <w:p w14:paraId="74BD53B3">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该经费既有效支持了基层组织相关事务的正常开展，又丰富了基层组织党员、团员及社区群众的生活内容，因此街道建立了项目监督机制和项目考核机制，用于支撑项目顺利实施。</w:t>
      </w:r>
    </w:p>
    <w:p w14:paraId="0C93AAB4">
      <w:pPr>
        <w:widowControl/>
        <w:spacing w:line="600" w:lineRule="exact"/>
        <w:ind w:left="560"/>
        <w:jc w:val="left"/>
        <w:rPr>
          <w:rFonts w:hint="eastAsia" w:ascii="宋体" w:hAnsi="宋体" w:cs="宋体"/>
          <w:sz w:val="28"/>
          <w:szCs w:val="28"/>
        </w:rPr>
      </w:pPr>
      <w:r>
        <w:rPr>
          <w:rFonts w:hint="eastAsia" w:ascii="宋体" w:hAnsi="宋体" w:cs="宋体"/>
          <w:sz w:val="28"/>
          <w:szCs w:val="28"/>
        </w:rPr>
        <w:t>（4）项目验收</w:t>
      </w:r>
    </w:p>
    <w:p w14:paraId="6FD48CE7">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项目执行部门组织了专业的</w:t>
      </w:r>
      <w:r>
        <w:rPr>
          <w:rFonts w:ascii="宋体" w:hAnsi="宋体" w:cs="宋体"/>
          <w:sz w:val="28"/>
          <w:szCs w:val="28"/>
        </w:rPr>
        <w:t>验收组</w:t>
      </w:r>
      <w:r>
        <w:rPr>
          <w:rFonts w:hint="eastAsia" w:ascii="宋体" w:hAnsi="宋体" w:cs="宋体"/>
          <w:sz w:val="28"/>
          <w:szCs w:val="28"/>
        </w:rPr>
        <w:t>，</w:t>
      </w:r>
      <w:r>
        <w:rPr>
          <w:rFonts w:ascii="宋体" w:hAnsi="宋体" w:cs="宋体"/>
          <w:sz w:val="28"/>
          <w:szCs w:val="28"/>
        </w:rPr>
        <w:t>通过采取“听、查、看、访”的方法，对201</w:t>
      </w:r>
      <w:r>
        <w:rPr>
          <w:rFonts w:hint="eastAsia" w:ascii="宋体" w:hAnsi="宋体" w:cs="宋体"/>
          <w:sz w:val="28"/>
          <w:szCs w:val="28"/>
        </w:rPr>
        <w:t>7</w:t>
      </w:r>
      <w:r>
        <w:rPr>
          <w:rFonts w:ascii="宋体" w:hAnsi="宋体" w:cs="宋体"/>
          <w:sz w:val="28"/>
          <w:szCs w:val="28"/>
        </w:rPr>
        <w:t>年度</w:t>
      </w:r>
      <w:r>
        <w:rPr>
          <w:rFonts w:hint="eastAsia" w:ascii="宋体" w:hAnsi="宋体" w:cs="宋体"/>
          <w:sz w:val="28"/>
          <w:szCs w:val="28"/>
        </w:rPr>
        <w:t>“基层组织经费”</w:t>
      </w:r>
      <w:r>
        <w:rPr>
          <w:rFonts w:ascii="宋体" w:hAnsi="宋体" w:cs="宋体"/>
          <w:sz w:val="28"/>
          <w:szCs w:val="28"/>
        </w:rPr>
        <w:t>项目进行了检查验收和绩效评价。</w:t>
      </w:r>
      <w:r>
        <w:rPr>
          <w:rFonts w:hint="eastAsia" w:ascii="宋体" w:hAnsi="宋体" w:cs="宋体"/>
          <w:sz w:val="28"/>
          <w:szCs w:val="28"/>
        </w:rPr>
        <w:t>项目</w:t>
      </w:r>
      <w:r>
        <w:rPr>
          <w:rFonts w:ascii="宋体" w:hAnsi="宋体" w:cs="宋体"/>
          <w:sz w:val="28"/>
          <w:szCs w:val="28"/>
        </w:rPr>
        <w:t>验收组一致认为，</w:t>
      </w:r>
      <w:r>
        <w:rPr>
          <w:rFonts w:hint="eastAsia" w:ascii="宋体" w:hAnsi="宋体" w:cs="宋体"/>
          <w:sz w:val="28"/>
          <w:szCs w:val="28"/>
        </w:rPr>
        <w:t>武汉东湖新技术开发区九峰街道办事处</w:t>
      </w:r>
      <w:r>
        <w:rPr>
          <w:rFonts w:ascii="宋体" w:hAnsi="宋体" w:cs="宋体"/>
          <w:sz w:val="28"/>
          <w:szCs w:val="28"/>
        </w:rPr>
        <w:t>在201</w:t>
      </w:r>
      <w:r>
        <w:rPr>
          <w:rFonts w:hint="eastAsia" w:ascii="宋体" w:hAnsi="宋体" w:cs="宋体"/>
          <w:sz w:val="28"/>
          <w:szCs w:val="28"/>
        </w:rPr>
        <w:t>7</w:t>
      </w:r>
      <w:r>
        <w:rPr>
          <w:rFonts w:ascii="宋体" w:hAnsi="宋体" w:cs="宋体"/>
          <w:sz w:val="28"/>
          <w:szCs w:val="28"/>
        </w:rPr>
        <w:t>年度</w:t>
      </w:r>
      <w:r>
        <w:rPr>
          <w:rFonts w:hint="eastAsia" w:ascii="宋体" w:hAnsi="宋体" w:cs="宋体"/>
          <w:sz w:val="28"/>
          <w:szCs w:val="28"/>
        </w:rPr>
        <w:t>基层组织经费项</w:t>
      </w:r>
      <w:r>
        <w:rPr>
          <w:rFonts w:ascii="宋体" w:hAnsi="宋体" w:cs="宋体"/>
          <w:sz w:val="28"/>
          <w:szCs w:val="28"/>
        </w:rPr>
        <w:t>目实施中，严格贯彻国家</w:t>
      </w:r>
      <w:r>
        <w:rPr>
          <w:rFonts w:hint="eastAsia" w:ascii="宋体" w:hAnsi="宋体" w:cs="宋体"/>
          <w:sz w:val="28"/>
          <w:szCs w:val="28"/>
        </w:rPr>
        <w:t>的相关</w:t>
      </w:r>
      <w:r>
        <w:rPr>
          <w:rFonts w:ascii="宋体" w:hAnsi="宋体" w:cs="宋体"/>
          <w:sz w:val="28"/>
          <w:szCs w:val="28"/>
        </w:rPr>
        <w:t>政策、制度，较好的完成了上级下达的各项任务，</w:t>
      </w:r>
      <w:r>
        <w:rPr>
          <w:rFonts w:hint="eastAsia" w:ascii="宋体" w:hAnsi="宋体" w:cs="宋体"/>
          <w:sz w:val="28"/>
          <w:szCs w:val="28"/>
        </w:rPr>
        <w:t>项目</w:t>
      </w:r>
      <w:r>
        <w:rPr>
          <w:rFonts w:ascii="宋体" w:hAnsi="宋体" w:cs="宋体"/>
          <w:sz w:val="28"/>
          <w:szCs w:val="28"/>
        </w:rPr>
        <w:t>建设质量合格；项目管理较为规范，效益比较显著</w:t>
      </w:r>
      <w:r>
        <w:rPr>
          <w:rFonts w:hint="eastAsia" w:ascii="宋体" w:hAnsi="宋体" w:cs="宋体"/>
          <w:sz w:val="28"/>
          <w:szCs w:val="28"/>
        </w:rPr>
        <w:t>。</w:t>
      </w:r>
    </w:p>
    <w:p w14:paraId="5B6810D5">
      <w:pPr>
        <w:spacing w:line="360" w:lineRule="auto"/>
        <w:ind w:firstLine="560" w:firstLineChars="200"/>
        <w:rPr>
          <w:rFonts w:ascii="宋体" w:hAnsi="宋体"/>
          <w:sz w:val="28"/>
          <w:szCs w:val="28"/>
        </w:rPr>
      </w:pPr>
      <w:r>
        <w:rPr>
          <w:rFonts w:hint="eastAsia" w:ascii="宋体" w:hAnsi="宋体"/>
          <w:sz w:val="28"/>
          <w:szCs w:val="28"/>
        </w:rPr>
        <w:t>2．财务管理情况</w:t>
      </w:r>
    </w:p>
    <w:p w14:paraId="1462FE06">
      <w:pPr>
        <w:widowControl/>
        <w:spacing w:line="600" w:lineRule="exact"/>
        <w:ind w:firstLine="420" w:firstLineChars="150"/>
        <w:jc w:val="left"/>
        <w:rPr>
          <w:rFonts w:ascii="宋体" w:hAnsi="宋体"/>
          <w:sz w:val="28"/>
          <w:szCs w:val="28"/>
        </w:rPr>
      </w:pPr>
      <w:r>
        <w:rPr>
          <w:rFonts w:hint="eastAsia" w:ascii="宋体" w:hAnsi="宋体"/>
          <w:sz w:val="28"/>
          <w:szCs w:val="28"/>
        </w:rPr>
        <w:t>（1）项目支出预算安排情况</w:t>
      </w:r>
    </w:p>
    <w:p w14:paraId="7C5323FA">
      <w:pPr>
        <w:spacing w:line="360" w:lineRule="auto"/>
        <w:ind w:firstLine="560" w:firstLineChars="200"/>
        <w:rPr>
          <w:rFonts w:hint="eastAsia" w:ascii="宋体" w:hAnsi="宋体"/>
          <w:bCs/>
          <w:sz w:val="28"/>
          <w:szCs w:val="28"/>
        </w:rPr>
      </w:pPr>
      <w:r>
        <w:rPr>
          <w:rFonts w:hint="eastAsia" w:ascii="宋体" w:hAnsi="宋体"/>
          <w:sz w:val="28"/>
          <w:szCs w:val="28"/>
        </w:rPr>
        <w:t>项目支出预算安排情况为经费106.00万元。其中：党群工作经费21.15万元、</w:t>
      </w:r>
      <w:r>
        <w:rPr>
          <w:rFonts w:hint="eastAsia" w:ascii="宋体" w:hAnsi="宋体"/>
          <w:bCs/>
          <w:sz w:val="28"/>
          <w:szCs w:val="28"/>
        </w:rPr>
        <w:t>纪委专项业务经费4.70万元、工会经费3.30万元、基层团组织活动经费9.50万元、组织人事工作经费5.30万元、基层财政工作经费30.00万元、妇联工作经费3.50万元、人大政协经费5.40万元及党政工作经费23.15万元。</w:t>
      </w:r>
    </w:p>
    <w:p w14:paraId="19817C78">
      <w:pPr>
        <w:pStyle w:val="13"/>
        <w:ind w:firstLine="560"/>
        <w:rPr>
          <w:rFonts w:hint="eastAsia" w:ascii="宋体" w:hAnsi="宋体" w:cs="宋体"/>
          <w:sz w:val="28"/>
          <w:szCs w:val="28"/>
        </w:rPr>
      </w:pPr>
      <w:r>
        <w:rPr>
          <w:rFonts w:hint="eastAsia" w:ascii="宋体" w:hAnsi="宋体" w:cs="宋体"/>
          <w:sz w:val="28"/>
          <w:szCs w:val="28"/>
        </w:rPr>
        <w:t>（2）项目实际资金到位情况</w:t>
      </w:r>
    </w:p>
    <w:p w14:paraId="1A1AAEF6">
      <w:pPr>
        <w:spacing w:line="360" w:lineRule="auto"/>
        <w:ind w:firstLine="560" w:firstLineChars="200"/>
        <w:rPr>
          <w:rFonts w:hint="eastAsia" w:ascii="宋体" w:hAnsi="宋体"/>
          <w:bCs/>
          <w:sz w:val="28"/>
          <w:szCs w:val="28"/>
        </w:rPr>
      </w:pPr>
      <w:r>
        <w:rPr>
          <w:rFonts w:hint="eastAsia" w:ascii="宋体" w:hAnsi="宋体" w:cs="宋体"/>
          <w:sz w:val="28"/>
          <w:szCs w:val="28"/>
        </w:rPr>
        <w:t>项目实际资金到位76.88万元。其中：</w:t>
      </w:r>
      <w:r>
        <w:rPr>
          <w:rFonts w:hint="eastAsia" w:ascii="宋体" w:hAnsi="宋体"/>
          <w:sz w:val="28"/>
          <w:szCs w:val="28"/>
        </w:rPr>
        <w:t>党群工作经费21.15万元、</w:t>
      </w:r>
      <w:r>
        <w:rPr>
          <w:rFonts w:hint="eastAsia" w:ascii="宋体" w:hAnsi="宋体"/>
          <w:bCs/>
          <w:sz w:val="28"/>
          <w:szCs w:val="28"/>
        </w:rPr>
        <w:t>纪委专项业务经费4.70万元、工会经费1.87万元、基层团组织活动经费8.15万元、组织人事工作经费5.02万元、基层财政工作经费8.04万元、妇联工作经费1.88万元、人大政协经费2.92万元及党政工作经费23.15万元。</w:t>
      </w:r>
    </w:p>
    <w:p w14:paraId="7273437D">
      <w:pPr>
        <w:pStyle w:val="13"/>
        <w:ind w:firstLine="560"/>
        <w:rPr>
          <w:rFonts w:hint="eastAsia" w:ascii="宋体" w:hAnsi="宋体" w:cs="宋体"/>
          <w:sz w:val="28"/>
          <w:szCs w:val="28"/>
        </w:rPr>
      </w:pPr>
      <w:r>
        <w:rPr>
          <w:rFonts w:hint="eastAsia" w:ascii="宋体" w:hAnsi="宋体" w:cs="宋体"/>
          <w:sz w:val="28"/>
          <w:szCs w:val="28"/>
        </w:rPr>
        <w:t>（3）项目实际支出情况。</w:t>
      </w:r>
    </w:p>
    <w:p w14:paraId="20190892">
      <w:pPr>
        <w:spacing w:line="360" w:lineRule="auto"/>
        <w:ind w:firstLine="560" w:firstLineChars="200"/>
        <w:rPr>
          <w:rFonts w:hint="eastAsia" w:ascii="宋体" w:hAnsi="宋体"/>
          <w:bCs/>
          <w:sz w:val="28"/>
          <w:szCs w:val="28"/>
        </w:rPr>
      </w:pPr>
      <w:r>
        <w:rPr>
          <w:rFonts w:hint="eastAsia" w:ascii="宋体" w:hAnsi="宋体" w:cs="宋体"/>
          <w:sz w:val="28"/>
          <w:szCs w:val="28"/>
        </w:rPr>
        <w:t>项目实际支出76.88万元。其中：</w:t>
      </w:r>
      <w:r>
        <w:rPr>
          <w:rFonts w:hint="eastAsia" w:ascii="宋体" w:hAnsi="宋体"/>
          <w:sz w:val="28"/>
          <w:szCs w:val="28"/>
        </w:rPr>
        <w:t>党群工作经费21.15万元、</w:t>
      </w:r>
      <w:r>
        <w:rPr>
          <w:rFonts w:hint="eastAsia" w:ascii="宋体" w:hAnsi="宋体"/>
          <w:bCs/>
          <w:sz w:val="28"/>
          <w:szCs w:val="28"/>
        </w:rPr>
        <w:t>纪委专项业务经费4.70万元、工会经费1.87万元、基层团组织活动经费8.15万元、组织人事工作经费5.02万元、基层财政工作经费8.04万元、妇联工作经费1.88万元、人大政协经费2.92万元及党政工作经费23.15万元。</w:t>
      </w:r>
    </w:p>
    <w:p w14:paraId="005B2BE8">
      <w:pPr>
        <w:pStyle w:val="13"/>
        <w:ind w:firstLine="560"/>
        <w:rPr>
          <w:rFonts w:hint="eastAsia" w:ascii="宋体" w:hAnsi="宋体" w:cs="宋体"/>
          <w:sz w:val="28"/>
          <w:szCs w:val="28"/>
        </w:rPr>
      </w:pPr>
      <w:r>
        <w:rPr>
          <w:rFonts w:hint="eastAsia" w:ascii="宋体" w:hAnsi="宋体" w:cs="宋体"/>
          <w:sz w:val="28"/>
          <w:szCs w:val="28"/>
        </w:rPr>
        <w:t>（4）项目实际与预算的差异</w:t>
      </w:r>
    </w:p>
    <w:p w14:paraId="35FA3410">
      <w:pPr>
        <w:pStyle w:val="13"/>
        <w:ind w:firstLine="0" w:firstLineChars="0"/>
        <w:jc w:val="center"/>
        <w:rPr>
          <w:rFonts w:hint="eastAsia" w:ascii="宋体" w:hAnsi="宋体" w:cs="宋体"/>
          <w:b/>
          <w:sz w:val="28"/>
          <w:szCs w:val="28"/>
        </w:rPr>
      </w:pPr>
      <w:r>
        <w:rPr>
          <w:rFonts w:hint="eastAsia" w:ascii="宋体" w:hAnsi="宋体" w:cs="宋体"/>
          <w:b/>
          <w:sz w:val="28"/>
          <w:szCs w:val="28"/>
        </w:rPr>
        <w:t>项目实际与预算的差异明细表</w:t>
      </w:r>
    </w:p>
    <w:tbl>
      <w:tblPr>
        <w:tblStyle w:val="5"/>
        <w:tblW w:w="8534" w:type="dxa"/>
        <w:tblInd w:w="93" w:type="dxa"/>
        <w:tblLayout w:type="fixed"/>
        <w:tblCellMar>
          <w:top w:w="0" w:type="dxa"/>
          <w:left w:w="108" w:type="dxa"/>
          <w:bottom w:w="0" w:type="dxa"/>
          <w:right w:w="108" w:type="dxa"/>
        </w:tblCellMar>
      </w:tblPr>
      <w:tblGrid>
        <w:gridCol w:w="2641"/>
        <w:gridCol w:w="2028"/>
        <w:gridCol w:w="2023"/>
        <w:gridCol w:w="1842"/>
      </w:tblGrid>
      <w:tr w14:paraId="5A25E846">
        <w:tblPrEx>
          <w:tblCellMar>
            <w:top w:w="0" w:type="dxa"/>
            <w:left w:w="108" w:type="dxa"/>
            <w:bottom w:w="0" w:type="dxa"/>
            <w:right w:w="108" w:type="dxa"/>
          </w:tblCellMar>
        </w:tblPrEx>
        <w:trPr>
          <w:trHeight w:val="360" w:hRule="atLeast"/>
        </w:trPr>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4C2AFC7F">
            <w:pPr>
              <w:widowControl/>
              <w:ind w:firstLine="708" w:firstLineChars="294"/>
              <w:rPr>
                <w:rFonts w:ascii="宋体" w:hAnsi="宋体" w:cs="宋体"/>
                <w:b/>
                <w:kern w:val="0"/>
                <w:sz w:val="24"/>
                <w:szCs w:val="24"/>
              </w:rPr>
            </w:pPr>
            <w:r>
              <w:rPr>
                <w:rFonts w:hint="eastAsia" w:ascii="宋体" w:hAnsi="宋体" w:cs="宋体"/>
                <w:b/>
                <w:kern w:val="0"/>
                <w:sz w:val="24"/>
                <w:szCs w:val="24"/>
              </w:rPr>
              <w:t>项    目</w:t>
            </w:r>
          </w:p>
        </w:tc>
        <w:tc>
          <w:tcPr>
            <w:tcW w:w="2028" w:type="dxa"/>
            <w:tcBorders>
              <w:top w:val="single" w:color="auto" w:sz="4" w:space="0"/>
              <w:left w:val="nil"/>
              <w:bottom w:val="single" w:color="auto" w:sz="4" w:space="0"/>
              <w:right w:val="single" w:color="auto" w:sz="4" w:space="0"/>
            </w:tcBorders>
            <w:shd w:val="clear" w:color="auto" w:fill="auto"/>
            <w:vAlign w:val="center"/>
          </w:tcPr>
          <w:p w14:paraId="347776F2">
            <w:pPr>
              <w:widowControl/>
              <w:jc w:val="center"/>
              <w:rPr>
                <w:rFonts w:ascii="宋体" w:hAnsi="宋体" w:cs="宋体"/>
                <w:b/>
                <w:kern w:val="0"/>
                <w:sz w:val="24"/>
                <w:szCs w:val="24"/>
              </w:rPr>
            </w:pPr>
            <w:r>
              <w:rPr>
                <w:rFonts w:hint="eastAsia" w:ascii="宋体" w:hAnsi="宋体" w:cs="宋体"/>
                <w:b/>
                <w:kern w:val="0"/>
                <w:sz w:val="24"/>
                <w:szCs w:val="24"/>
              </w:rPr>
              <w:t>项目预算（万元）</w:t>
            </w:r>
          </w:p>
        </w:tc>
        <w:tc>
          <w:tcPr>
            <w:tcW w:w="2023" w:type="dxa"/>
            <w:tcBorders>
              <w:top w:val="single" w:color="auto" w:sz="4" w:space="0"/>
              <w:left w:val="nil"/>
              <w:bottom w:val="single" w:color="auto" w:sz="4" w:space="0"/>
              <w:right w:val="single" w:color="auto" w:sz="4" w:space="0"/>
            </w:tcBorders>
            <w:shd w:val="clear" w:color="auto" w:fill="auto"/>
            <w:vAlign w:val="center"/>
          </w:tcPr>
          <w:p w14:paraId="0FBF100B">
            <w:pPr>
              <w:widowControl/>
              <w:jc w:val="center"/>
              <w:rPr>
                <w:rFonts w:ascii="宋体" w:hAnsi="宋体" w:cs="宋体"/>
                <w:b/>
                <w:kern w:val="0"/>
                <w:sz w:val="24"/>
                <w:szCs w:val="24"/>
              </w:rPr>
            </w:pPr>
            <w:r>
              <w:rPr>
                <w:rFonts w:hint="eastAsia" w:ascii="宋体" w:hAnsi="宋体" w:cs="宋体"/>
                <w:b/>
                <w:kern w:val="0"/>
                <w:sz w:val="24"/>
                <w:szCs w:val="24"/>
              </w:rPr>
              <w:t>项目实际（万元）</w:t>
            </w:r>
          </w:p>
        </w:tc>
        <w:tc>
          <w:tcPr>
            <w:tcW w:w="1842" w:type="dxa"/>
            <w:tcBorders>
              <w:top w:val="single" w:color="auto" w:sz="4" w:space="0"/>
              <w:left w:val="nil"/>
              <w:bottom w:val="single" w:color="auto" w:sz="4" w:space="0"/>
              <w:right w:val="single" w:color="auto" w:sz="4" w:space="0"/>
            </w:tcBorders>
            <w:shd w:val="clear" w:color="auto" w:fill="auto"/>
            <w:vAlign w:val="center"/>
          </w:tcPr>
          <w:p w14:paraId="70412341">
            <w:pPr>
              <w:widowControl/>
              <w:jc w:val="center"/>
              <w:rPr>
                <w:rFonts w:ascii="宋体" w:hAnsi="宋体" w:cs="宋体"/>
                <w:b/>
                <w:kern w:val="0"/>
                <w:sz w:val="24"/>
                <w:szCs w:val="24"/>
              </w:rPr>
            </w:pPr>
            <w:r>
              <w:rPr>
                <w:rFonts w:hint="eastAsia" w:ascii="宋体" w:hAnsi="宋体" w:cs="宋体"/>
                <w:b/>
                <w:kern w:val="0"/>
                <w:sz w:val="24"/>
                <w:szCs w:val="24"/>
              </w:rPr>
              <w:t>差异（万元）</w:t>
            </w:r>
          </w:p>
        </w:tc>
      </w:tr>
      <w:tr w14:paraId="42837F70">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4F638A77">
            <w:pPr>
              <w:widowControl/>
              <w:jc w:val="left"/>
              <w:rPr>
                <w:rFonts w:ascii="宋体" w:hAnsi="宋体" w:cs="宋体"/>
                <w:kern w:val="0"/>
                <w:sz w:val="24"/>
                <w:szCs w:val="24"/>
              </w:rPr>
            </w:pPr>
            <w:r>
              <w:rPr>
                <w:rFonts w:hint="eastAsia" w:ascii="宋体" w:hAnsi="宋体"/>
                <w:sz w:val="24"/>
                <w:szCs w:val="24"/>
              </w:rPr>
              <w:t>党群工作经费</w:t>
            </w:r>
          </w:p>
        </w:tc>
        <w:tc>
          <w:tcPr>
            <w:tcW w:w="2028" w:type="dxa"/>
            <w:tcBorders>
              <w:top w:val="nil"/>
              <w:left w:val="nil"/>
              <w:bottom w:val="single" w:color="auto" w:sz="4" w:space="0"/>
              <w:right w:val="single" w:color="auto" w:sz="4" w:space="0"/>
            </w:tcBorders>
            <w:shd w:val="clear" w:color="auto" w:fill="auto"/>
            <w:vAlign w:val="center"/>
          </w:tcPr>
          <w:p w14:paraId="40CC0A57">
            <w:pPr>
              <w:widowControl/>
              <w:jc w:val="right"/>
              <w:rPr>
                <w:rFonts w:ascii="宋体" w:hAnsi="宋体"/>
                <w:kern w:val="0"/>
                <w:sz w:val="24"/>
                <w:szCs w:val="24"/>
              </w:rPr>
            </w:pPr>
            <w:r>
              <w:rPr>
                <w:rFonts w:ascii="宋体" w:hAnsi="宋体"/>
                <w:kern w:val="0"/>
                <w:sz w:val="24"/>
                <w:szCs w:val="24"/>
              </w:rPr>
              <w:t>21.15</w:t>
            </w:r>
          </w:p>
        </w:tc>
        <w:tc>
          <w:tcPr>
            <w:tcW w:w="2023" w:type="dxa"/>
            <w:tcBorders>
              <w:top w:val="nil"/>
              <w:left w:val="nil"/>
              <w:bottom w:val="single" w:color="auto" w:sz="4" w:space="0"/>
              <w:right w:val="single" w:color="auto" w:sz="4" w:space="0"/>
            </w:tcBorders>
            <w:shd w:val="clear" w:color="auto" w:fill="auto"/>
            <w:vAlign w:val="center"/>
          </w:tcPr>
          <w:p w14:paraId="5D77347F">
            <w:pPr>
              <w:widowControl/>
              <w:jc w:val="right"/>
              <w:rPr>
                <w:rFonts w:ascii="宋体" w:hAnsi="宋体"/>
                <w:kern w:val="0"/>
                <w:sz w:val="24"/>
                <w:szCs w:val="24"/>
              </w:rPr>
            </w:pPr>
            <w:r>
              <w:rPr>
                <w:rFonts w:ascii="宋体" w:hAnsi="宋体"/>
                <w:kern w:val="0"/>
                <w:sz w:val="24"/>
                <w:szCs w:val="24"/>
              </w:rPr>
              <w:t>21.15</w:t>
            </w:r>
          </w:p>
        </w:tc>
        <w:tc>
          <w:tcPr>
            <w:tcW w:w="1842" w:type="dxa"/>
            <w:tcBorders>
              <w:top w:val="nil"/>
              <w:left w:val="nil"/>
              <w:bottom w:val="single" w:color="auto" w:sz="4" w:space="0"/>
              <w:right w:val="single" w:color="auto" w:sz="4" w:space="0"/>
            </w:tcBorders>
            <w:shd w:val="clear" w:color="auto" w:fill="auto"/>
            <w:vAlign w:val="center"/>
          </w:tcPr>
          <w:p w14:paraId="0C43DA87">
            <w:pPr>
              <w:widowControl/>
              <w:jc w:val="right"/>
              <w:rPr>
                <w:rFonts w:ascii="宋体" w:hAnsi="宋体" w:cs="宋体"/>
                <w:kern w:val="0"/>
                <w:sz w:val="24"/>
                <w:szCs w:val="24"/>
              </w:rPr>
            </w:pPr>
            <w:r>
              <w:rPr>
                <w:rFonts w:hint="eastAsia" w:ascii="宋体" w:hAnsi="宋体" w:cs="宋体"/>
                <w:kern w:val="0"/>
                <w:sz w:val="24"/>
                <w:szCs w:val="24"/>
              </w:rPr>
              <w:t>-</w:t>
            </w:r>
          </w:p>
        </w:tc>
      </w:tr>
      <w:tr w14:paraId="6D0863C3">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68F0C046">
            <w:pPr>
              <w:widowControl/>
              <w:jc w:val="left"/>
              <w:rPr>
                <w:rFonts w:ascii="宋体" w:hAnsi="宋体" w:cs="宋体"/>
                <w:kern w:val="0"/>
                <w:sz w:val="24"/>
                <w:szCs w:val="24"/>
              </w:rPr>
            </w:pPr>
            <w:r>
              <w:rPr>
                <w:rFonts w:hint="eastAsia" w:ascii="宋体" w:hAnsi="宋体"/>
                <w:bCs/>
                <w:sz w:val="24"/>
                <w:szCs w:val="24"/>
              </w:rPr>
              <w:t>纪委专项业务经费</w:t>
            </w:r>
          </w:p>
        </w:tc>
        <w:tc>
          <w:tcPr>
            <w:tcW w:w="2028" w:type="dxa"/>
            <w:tcBorders>
              <w:top w:val="nil"/>
              <w:left w:val="nil"/>
              <w:bottom w:val="single" w:color="auto" w:sz="4" w:space="0"/>
              <w:right w:val="single" w:color="auto" w:sz="4" w:space="0"/>
            </w:tcBorders>
            <w:shd w:val="clear" w:color="auto" w:fill="auto"/>
            <w:vAlign w:val="center"/>
          </w:tcPr>
          <w:p w14:paraId="0D27B901">
            <w:pPr>
              <w:widowControl/>
              <w:jc w:val="right"/>
              <w:rPr>
                <w:rFonts w:ascii="宋体" w:hAnsi="宋体"/>
                <w:kern w:val="0"/>
                <w:sz w:val="24"/>
                <w:szCs w:val="24"/>
              </w:rPr>
            </w:pPr>
            <w:r>
              <w:rPr>
                <w:rFonts w:ascii="宋体" w:hAnsi="宋体"/>
                <w:kern w:val="0"/>
                <w:sz w:val="24"/>
                <w:szCs w:val="24"/>
              </w:rPr>
              <w:t>4.70</w:t>
            </w:r>
          </w:p>
        </w:tc>
        <w:tc>
          <w:tcPr>
            <w:tcW w:w="2023" w:type="dxa"/>
            <w:tcBorders>
              <w:top w:val="nil"/>
              <w:left w:val="nil"/>
              <w:bottom w:val="single" w:color="auto" w:sz="4" w:space="0"/>
              <w:right w:val="single" w:color="auto" w:sz="4" w:space="0"/>
            </w:tcBorders>
            <w:shd w:val="clear" w:color="auto" w:fill="auto"/>
            <w:vAlign w:val="center"/>
          </w:tcPr>
          <w:p w14:paraId="68ADDEB6">
            <w:pPr>
              <w:widowControl/>
              <w:jc w:val="right"/>
              <w:rPr>
                <w:rFonts w:ascii="宋体" w:hAnsi="宋体"/>
                <w:kern w:val="0"/>
                <w:sz w:val="24"/>
                <w:szCs w:val="24"/>
              </w:rPr>
            </w:pPr>
            <w:r>
              <w:rPr>
                <w:rFonts w:ascii="宋体" w:hAnsi="宋体"/>
                <w:kern w:val="0"/>
                <w:sz w:val="24"/>
                <w:szCs w:val="24"/>
              </w:rPr>
              <w:t>4.70</w:t>
            </w:r>
          </w:p>
        </w:tc>
        <w:tc>
          <w:tcPr>
            <w:tcW w:w="1842" w:type="dxa"/>
            <w:tcBorders>
              <w:top w:val="nil"/>
              <w:left w:val="nil"/>
              <w:bottom w:val="single" w:color="auto" w:sz="4" w:space="0"/>
              <w:right w:val="single" w:color="auto" w:sz="4" w:space="0"/>
            </w:tcBorders>
            <w:shd w:val="clear" w:color="auto" w:fill="auto"/>
            <w:vAlign w:val="center"/>
          </w:tcPr>
          <w:p w14:paraId="37D1EBAB">
            <w:pPr>
              <w:widowControl/>
              <w:jc w:val="right"/>
              <w:rPr>
                <w:rFonts w:ascii="宋体" w:hAnsi="宋体" w:cs="宋体"/>
                <w:kern w:val="0"/>
                <w:sz w:val="24"/>
                <w:szCs w:val="24"/>
              </w:rPr>
            </w:pPr>
            <w:r>
              <w:rPr>
                <w:rFonts w:hint="eastAsia" w:ascii="宋体" w:hAnsi="宋体" w:cs="宋体"/>
                <w:kern w:val="0"/>
                <w:sz w:val="24"/>
                <w:szCs w:val="24"/>
              </w:rPr>
              <w:t>-</w:t>
            </w:r>
          </w:p>
        </w:tc>
      </w:tr>
      <w:tr w14:paraId="71A71F88">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656EAF43">
            <w:pPr>
              <w:widowControl/>
              <w:jc w:val="left"/>
              <w:rPr>
                <w:rFonts w:ascii="宋体" w:hAnsi="宋体" w:cs="宋体"/>
                <w:kern w:val="0"/>
                <w:sz w:val="24"/>
                <w:szCs w:val="24"/>
              </w:rPr>
            </w:pPr>
            <w:r>
              <w:rPr>
                <w:rFonts w:hint="eastAsia" w:ascii="宋体" w:hAnsi="宋体"/>
                <w:bCs/>
                <w:sz w:val="24"/>
                <w:szCs w:val="24"/>
              </w:rPr>
              <w:t>工会经费</w:t>
            </w:r>
          </w:p>
        </w:tc>
        <w:tc>
          <w:tcPr>
            <w:tcW w:w="2028" w:type="dxa"/>
            <w:tcBorders>
              <w:top w:val="nil"/>
              <w:left w:val="nil"/>
              <w:bottom w:val="single" w:color="auto" w:sz="4" w:space="0"/>
              <w:right w:val="single" w:color="auto" w:sz="4" w:space="0"/>
            </w:tcBorders>
            <w:shd w:val="clear" w:color="auto" w:fill="auto"/>
            <w:vAlign w:val="center"/>
          </w:tcPr>
          <w:p w14:paraId="6C3FCE50">
            <w:pPr>
              <w:widowControl/>
              <w:jc w:val="right"/>
              <w:rPr>
                <w:rFonts w:ascii="宋体" w:hAnsi="宋体"/>
                <w:kern w:val="0"/>
                <w:sz w:val="24"/>
                <w:szCs w:val="24"/>
              </w:rPr>
            </w:pPr>
            <w:r>
              <w:rPr>
                <w:rFonts w:ascii="宋体" w:hAnsi="宋体"/>
                <w:kern w:val="0"/>
                <w:sz w:val="24"/>
                <w:szCs w:val="24"/>
              </w:rPr>
              <w:t>3.30</w:t>
            </w:r>
          </w:p>
        </w:tc>
        <w:tc>
          <w:tcPr>
            <w:tcW w:w="2023" w:type="dxa"/>
            <w:tcBorders>
              <w:top w:val="nil"/>
              <w:left w:val="nil"/>
              <w:bottom w:val="single" w:color="auto" w:sz="4" w:space="0"/>
              <w:right w:val="single" w:color="auto" w:sz="4" w:space="0"/>
            </w:tcBorders>
            <w:shd w:val="clear" w:color="auto" w:fill="auto"/>
            <w:vAlign w:val="center"/>
          </w:tcPr>
          <w:p w14:paraId="161538D1">
            <w:pPr>
              <w:widowControl/>
              <w:jc w:val="right"/>
              <w:rPr>
                <w:rFonts w:ascii="宋体" w:hAnsi="宋体"/>
                <w:kern w:val="0"/>
                <w:sz w:val="24"/>
                <w:szCs w:val="24"/>
              </w:rPr>
            </w:pPr>
            <w:r>
              <w:rPr>
                <w:rFonts w:ascii="宋体" w:hAnsi="宋体"/>
                <w:kern w:val="0"/>
                <w:sz w:val="24"/>
                <w:szCs w:val="24"/>
              </w:rPr>
              <w:t>1.87</w:t>
            </w:r>
          </w:p>
        </w:tc>
        <w:tc>
          <w:tcPr>
            <w:tcW w:w="1842" w:type="dxa"/>
            <w:tcBorders>
              <w:top w:val="nil"/>
              <w:left w:val="nil"/>
              <w:bottom w:val="single" w:color="auto" w:sz="4" w:space="0"/>
              <w:right w:val="single" w:color="auto" w:sz="4" w:space="0"/>
            </w:tcBorders>
            <w:shd w:val="clear" w:color="auto" w:fill="auto"/>
            <w:vAlign w:val="center"/>
          </w:tcPr>
          <w:p w14:paraId="544DDD55">
            <w:pPr>
              <w:widowControl/>
              <w:jc w:val="right"/>
              <w:rPr>
                <w:rFonts w:ascii="宋体" w:hAnsi="宋体" w:cs="宋体"/>
                <w:kern w:val="0"/>
                <w:sz w:val="24"/>
                <w:szCs w:val="24"/>
              </w:rPr>
            </w:pPr>
            <w:r>
              <w:rPr>
                <w:rFonts w:hint="eastAsia" w:ascii="宋体" w:hAnsi="宋体" w:cs="宋体"/>
                <w:kern w:val="0"/>
                <w:sz w:val="24"/>
                <w:szCs w:val="24"/>
              </w:rPr>
              <w:t>-1.43</w:t>
            </w:r>
          </w:p>
        </w:tc>
      </w:tr>
      <w:tr w14:paraId="469D6816">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2C7730FD">
            <w:pPr>
              <w:widowControl/>
              <w:jc w:val="left"/>
              <w:rPr>
                <w:rFonts w:ascii="宋体" w:hAnsi="宋体" w:cs="宋体"/>
                <w:kern w:val="0"/>
                <w:sz w:val="24"/>
                <w:szCs w:val="24"/>
              </w:rPr>
            </w:pPr>
            <w:r>
              <w:rPr>
                <w:rFonts w:hint="eastAsia" w:ascii="宋体" w:hAnsi="宋体"/>
                <w:bCs/>
                <w:sz w:val="24"/>
                <w:szCs w:val="24"/>
              </w:rPr>
              <w:t>基层团组织活动经费</w:t>
            </w:r>
          </w:p>
        </w:tc>
        <w:tc>
          <w:tcPr>
            <w:tcW w:w="2028" w:type="dxa"/>
            <w:tcBorders>
              <w:top w:val="nil"/>
              <w:left w:val="nil"/>
              <w:bottom w:val="single" w:color="auto" w:sz="4" w:space="0"/>
              <w:right w:val="single" w:color="auto" w:sz="4" w:space="0"/>
            </w:tcBorders>
            <w:shd w:val="clear" w:color="auto" w:fill="auto"/>
            <w:vAlign w:val="center"/>
          </w:tcPr>
          <w:p w14:paraId="275349C6">
            <w:pPr>
              <w:widowControl/>
              <w:jc w:val="right"/>
              <w:rPr>
                <w:rFonts w:ascii="宋体" w:hAnsi="宋体"/>
                <w:kern w:val="0"/>
                <w:sz w:val="24"/>
                <w:szCs w:val="24"/>
              </w:rPr>
            </w:pPr>
            <w:r>
              <w:rPr>
                <w:rFonts w:ascii="宋体" w:hAnsi="宋体"/>
                <w:kern w:val="0"/>
                <w:sz w:val="24"/>
                <w:szCs w:val="24"/>
              </w:rPr>
              <w:t>9.50</w:t>
            </w:r>
          </w:p>
        </w:tc>
        <w:tc>
          <w:tcPr>
            <w:tcW w:w="2023" w:type="dxa"/>
            <w:tcBorders>
              <w:top w:val="nil"/>
              <w:left w:val="nil"/>
              <w:bottom w:val="single" w:color="auto" w:sz="4" w:space="0"/>
              <w:right w:val="single" w:color="auto" w:sz="4" w:space="0"/>
            </w:tcBorders>
            <w:shd w:val="clear" w:color="auto" w:fill="auto"/>
            <w:vAlign w:val="center"/>
          </w:tcPr>
          <w:p w14:paraId="6019444E">
            <w:pPr>
              <w:widowControl/>
              <w:jc w:val="right"/>
              <w:rPr>
                <w:rFonts w:ascii="宋体" w:hAnsi="宋体"/>
                <w:kern w:val="0"/>
                <w:sz w:val="24"/>
                <w:szCs w:val="24"/>
              </w:rPr>
            </w:pPr>
            <w:r>
              <w:rPr>
                <w:rFonts w:ascii="宋体" w:hAnsi="宋体"/>
                <w:kern w:val="0"/>
                <w:sz w:val="24"/>
                <w:szCs w:val="24"/>
              </w:rPr>
              <w:t>8.15</w:t>
            </w:r>
          </w:p>
        </w:tc>
        <w:tc>
          <w:tcPr>
            <w:tcW w:w="1842" w:type="dxa"/>
            <w:tcBorders>
              <w:top w:val="nil"/>
              <w:left w:val="nil"/>
              <w:bottom w:val="single" w:color="auto" w:sz="4" w:space="0"/>
              <w:right w:val="single" w:color="auto" w:sz="4" w:space="0"/>
            </w:tcBorders>
            <w:shd w:val="clear" w:color="auto" w:fill="auto"/>
            <w:vAlign w:val="center"/>
          </w:tcPr>
          <w:p w14:paraId="5F641EC8">
            <w:pPr>
              <w:widowControl/>
              <w:jc w:val="right"/>
              <w:rPr>
                <w:rFonts w:ascii="宋体" w:hAnsi="宋体" w:cs="宋体"/>
                <w:kern w:val="0"/>
                <w:sz w:val="24"/>
                <w:szCs w:val="24"/>
              </w:rPr>
            </w:pPr>
            <w:r>
              <w:rPr>
                <w:rFonts w:hint="eastAsia" w:ascii="宋体" w:hAnsi="宋体" w:cs="宋体"/>
                <w:kern w:val="0"/>
                <w:sz w:val="24"/>
                <w:szCs w:val="24"/>
              </w:rPr>
              <w:t>-1.35</w:t>
            </w:r>
          </w:p>
        </w:tc>
      </w:tr>
      <w:tr w14:paraId="50FB58A1">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32F1FB34">
            <w:pPr>
              <w:widowControl/>
              <w:jc w:val="left"/>
              <w:rPr>
                <w:rFonts w:ascii="宋体" w:hAnsi="宋体" w:cs="宋体"/>
                <w:kern w:val="0"/>
                <w:sz w:val="24"/>
                <w:szCs w:val="24"/>
              </w:rPr>
            </w:pPr>
            <w:r>
              <w:rPr>
                <w:rFonts w:hint="eastAsia" w:ascii="宋体" w:hAnsi="宋体"/>
                <w:bCs/>
                <w:sz w:val="24"/>
                <w:szCs w:val="24"/>
              </w:rPr>
              <w:t>组织人事工作经费</w:t>
            </w:r>
          </w:p>
        </w:tc>
        <w:tc>
          <w:tcPr>
            <w:tcW w:w="2028" w:type="dxa"/>
            <w:tcBorders>
              <w:top w:val="nil"/>
              <w:left w:val="nil"/>
              <w:bottom w:val="single" w:color="auto" w:sz="4" w:space="0"/>
              <w:right w:val="single" w:color="auto" w:sz="4" w:space="0"/>
            </w:tcBorders>
            <w:shd w:val="clear" w:color="auto" w:fill="auto"/>
            <w:vAlign w:val="center"/>
          </w:tcPr>
          <w:p w14:paraId="6C8F7D0D">
            <w:pPr>
              <w:widowControl/>
              <w:jc w:val="right"/>
              <w:rPr>
                <w:rFonts w:ascii="宋体" w:hAnsi="宋体"/>
                <w:kern w:val="0"/>
                <w:sz w:val="24"/>
                <w:szCs w:val="24"/>
              </w:rPr>
            </w:pPr>
            <w:r>
              <w:rPr>
                <w:rFonts w:ascii="宋体" w:hAnsi="宋体"/>
                <w:kern w:val="0"/>
                <w:sz w:val="24"/>
                <w:szCs w:val="24"/>
              </w:rPr>
              <w:t>5.30</w:t>
            </w:r>
          </w:p>
        </w:tc>
        <w:tc>
          <w:tcPr>
            <w:tcW w:w="2023" w:type="dxa"/>
            <w:tcBorders>
              <w:top w:val="nil"/>
              <w:left w:val="nil"/>
              <w:bottom w:val="single" w:color="auto" w:sz="4" w:space="0"/>
              <w:right w:val="single" w:color="auto" w:sz="4" w:space="0"/>
            </w:tcBorders>
            <w:shd w:val="clear" w:color="auto" w:fill="auto"/>
            <w:vAlign w:val="center"/>
          </w:tcPr>
          <w:p w14:paraId="681E397F">
            <w:pPr>
              <w:widowControl/>
              <w:jc w:val="right"/>
              <w:rPr>
                <w:rFonts w:ascii="宋体" w:hAnsi="宋体"/>
                <w:kern w:val="0"/>
                <w:sz w:val="24"/>
                <w:szCs w:val="24"/>
              </w:rPr>
            </w:pPr>
            <w:r>
              <w:rPr>
                <w:rFonts w:ascii="宋体" w:hAnsi="宋体"/>
                <w:kern w:val="0"/>
                <w:sz w:val="24"/>
                <w:szCs w:val="24"/>
              </w:rPr>
              <w:t>5.02</w:t>
            </w:r>
          </w:p>
        </w:tc>
        <w:tc>
          <w:tcPr>
            <w:tcW w:w="1842" w:type="dxa"/>
            <w:tcBorders>
              <w:top w:val="nil"/>
              <w:left w:val="nil"/>
              <w:bottom w:val="single" w:color="auto" w:sz="4" w:space="0"/>
              <w:right w:val="single" w:color="auto" w:sz="4" w:space="0"/>
            </w:tcBorders>
            <w:shd w:val="clear" w:color="auto" w:fill="auto"/>
            <w:vAlign w:val="center"/>
          </w:tcPr>
          <w:p w14:paraId="674FC372">
            <w:pPr>
              <w:widowControl/>
              <w:jc w:val="right"/>
              <w:rPr>
                <w:rFonts w:ascii="宋体" w:hAnsi="宋体" w:cs="宋体"/>
                <w:kern w:val="0"/>
                <w:sz w:val="24"/>
                <w:szCs w:val="24"/>
              </w:rPr>
            </w:pPr>
            <w:r>
              <w:rPr>
                <w:rFonts w:hint="eastAsia" w:ascii="宋体" w:hAnsi="宋体" w:cs="宋体"/>
                <w:kern w:val="0"/>
                <w:sz w:val="24"/>
                <w:szCs w:val="24"/>
              </w:rPr>
              <w:t>-0.28</w:t>
            </w:r>
          </w:p>
        </w:tc>
      </w:tr>
      <w:tr w14:paraId="4AFB71B0">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28EA11D7">
            <w:pPr>
              <w:widowControl/>
              <w:jc w:val="left"/>
              <w:rPr>
                <w:rFonts w:ascii="宋体" w:hAnsi="宋体" w:cs="宋体"/>
                <w:kern w:val="0"/>
                <w:sz w:val="24"/>
                <w:szCs w:val="24"/>
              </w:rPr>
            </w:pPr>
            <w:r>
              <w:rPr>
                <w:rFonts w:hint="eastAsia" w:ascii="宋体" w:hAnsi="宋体"/>
                <w:bCs/>
                <w:sz w:val="24"/>
                <w:szCs w:val="24"/>
              </w:rPr>
              <w:t>基层财政工作经费</w:t>
            </w:r>
          </w:p>
        </w:tc>
        <w:tc>
          <w:tcPr>
            <w:tcW w:w="2028" w:type="dxa"/>
            <w:tcBorders>
              <w:top w:val="nil"/>
              <w:left w:val="nil"/>
              <w:bottom w:val="single" w:color="auto" w:sz="4" w:space="0"/>
              <w:right w:val="single" w:color="auto" w:sz="4" w:space="0"/>
            </w:tcBorders>
            <w:shd w:val="clear" w:color="auto" w:fill="auto"/>
            <w:vAlign w:val="center"/>
          </w:tcPr>
          <w:p w14:paraId="71D75A4F">
            <w:pPr>
              <w:widowControl/>
              <w:jc w:val="right"/>
              <w:rPr>
                <w:rFonts w:ascii="宋体" w:hAnsi="宋体"/>
                <w:kern w:val="0"/>
                <w:sz w:val="24"/>
                <w:szCs w:val="24"/>
              </w:rPr>
            </w:pPr>
            <w:r>
              <w:rPr>
                <w:rFonts w:ascii="宋体" w:hAnsi="宋体"/>
                <w:kern w:val="0"/>
                <w:sz w:val="24"/>
                <w:szCs w:val="24"/>
              </w:rPr>
              <w:t>30.00</w:t>
            </w:r>
          </w:p>
        </w:tc>
        <w:tc>
          <w:tcPr>
            <w:tcW w:w="2023" w:type="dxa"/>
            <w:tcBorders>
              <w:top w:val="nil"/>
              <w:left w:val="nil"/>
              <w:bottom w:val="single" w:color="auto" w:sz="4" w:space="0"/>
              <w:right w:val="single" w:color="auto" w:sz="4" w:space="0"/>
            </w:tcBorders>
            <w:shd w:val="clear" w:color="auto" w:fill="auto"/>
            <w:vAlign w:val="center"/>
          </w:tcPr>
          <w:p w14:paraId="28E43965">
            <w:pPr>
              <w:widowControl/>
              <w:jc w:val="right"/>
              <w:rPr>
                <w:rFonts w:ascii="宋体" w:hAnsi="宋体"/>
                <w:kern w:val="0"/>
                <w:sz w:val="24"/>
                <w:szCs w:val="24"/>
              </w:rPr>
            </w:pPr>
            <w:r>
              <w:rPr>
                <w:rFonts w:ascii="宋体" w:hAnsi="宋体"/>
                <w:kern w:val="0"/>
                <w:sz w:val="24"/>
                <w:szCs w:val="24"/>
              </w:rPr>
              <w:t>8.04</w:t>
            </w:r>
          </w:p>
        </w:tc>
        <w:tc>
          <w:tcPr>
            <w:tcW w:w="1842" w:type="dxa"/>
            <w:tcBorders>
              <w:top w:val="nil"/>
              <w:left w:val="nil"/>
              <w:bottom w:val="single" w:color="auto" w:sz="4" w:space="0"/>
              <w:right w:val="single" w:color="auto" w:sz="4" w:space="0"/>
            </w:tcBorders>
            <w:shd w:val="clear" w:color="auto" w:fill="auto"/>
            <w:vAlign w:val="center"/>
          </w:tcPr>
          <w:p w14:paraId="705FB288">
            <w:pPr>
              <w:widowControl/>
              <w:jc w:val="right"/>
              <w:rPr>
                <w:rFonts w:ascii="宋体" w:hAnsi="宋体" w:cs="宋体"/>
                <w:kern w:val="0"/>
                <w:sz w:val="24"/>
                <w:szCs w:val="24"/>
              </w:rPr>
            </w:pPr>
            <w:r>
              <w:rPr>
                <w:rFonts w:hint="eastAsia" w:ascii="宋体" w:hAnsi="宋体" w:cs="宋体"/>
                <w:kern w:val="0"/>
                <w:sz w:val="24"/>
                <w:szCs w:val="24"/>
              </w:rPr>
              <w:t>-21.96</w:t>
            </w:r>
          </w:p>
        </w:tc>
      </w:tr>
      <w:tr w14:paraId="4D88AB4A">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42B3C749">
            <w:pPr>
              <w:widowControl/>
              <w:jc w:val="left"/>
              <w:rPr>
                <w:rFonts w:ascii="宋体" w:hAnsi="宋体" w:cs="宋体"/>
                <w:kern w:val="0"/>
                <w:sz w:val="24"/>
                <w:szCs w:val="24"/>
              </w:rPr>
            </w:pPr>
            <w:r>
              <w:rPr>
                <w:rFonts w:hint="eastAsia" w:ascii="宋体" w:hAnsi="宋体"/>
                <w:bCs/>
                <w:sz w:val="24"/>
                <w:szCs w:val="24"/>
              </w:rPr>
              <w:t>妇联工作经费</w:t>
            </w:r>
          </w:p>
        </w:tc>
        <w:tc>
          <w:tcPr>
            <w:tcW w:w="2028" w:type="dxa"/>
            <w:tcBorders>
              <w:top w:val="nil"/>
              <w:left w:val="nil"/>
              <w:bottom w:val="single" w:color="auto" w:sz="4" w:space="0"/>
              <w:right w:val="single" w:color="auto" w:sz="4" w:space="0"/>
            </w:tcBorders>
            <w:shd w:val="clear" w:color="auto" w:fill="auto"/>
            <w:vAlign w:val="center"/>
          </w:tcPr>
          <w:p w14:paraId="4E37F01E">
            <w:pPr>
              <w:widowControl/>
              <w:jc w:val="right"/>
              <w:rPr>
                <w:rFonts w:ascii="宋体" w:hAnsi="宋体"/>
                <w:kern w:val="0"/>
                <w:sz w:val="24"/>
                <w:szCs w:val="24"/>
              </w:rPr>
            </w:pPr>
            <w:r>
              <w:rPr>
                <w:rFonts w:ascii="宋体" w:hAnsi="宋体"/>
                <w:kern w:val="0"/>
                <w:sz w:val="24"/>
                <w:szCs w:val="24"/>
              </w:rPr>
              <w:t>3.50</w:t>
            </w:r>
          </w:p>
        </w:tc>
        <w:tc>
          <w:tcPr>
            <w:tcW w:w="2023" w:type="dxa"/>
            <w:tcBorders>
              <w:top w:val="nil"/>
              <w:left w:val="nil"/>
              <w:bottom w:val="single" w:color="auto" w:sz="4" w:space="0"/>
              <w:right w:val="single" w:color="auto" w:sz="4" w:space="0"/>
            </w:tcBorders>
            <w:shd w:val="clear" w:color="auto" w:fill="auto"/>
            <w:vAlign w:val="center"/>
          </w:tcPr>
          <w:p w14:paraId="42FC8612">
            <w:pPr>
              <w:widowControl/>
              <w:jc w:val="right"/>
              <w:rPr>
                <w:rFonts w:ascii="宋体" w:hAnsi="宋体"/>
                <w:kern w:val="0"/>
                <w:sz w:val="24"/>
                <w:szCs w:val="24"/>
              </w:rPr>
            </w:pPr>
            <w:r>
              <w:rPr>
                <w:rFonts w:ascii="宋体" w:hAnsi="宋体"/>
                <w:kern w:val="0"/>
                <w:sz w:val="24"/>
                <w:szCs w:val="24"/>
              </w:rPr>
              <w:t>1.88</w:t>
            </w:r>
          </w:p>
        </w:tc>
        <w:tc>
          <w:tcPr>
            <w:tcW w:w="1842" w:type="dxa"/>
            <w:tcBorders>
              <w:top w:val="nil"/>
              <w:left w:val="nil"/>
              <w:bottom w:val="single" w:color="auto" w:sz="4" w:space="0"/>
              <w:right w:val="single" w:color="auto" w:sz="4" w:space="0"/>
            </w:tcBorders>
            <w:shd w:val="clear" w:color="auto" w:fill="auto"/>
            <w:vAlign w:val="center"/>
          </w:tcPr>
          <w:p w14:paraId="50E12B0B">
            <w:pPr>
              <w:widowControl/>
              <w:jc w:val="right"/>
              <w:rPr>
                <w:rFonts w:ascii="宋体" w:hAnsi="宋体" w:cs="宋体"/>
                <w:kern w:val="0"/>
                <w:sz w:val="24"/>
                <w:szCs w:val="24"/>
              </w:rPr>
            </w:pPr>
            <w:r>
              <w:rPr>
                <w:rFonts w:hint="eastAsia" w:ascii="宋体" w:hAnsi="宋体" w:cs="宋体"/>
                <w:kern w:val="0"/>
                <w:sz w:val="24"/>
                <w:szCs w:val="24"/>
              </w:rPr>
              <w:t>-1.62</w:t>
            </w:r>
          </w:p>
        </w:tc>
      </w:tr>
      <w:tr w14:paraId="3EE28941">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6839829F">
            <w:pPr>
              <w:widowControl/>
              <w:jc w:val="left"/>
              <w:rPr>
                <w:rFonts w:ascii="宋体" w:hAnsi="宋体" w:cs="宋体"/>
                <w:kern w:val="0"/>
                <w:sz w:val="24"/>
                <w:szCs w:val="24"/>
              </w:rPr>
            </w:pPr>
            <w:r>
              <w:rPr>
                <w:rFonts w:hint="eastAsia" w:ascii="宋体" w:hAnsi="宋体"/>
                <w:bCs/>
                <w:sz w:val="24"/>
                <w:szCs w:val="24"/>
              </w:rPr>
              <w:t>人大政协经费</w:t>
            </w:r>
          </w:p>
        </w:tc>
        <w:tc>
          <w:tcPr>
            <w:tcW w:w="2028" w:type="dxa"/>
            <w:tcBorders>
              <w:top w:val="nil"/>
              <w:left w:val="nil"/>
              <w:bottom w:val="single" w:color="auto" w:sz="4" w:space="0"/>
              <w:right w:val="single" w:color="auto" w:sz="4" w:space="0"/>
            </w:tcBorders>
            <w:shd w:val="clear" w:color="auto" w:fill="auto"/>
            <w:vAlign w:val="center"/>
          </w:tcPr>
          <w:p w14:paraId="6A062577">
            <w:pPr>
              <w:widowControl/>
              <w:jc w:val="right"/>
              <w:rPr>
                <w:rFonts w:ascii="宋体" w:hAnsi="宋体"/>
                <w:kern w:val="0"/>
                <w:sz w:val="24"/>
                <w:szCs w:val="24"/>
              </w:rPr>
            </w:pPr>
            <w:r>
              <w:rPr>
                <w:rFonts w:ascii="宋体" w:hAnsi="宋体"/>
                <w:kern w:val="0"/>
                <w:sz w:val="24"/>
                <w:szCs w:val="24"/>
              </w:rPr>
              <w:t>5.40</w:t>
            </w:r>
          </w:p>
        </w:tc>
        <w:tc>
          <w:tcPr>
            <w:tcW w:w="2023" w:type="dxa"/>
            <w:tcBorders>
              <w:top w:val="nil"/>
              <w:left w:val="nil"/>
              <w:bottom w:val="single" w:color="auto" w:sz="4" w:space="0"/>
              <w:right w:val="single" w:color="auto" w:sz="4" w:space="0"/>
            </w:tcBorders>
            <w:shd w:val="clear" w:color="auto" w:fill="auto"/>
            <w:vAlign w:val="center"/>
          </w:tcPr>
          <w:p w14:paraId="2A4095A8">
            <w:pPr>
              <w:widowControl/>
              <w:jc w:val="right"/>
              <w:rPr>
                <w:rFonts w:ascii="宋体" w:hAnsi="宋体"/>
                <w:kern w:val="0"/>
                <w:sz w:val="24"/>
                <w:szCs w:val="24"/>
              </w:rPr>
            </w:pPr>
            <w:r>
              <w:rPr>
                <w:rFonts w:ascii="宋体" w:hAnsi="宋体"/>
                <w:kern w:val="0"/>
                <w:sz w:val="24"/>
                <w:szCs w:val="24"/>
              </w:rPr>
              <w:t>2.92</w:t>
            </w:r>
          </w:p>
        </w:tc>
        <w:tc>
          <w:tcPr>
            <w:tcW w:w="1842" w:type="dxa"/>
            <w:tcBorders>
              <w:top w:val="nil"/>
              <w:left w:val="nil"/>
              <w:bottom w:val="single" w:color="auto" w:sz="4" w:space="0"/>
              <w:right w:val="single" w:color="auto" w:sz="4" w:space="0"/>
            </w:tcBorders>
            <w:shd w:val="clear" w:color="auto" w:fill="auto"/>
            <w:vAlign w:val="center"/>
          </w:tcPr>
          <w:p w14:paraId="68FC2878">
            <w:pPr>
              <w:widowControl/>
              <w:jc w:val="right"/>
              <w:rPr>
                <w:rFonts w:ascii="宋体" w:hAnsi="宋体" w:cs="宋体"/>
                <w:kern w:val="0"/>
                <w:sz w:val="24"/>
                <w:szCs w:val="24"/>
              </w:rPr>
            </w:pPr>
            <w:r>
              <w:rPr>
                <w:rFonts w:hint="eastAsia" w:ascii="宋体" w:hAnsi="宋体" w:cs="宋体"/>
                <w:kern w:val="0"/>
                <w:sz w:val="24"/>
                <w:szCs w:val="24"/>
              </w:rPr>
              <w:t>-2.48</w:t>
            </w:r>
          </w:p>
        </w:tc>
      </w:tr>
      <w:tr w14:paraId="39C4FAEB">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2B60B7E0">
            <w:pPr>
              <w:widowControl/>
              <w:jc w:val="left"/>
              <w:rPr>
                <w:rFonts w:ascii="宋体" w:hAnsi="宋体" w:cs="宋体"/>
                <w:kern w:val="0"/>
                <w:sz w:val="24"/>
                <w:szCs w:val="24"/>
              </w:rPr>
            </w:pPr>
            <w:r>
              <w:rPr>
                <w:rFonts w:hint="eastAsia" w:ascii="宋体" w:hAnsi="宋体"/>
                <w:bCs/>
                <w:sz w:val="24"/>
                <w:szCs w:val="24"/>
              </w:rPr>
              <w:t>党政工作经费</w:t>
            </w:r>
          </w:p>
        </w:tc>
        <w:tc>
          <w:tcPr>
            <w:tcW w:w="2028" w:type="dxa"/>
            <w:tcBorders>
              <w:top w:val="nil"/>
              <w:left w:val="nil"/>
              <w:bottom w:val="single" w:color="auto" w:sz="4" w:space="0"/>
              <w:right w:val="single" w:color="auto" w:sz="4" w:space="0"/>
            </w:tcBorders>
            <w:shd w:val="clear" w:color="auto" w:fill="auto"/>
            <w:vAlign w:val="center"/>
          </w:tcPr>
          <w:p w14:paraId="364FA694">
            <w:pPr>
              <w:widowControl/>
              <w:jc w:val="right"/>
              <w:rPr>
                <w:rFonts w:ascii="宋体" w:hAnsi="宋体"/>
                <w:kern w:val="0"/>
                <w:sz w:val="24"/>
                <w:szCs w:val="24"/>
              </w:rPr>
            </w:pPr>
            <w:r>
              <w:rPr>
                <w:rFonts w:ascii="宋体" w:hAnsi="宋体"/>
                <w:kern w:val="0"/>
                <w:sz w:val="24"/>
                <w:szCs w:val="24"/>
              </w:rPr>
              <w:t>23.15</w:t>
            </w:r>
          </w:p>
        </w:tc>
        <w:tc>
          <w:tcPr>
            <w:tcW w:w="2023" w:type="dxa"/>
            <w:tcBorders>
              <w:top w:val="nil"/>
              <w:left w:val="nil"/>
              <w:bottom w:val="single" w:color="auto" w:sz="4" w:space="0"/>
              <w:right w:val="single" w:color="auto" w:sz="4" w:space="0"/>
            </w:tcBorders>
            <w:shd w:val="clear" w:color="auto" w:fill="auto"/>
            <w:vAlign w:val="center"/>
          </w:tcPr>
          <w:p w14:paraId="16D2BB9A">
            <w:pPr>
              <w:widowControl/>
              <w:jc w:val="right"/>
              <w:rPr>
                <w:rFonts w:ascii="宋体" w:hAnsi="宋体"/>
                <w:kern w:val="0"/>
                <w:sz w:val="24"/>
                <w:szCs w:val="24"/>
              </w:rPr>
            </w:pPr>
            <w:r>
              <w:rPr>
                <w:rFonts w:ascii="宋体" w:hAnsi="宋体"/>
                <w:kern w:val="0"/>
                <w:sz w:val="24"/>
                <w:szCs w:val="24"/>
              </w:rPr>
              <w:t>23.15</w:t>
            </w:r>
          </w:p>
        </w:tc>
        <w:tc>
          <w:tcPr>
            <w:tcW w:w="1842" w:type="dxa"/>
            <w:tcBorders>
              <w:top w:val="nil"/>
              <w:left w:val="nil"/>
              <w:bottom w:val="single" w:color="auto" w:sz="4" w:space="0"/>
              <w:right w:val="single" w:color="auto" w:sz="4" w:space="0"/>
            </w:tcBorders>
            <w:shd w:val="clear" w:color="auto" w:fill="auto"/>
            <w:vAlign w:val="center"/>
          </w:tcPr>
          <w:p w14:paraId="33956324">
            <w:pPr>
              <w:widowControl/>
              <w:jc w:val="right"/>
              <w:rPr>
                <w:rFonts w:ascii="宋体" w:hAnsi="宋体" w:cs="宋体"/>
                <w:kern w:val="0"/>
                <w:sz w:val="24"/>
                <w:szCs w:val="24"/>
              </w:rPr>
            </w:pPr>
            <w:r>
              <w:rPr>
                <w:rFonts w:hint="eastAsia" w:ascii="宋体" w:hAnsi="宋体" w:cs="宋体"/>
                <w:kern w:val="0"/>
                <w:sz w:val="24"/>
                <w:szCs w:val="24"/>
              </w:rPr>
              <w:t>-</w:t>
            </w:r>
          </w:p>
        </w:tc>
      </w:tr>
      <w:tr w14:paraId="216901AA">
        <w:tblPrEx>
          <w:tblCellMar>
            <w:top w:w="0" w:type="dxa"/>
            <w:left w:w="108" w:type="dxa"/>
            <w:bottom w:w="0" w:type="dxa"/>
            <w:right w:w="108" w:type="dxa"/>
          </w:tblCellMar>
        </w:tblPrEx>
        <w:trPr>
          <w:trHeight w:val="36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513BCA9B">
            <w:pPr>
              <w:widowControl/>
              <w:jc w:val="center"/>
              <w:rPr>
                <w:rFonts w:ascii="宋体" w:hAnsi="宋体" w:cs="宋体"/>
                <w:b/>
                <w:kern w:val="0"/>
                <w:sz w:val="24"/>
                <w:szCs w:val="24"/>
              </w:rPr>
            </w:pPr>
            <w:r>
              <w:rPr>
                <w:rFonts w:hint="eastAsia" w:ascii="宋体" w:hAnsi="宋体" w:cs="宋体"/>
                <w:b/>
                <w:kern w:val="0"/>
                <w:sz w:val="24"/>
                <w:szCs w:val="24"/>
              </w:rPr>
              <w:t>合   计</w:t>
            </w:r>
          </w:p>
        </w:tc>
        <w:tc>
          <w:tcPr>
            <w:tcW w:w="2028" w:type="dxa"/>
            <w:tcBorders>
              <w:top w:val="nil"/>
              <w:left w:val="nil"/>
              <w:bottom w:val="single" w:color="auto" w:sz="4" w:space="0"/>
              <w:right w:val="single" w:color="auto" w:sz="4" w:space="0"/>
            </w:tcBorders>
            <w:shd w:val="clear" w:color="auto" w:fill="auto"/>
            <w:vAlign w:val="center"/>
          </w:tcPr>
          <w:p w14:paraId="6B2D6D5A">
            <w:pPr>
              <w:widowControl/>
              <w:jc w:val="right"/>
              <w:rPr>
                <w:rFonts w:ascii="宋体" w:hAnsi="宋体"/>
                <w:b/>
                <w:kern w:val="0"/>
                <w:sz w:val="24"/>
                <w:szCs w:val="24"/>
              </w:rPr>
            </w:pPr>
            <w:r>
              <w:rPr>
                <w:rFonts w:ascii="宋体" w:hAnsi="宋体"/>
                <w:b/>
                <w:kern w:val="0"/>
                <w:sz w:val="24"/>
                <w:szCs w:val="24"/>
              </w:rPr>
              <w:t>106.00</w:t>
            </w:r>
          </w:p>
        </w:tc>
        <w:tc>
          <w:tcPr>
            <w:tcW w:w="2023" w:type="dxa"/>
            <w:tcBorders>
              <w:top w:val="nil"/>
              <w:left w:val="nil"/>
              <w:bottom w:val="single" w:color="auto" w:sz="4" w:space="0"/>
              <w:right w:val="single" w:color="auto" w:sz="4" w:space="0"/>
            </w:tcBorders>
            <w:shd w:val="clear" w:color="auto" w:fill="auto"/>
            <w:vAlign w:val="center"/>
          </w:tcPr>
          <w:p w14:paraId="5DBE2CA0">
            <w:pPr>
              <w:widowControl/>
              <w:jc w:val="right"/>
              <w:rPr>
                <w:rFonts w:ascii="宋体" w:hAnsi="宋体"/>
                <w:b/>
                <w:kern w:val="0"/>
                <w:sz w:val="24"/>
                <w:szCs w:val="24"/>
              </w:rPr>
            </w:pPr>
            <w:r>
              <w:rPr>
                <w:rFonts w:ascii="宋体" w:hAnsi="宋体"/>
                <w:b/>
                <w:kern w:val="0"/>
                <w:sz w:val="24"/>
                <w:szCs w:val="24"/>
              </w:rPr>
              <w:t>76.88</w:t>
            </w:r>
          </w:p>
        </w:tc>
        <w:tc>
          <w:tcPr>
            <w:tcW w:w="1842" w:type="dxa"/>
            <w:tcBorders>
              <w:top w:val="nil"/>
              <w:left w:val="nil"/>
              <w:bottom w:val="single" w:color="auto" w:sz="4" w:space="0"/>
              <w:right w:val="single" w:color="auto" w:sz="4" w:space="0"/>
            </w:tcBorders>
            <w:shd w:val="clear" w:color="auto" w:fill="auto"/>
            <w:vAlign w:val="center"/>
          </w:tcPr>
          <w:p w14:paraId="232D3196">
            <w:pPr>
              <w:widowControl/>
              <w:jc w:val="right"/>
              <w:rPr>
                <w:rFonts w:ascii="宋体" w:hAnsi="宋体" w:cs="宋体"/>
                <w:b/>
                <w:kern w:val="0"/>
                <w:sz w:val="24"/>
                <w:szCs w:val="24"/>
              </w:rPr>
            </w:pPr>
            <w:r>
              <w:rPr>
                <w:rFonts w:hint="eastAsia" w:ascii="宋体" w:hAnsi="宋体" w:cs="宋体"/>
                <w:b/>
                <w:kern w:val="0"/>
                <w:sz w:val="24"/>
                <w:szCs w:val="24"/>
              </w:rPr>
              <w:t>-29.12</w:t>
            </w:r>
          </w:p>
        </w:tc>
      </w:tr>
    </w:tbl>
    <w:p w14:paraId="2E752ED9">
      <w:pPr>
        <w:pStyle w:val="13"/>
        <w:ind w:firstLine="560"/>
        <w:rPr>
          <w:rFonts w:hint="eastAsia" w:ascii="宋体" w:hAnsi="宋体" w:cs="宋体"/>
          <w:sz w:val="28"/>
          <w:szCs w:val="28"/>
        </w:rPr>
      </w:pPr>
      <w:r>
        <w:rPr>
          <w:rFonts w:hint="eastAsia" w:ascii="宋体" w:hAnsi="宋体" w:cs="宋体"/>
          <w:sz w:val="28"/>
          <w:szCs w:val="28"/>
        </w:rPr>
        <w:t>项目实际支出76.88万元，项目预算为106.00元，差异为29.12万元（实际支出低于预算）。差异主要为基层财政工作经费，实际只占预算的26.80%，主要原因为预算编制的不科学性、过高的估计了基层财政工作经费的相关明细费用。</w:t>
      </w:r>
    </w:p>
    <w:p w14:paraId="1DE26C5D">
      <w:pPr>
        <w:spacing w:line="360" w:lineRule="auto"/>
        <w:ind w:firstLine="560" w:firstLineChars="200"/>
        <w:rPr>
          <w:rFonts w:hint="eastAsia" w:ascii="宋体" w:hAnsi="宋体"/>
          <w:sz w:val="28"/>
          <w:szCs w:val="28"/>
        </w:rPr>
      </w:pPr>
      <w:r>
        <w:rPr>
          <w:rFonts w:hint="eastAsia" w:ascii="宋体" w:hAnsi="宋体"/>
          <w:sz w:val="28"/>
          <w:szCs w:val="28"/>
        </w:rPr>
        <w:t>（二）项目预算绩效目标的完成情况</w:t>
      </w:r>
    </w:p>
    <w:p w14:paraId="2023EEC8">
      <w:pPr>
        <w:widowControl/>
        <w:spacing w:line="600" w:lineRule="exact"/>
        <w:ind w:firstLine="640"/>
        <w:jc w:val="left"/>
        <w:rPr>
          <w:rFonts w:ascii="宋体" w:hAnsi="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sz w:val="28"/>
          <w:szCs w:val="28"/>
        </w:rPr>
        <w:t>依据年初</w:t>
      </w:r>
      <w:r>
        <w:rPr>
          <w:rFonts w:hint="eastAsia" w:ascii="宋体" w:hAnsi="宋体" w:cs="宋体"/>
          <w:sz w:val="28"/>
          <w:szCs w:val="28"/>
        </w:rPr>
        <w:t>“基层组织经费”《项目</w:t>
      </w:r>
      <w:r>
        <w:rPr>
          <w:rFonts w:ascii="宋体" w:hAnsi="宋体" w:cs="宋体"/>
          <w:sz w:val="28"/>
          <w:szCs w:val="28"/>
        </w:rPr>
        <w:t>绩效</w:t>
      </w:r>
      <w:r>
        <w:rPr>
          <w:rFonts w:hint="eastAsia" w:ascii="宋体" w:hAnsi="宋体" w:cs="宋体"/>
          <w:sz w:val="28"/>
          <w:szCs w:val="28"/>
        </w:rPr>
        <w:t>目标编制说明》，结合2017年度项目实际实施情况，对部分绩效指标做出相应的调整，以期更准确、更有效地反映本项目的绩效情况，具体情况如下表《项目预算绩效评价表》。</w:t>
      </w:r>
    </w:p>
    <w:p w14:paraId="20EB918F">
      <w:pPr>
        <w:widowControl/>
        <w:spacing w:after="156" w:afterLines="50" w:line="600" w:lineRule="exact"/>
        <w:jc w:val="left"/>
        <w:rPr>
          <w:rFonts w:ascii="宋体" w:hAnsi="宋体"/>
          <w:b/>
          <w:sz w:val="28"/>
          <w:szCs w:val="28"/>
        </w:rPr>
      </w:pPr>
      <w:r>
        <w:rPr>
          <w:rFonts w:hint="eastAsia" w:ascii="宋体" w:hAnsi="宋体"/>
          <w:b/>
          <w:sz w:val="28"/>
          <w:szCs w:val="28"/>
        </w:rPr>
        <w:t>表：项目预算绩效评价表</w:t>
      </w:r>
    </w:p>
    <w:tbl>
      <w:tblPr>
        <w:tblStyle w:val="5"/>
        <w:tblW w:w="13987" w:type="dxa"/>
        <w:jc w:val="center"/>
        <w:tblLayout w:type="fixed"/>
        <w:tblCellMar>
          <w:top w:w="0" w:type="dxa"/>
          <w:left w:w="108" w:type="dxa"/>
          <w:bottom w:w="0" w:type="dxa"/>
          <w:right w:w="108" w:type="dxa"/>
        </w:tblCellMar>
      </w:tblPr>
      <w:tblGrid>
        <w:gridCol w:w="1112"/>
        <w:gridCol w:w="1328"/>
        <w:gridCol w:w="2385"/>
        <w:gridCol w:w="4446"/>
        <w:gridCol w:w="4002"/>
        <w:gridCol w:w="714"/>
      </w:tblGrid>
      <w:tr w14:paraId="51165B28">
        <w:tblPrEx>
          <w:tblCellMar>
            <w:top w:w="0" w:type="dxa"/>
            <w:left w:w="108" w:type="dxa"/>
            <w:bottom w:w="0" w:type="dxa"/>
            <w:right w:w="108" w:type="dxa"/>
          </w:tblCellMar>
        </w:tblPrEx>
        <w:trPr>
          <w:trHeight w:val="440" w:hRule="atLeast"/>
          <w:tblHeader/>
          <w:jc w:val="center"/>
        </w:trPr>
        <w:tc>
          <w:tcPr>
            <w:tcW w:w="1112" w:type="dxa"/>
            <w:tcBorders>
              <w:top w:val="single" w:color="auto" w:sz="12" w:space="0"/>
              <w:left w:val="single" w:color="auto" w:sz="12" w:space="0"/>
              <w:bottom w:val="single" w:color="auto" w:sz="4" w:space="0"/>
              <w:right w:val="single" w:color="auto" w:sz="4" w:space="0"/>
            </w:tcBorders>
            <w:shd w:val="clear" w:color="auto" w:fill="auto"/>
            <w:vAlign w:val="center"/>
          </w:tcPr>
          <w:p w14:paraId="7C8F12F8">
            <w:pPr>
              <w:widowControl/>
              <w:jc w:val="center"/>
              <w:rPr>
                <w:rFonts w:ascii="宋体" w:hAnsi="宋体" w:cs="宋体"/>
                <w:b/>
                <w:bCs/>
                <w:color w:val="000000"/>
                <w:kern w:val="0"/>
                <w:sz w:val="22"/>
              </w:rPr>
            </w:pPr>
            <w:r>
              <w:rPr>
                <w:rFonts w:hint="eastAsia" w:ascii="宋体" w:hAnsi="宋体" w:cs="宋体"/>
                <w:b/>
                <w:bCs/>
                <w:color w:val="000000"/>
                <w:kern w:val="0"/>
                <w:sz w:val="22"/>
              </w:rPr>
              <w:t>一级</w:t>
            </w:r>
          </w:p>
          <w:p w14:paraId="055CB4C4">
            <w:pPr>
              <w:widowControl/>
              <w:jc w:val="center"/>
              <w:rPr>
                <w:rFonts w:ascii="宋体" w:hAnsi="宋体" w:cs="宋体"/>
                <w:b/>
                <w:bCs/>
                <w:color w:val="000000"/>
                <w:kern w:val="0"/>
                <w:sz w:val="22"/>
              </w:rPr>
            </w:pPr>
            <w:r>
              <w:rPr>
                <w:rFonts w:hint="eastAsia" w:ascii="宋体" w:hAnsi="宋体" w:cs="宋体"/>
                <w:b/>
                <w:bCs/>
                <w:color w:val="000000"/>
                <w:kern w:val="0"/>
                <w:sz w:val="22"/>
              </w:rPr>
              <w:t>指标</w:t>
            </w:r>
          </w:p>
        </w:tc>
        <w:tc>
          <w:tcPr>
            <w:tcW w:w="1328" w:type="dxa"/>
            <w:tcBorders>
              <w:top w:val="single" w:color="auto" w:sz="12" w:space="0"/>
              <w:left w:val="nil"/>
              <w:bottom w:val="single" w:color="auto" w:sz="4" w:space="0"/>
              <w:right w:val="single" w:color="auto" w:sz="4" w:space="0"/>
            </w:tcBorders>
            <w:shd w:val="clear" w:color="auto" w:fill="auto"/>
            <w:vAlign w:val="center"/>
          </w:tcPr>
          <w:p w14:paraId="0F8471B9">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2385" w:type="dxa"/>
            <w:tcBorders>
              <w:top w:val="single" w:color="auto" w:sz="12" w:space="0"/>
              <w:left w:val="nil"/>
              <w:bottom w:val="single" w:color="auto" w:sz="4" w:space="0"/>
              <w:right w:val="single" w:color="auto" w:sz="4" w:space="0"/>
            </w:tcBorders>
            <w:shd w:val="clear" w:color="auto" w:fill="auto"/>
            <w:vAlign w:val="center"/>
          </w:tcPr>
          <w:p w14:paraId="20335693">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4446" w:type="dxa"/>
            <w:tcBorders>
              <w:top w:val="single" w:color="auto" w:sz="12" w:space="0"/>
              <w:left w:val="nil"/>
              <w:bottom w:val="single" w:color="auto" w:sz="4" w:space="0"/>
              <w:right w:val="single" w:color="auto" w:sz="4" w:space="0"/>
            </w:tcBorders>
            <w:shd w:val="clear" w:color="auto" w:fill="auto"/>
            <w:vAlign w:val="center"/>
          </w:tcPr>
          <w:p w14:paraId="0AB27AAB">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4002" w:type="dxa"/>
            <w:tcBorders>
              <w:top w:val="single" w:color="auto" w:sz="12" w:space="0"/>
              <w:left w:val="nil"/>
              <w:bottom w:val="single" w:color="auto" w:sz="4" w:space="0"/>
              <w:right w:val="single" w:color="auto" w:sz="4" w:space="0"/>
            </w:tcBorders>
            <w:shd w:val="clear" w:color="auto" w:fill="auto"/>
            <w:vAlign w:val="center"/>
          </w:tcPr>
          <w:p w14:paraId="1DD53B71">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14" w:type="dxa"/>
            <w:tcBorders>
              <w:top w:val="single" w:color="auto" w:sz="12" w:space="0"/>
              <w:left w:val="nil"/>
              <w:bottom w:val="single" w:color="auto" w:sz="4" w:space="0"/>
              <w:right w:val="single" w:color="auto" w:sz="12" w:space="0"/>
            </w:tcBorders>
            <w:shd w:val="clear" w:color="auto" w:fill="auto"/>
            <w:vAlign w:val="center"/>
          </w:tcPr>
          <w:p w14:paraId="188EA7A2">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49E2D0E8">
        <w:tblPrEx>
          <w:tblCellMar>
            <w:top w:w="0" w:type="dxa"/>
            <w:left w:w="108" w:type="dxa"/>
            <w:bottom w:w="0" w:type="dxa"/>
            <w:right w:w="108" w:type="dxa"/>
          </w:tblCellMar>
        </w:tblPrEx>
        <w:trPr>
          <w:trHeight w:val="440" w:hRule="atLeast"/>
          <w:jc w:val="center"/>
        </w:trPr>
        <w:tc>
          <w:tcPr>
            <w:tcW w:w="1112" w:type="dxa"/>
            <w:vMerge w:val="restart"/>
            <w:tcBorders>
              <w:top w:val="nil"/>
              <w:left w:val="single" w:color="auto" w:sz="12" w:space="0"/>
              <w:bottom w:val="single" w:color="auto" w:sz="4" w:space="0"/>
              <w:right w:val="single" w:color="auto" w:sz="4" w:space="0"/>
            </w:tcBorders>
            <w:shd w:val="clear" w:color="auto" w:fill="auto"/>
            <w:vAlign w:val="center"/>
          </w:tcPr>
          <w:p w14:paraId="3C1D63BF">
            <w:pPr>
              <w:widowControl/>
              <w:jc w:val="center"/>
              <w:rPr>
                <w:rFonts w:ascii="宋体" w:hAnsi="宋体" w:cs="宋体"/>
                <w:color w:val="000000"/>
                <w:kern w:val="0"/>
                <w:sz w:val="22"/>
              </w:rPr>
            </w:pPr>
            <w:r>
              <w:rPr>
                <w:rFonts w:hint="eastAsia" w:ascii="宋体" w:hAnsi="宋体" w:cs="宋体"/>
                <w:color w:val="000000"/>
                <w:kern w:val="0"/>
                <w:sz w:val="22"/>
              </w:rPr>
              <w:t>一、投入（20分）</w:t>
            </w: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0D84E83B">
            <w:pPr>
              <w:widowControl/>
              <w:jc w:val="center"/>
              <w:rPr>
                <w:rFonts w:ascii="宋体" w:hAnsi="宋体" w:cs="宋体"/>
                <w:color w:val="000000"/>
                <w:kern w:val="0"/>
                <w:sz w:val="22"/>
              </w:rPr>
            </w:pPr>
            <w:r>
              <w:rPr>
                <w:rFonts w:hint="eastAsia" w:ascii="宋体" w:hAnsi="宋体" w:cs="宋体"/>
                <w:color w:val="000000"/>
                <w:kern w:val="0"/>
                <w:sz w:val="22"/>
              </w:rPr>
              <w:t>项目立项（10分）</w:t>
            </w:r>
          </w:p>
        </w:tc>
        <w:tc>
          <w:tcPr>
            <w:tcW w:w="2385" w:type="dxa"/>
            <w:tcBorders>
              <w:top w:val="nil"/>
              <w:left w:val="nil"/>
              <w:bottom w:val="single" w:color="auto" w:sz="4" w:space="0"/>
              <w:right w:val="single" w:color="auto" w:sz="4" w:space="0"/>
            </w:tcBorders>
            <w:shd w:val="clear" w:color="auto" w:fill="auto"/>
            <w:vAlign w:val="center"/>
          </w:tcPr>
          <w:p w14:paraId="1DF4C8C6">
            <w:pPr>
              <w:widowControl/>
              <w:jc w:val="left"/>
              <w:rPr>
                <w:rFonts w:ascii="宋体" w:hAnsi="宋体" w:cs="宋体"/>
                <w:color w:val="000000"/>
                <w:kern w:val="0"/>
                <w:sz w:val="22"/>
              </w:rPr>
            </w:pPr>
            <w:r>
              <w:rPr>
                <w:rFonts w:hint="eastAsia" w:ascii="宋体" w:hAnsi="宋体" w:cs="宋体"/>
                <w:color w:val="000000"/>
                <w:kern w:val="0"/>
                <w:sz w:val="22"/>
              </w:rPr>
              <w:t>项目立项规范性（5分）</w:t>
            </w:r>
          </w:p>
        </w:tc>
        <w:tc>
          <w:tcPr>
            <w:tcW w:w="4446" w:type="dxa"/>
            <w:tcBorders>
              <w:top w:val="nil"/>
              <w:left w:val="nil"/>
              <w:bottom w:val="single" w:color="auto" w:sz="4" w:space="0"/>
              <w:right w:val="single" w:color="auto" w:sz="4" w:space="0"/>
            </w:tcBorders>
            <w:shd w:val="clear" w:color="auto" w:fill="auto"/>
            <w:vAlign w:val="center"/>
          </w:tcPr>
          <w:p w14:paraId="60A5AA66">
            <w:pPr>
              <w:widowControl/>
              <w:jc w:val="left"/>
              <w:rPr>
                <w:rFonts w:ascii="宋体" w:hAnsi="宋体" w:cs="宋体"/>
                <w:color w:val="000000"/>
                <w:kern w:val="0"/>
                <w:sz w:val="22"/>
              </w:rPr>
            </w:pPr>
            <w:r>
              <w:rPr>
                <w:rFonts w:hint="eastAsia" w:ascii="宋体" w:hAnsi="宋体" w:cs="宋体"/>
                <w:color w:val="000000"/>
                <w:kern w:val="0"/>
                <w:sz w:val="22"/>
              </w:rPr>
              <w:t>项目的申请、设立过程是否符合相关要求，用以反映和考核项目立项的规范情况。</w:t>
            </w:r>
          </w:p>
        </w:tc>
        <w:tc>
          <w:tcPr>
            <w:tcW w:w="4002" w:type="dxa"/>
            <w:tcBorders>
              <w:top w:val="nil"/>
              <w:left w:val="nil"/>
              <w:bottom w:val="single" w:color="auto" w:sz="4" w:space="0"/>
              <w:right w:val="single" w:color="auto" w:sz="4" w:space="0"/>
            </w:tcBorders>
            <w:shd w:val="clear" w:color="auto" w:fill="auto"/>
            <w:vAlign w:val="center"/>
          </w:tcPr>
          <w:p w14:paraId="285A4ADD">
            <w:pPr>
              <w:widowControl/>
              <w:jc w:val="left"/>
              <w:rPr>
                <w:rFonts w:ascii="宋体" w:hAnsi="宋体" w:cs="宋体"/>
                <w:color w:val="000000"/>
                <w:kern w:val="0"/>
                <w:sz w:val="22"/>
              </w:rPr>
            </w:pPr>
            <w:r>
              <w:rPr>
                <w:rFonts w:hint="eastAsia" w:ascii="宋体" w:hAnsi="宋体" w:cs="宋体"/>
                <w:color w:val="000000"/>
                <w:kern w:val="0"/>
                <w:sz w:val="22"/>
              </w:rPr>
              <w:t>本项目经费为持续性、常年性项目，项目立项规范，符合相关政策要求。</w:t>
            </w:r>
          </w:p>
        </w:tc>
        <w:tc>
          <w:tcPr>
            <w:tcW w:w="714" w:type="dxa"/>
            <w:tcBorders>
              <w:top w:val="nil"/>
              <w:left w:val="nil"/>
              <w:bottom w:val="single" w:color="auto" w:sz="4" w:space="0"/>
              <w:right w:val="single" w:color="auto" w:sz="12" w:space="0"/>
            </w:tcBorders>
            <w:shd w:val="clear" w:color="auto" w:fill="auto"/>
            <w:vAlign w:val="center"/>
          </w:tcPr>
          <w:p w14:paraId="2389341E">
            <w:pPr>
              <w:widowControl/>
              <w:jc w:val="center"/>
              <w:rPr>
                <w:rFonts w:ascii="宋体" w:hAnsi="宋体" w:cs="宋体"/>
                <w:color w:val="000000"/>
                <w:kern w:val="0"/>
                <w:sz w:val="22"/>
              </w:rPr>
            </w:pPr>
            <w:r>
              <w:rPr>
                <w:rFonts w:hint="eastAsia" w:ascii="宋体" w:hAnsi="宋体" w:cs="宋体"/>
                <w:color w:val="000000"/>
                <w:kern w:val="0"/>
                <w:sz w:val="22"/>
              </w:rPr>
              <w:t>5</w:t>
            </w:r>
          </w:p>
        </w:tc>
      </w:tr>
      <w:tr w14:paraId="46AA38C0">
        <w:tblPrEx>
          <w:tblCellMar>
            <w:top w:w="0" w:type="dxa"/>
            <w:left w:w="108" w:type="dxa"/>
            <w:bottom w:w="0" w:type="dxa"/>
            <w:right w:w="108" w:type="dxa"/>
          </w:tblCellMar>
        </w:tblPrEx>
        <w:trPr>
          <w:trHeight w:val="88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692BFA10">
            <w:pPr>
              <w:widowControl/>
              <w:jc w:val="left"/>
              <w:rPr>
                <w:rFonts w:ascii="宋体" w:hAnsi="宋体"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2AC89398">
            <w:pPr>
              <w:widowControl/>
              <w:jc w:val="left"/>
              <w:rPr>
                <w:rFonts w:ascii="宋体" w:hAnsi="宋体"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2FAF9C22">
            <w:pPr>
              <w:widowControl/>
              <w:jc w:val="left"/>
              <w:rPr>
                <w:rFonts w:ascii="宋体" w:hAnsi="宋体" w:cs="宋体"/>
                <w:color w:val="000000"/>
                <w:kern w:val="0"/>
                <w:sz w:val="22"/>
              </w:rPr>
            </w:pPr>
            <w:r>
              <w:rPr>
                <w:rFonts w:hint="eastAsia" w:ascii="宋体" w:hAnsi="宋体" w:cs="宋体"/>
                <w:color w:val="000000"/>
                <w:kern w:val="0"/>
                <w:sz w:val="22"/>
              </w:rPr>
              <w:t>绩效目标合理性（5分）</w:t>
            </w:r>
          </w:p>
        </w:tc>
        <w:tc>
          <w:tcPr>
            <w:tcW w:w="4446" w:type="dxa"/>
            <w:tcBorders>
              <w:top w:val="nil"/>
              <w:left w:val="nil"/>
              <w:bottom w:val="single" w:color="auto" w:sz="4" w:space="0"/>
              <w:right w:val="single" w:color="auto" w:sz="4" w:space="0"/>
            </w:tcBorders>
            <w:shd w:val="clear" w:color="auto" w:fill="auto"/>
            <w:vAlign w:val="center"/>
          </w:tcPr>
          <w:p w14:paraId="363F6004">
            <w:pPr>
              <w:widowControl/>
              <w:jc w:val="left"/>
              <w:rPr>
                <w:rFonts w:ascii="宋体" w:hAnsi="宋体" w:cs="宋体"/>
                <w:color w:val="000000"/>
                <w:kern w:val="0"/>
                <w:sz w:val="22"/>
              </w:rPr>
            </w:pPr>
            <w:r>
              <w:rPr>
                <w:rFonts w:hint="eastAsia" w:ascii="宋体" w:hAnsi="宋体" w:cs="宋体"/>
                <w:color w:val="000000"/>
                <w:kern w:val="0"/>
                <w:sz w:val="22"/>
              </w:rPr>
              <w:t>项目是否设定绩效目标和绩效指标，所设定的绩效目标和指标是否符合实际，用以反映和考核项目绩效目标与项目实施的相符情况。</w:t>
            </w:r>
          </w:p>
        </w:tc>
        <w:tc>
          <w:tcPr>
            <w:tcW w:w="4002" w:type="dxa"/>
            <w:tcBorders>
              <w:top w:val="nil"/>
              <w:left w:val="nil"/>
              <w:bottom w:val="single" w:color="auto" w:sz="4" w:space="0"/>
              <w:right w:val="single" w:color="auto" w:sz="4" w:space="0"/>
            </w:tcBorders>
            <w:shd w:val="clear" w:color="auto" w:fill="auto"/>
            <w:vAlign w:val="center"/>
          </w:tcPr>
          <w:p w14:paraId="5967F2D8">
            <w:pPr>
              <w:widowControl/>
              <w:jc w:val="left"/>
              <w:rPr>
                <w:rFonts w:ascii="宋体" w:hAnsi="宋体" w:cs="宋体"/>
                <w:color w:val="000000"/>
                <w:kern w:val="0"/>
                <w:sz w:val="22"/>
              </w:rPr>
            </w:pPr>
            <w:r>
              <w:rPr>
                <w:rFonts w:hint="eastAsia" w:ascii="宋体" w:hAnsi="宋体" w:cs="宋体"/>
                <w:color w:val="000000"/>
                <w:kern w:val="0"/>
                <w:sz w:val="22"/>
              </w:rPr>
              <w:t>项目设定了绩效目标和绩效指标，所设定的绩效目标和指标基本符合实际，但设立的指标较为粗略，部分难以有效体现项目效果。</w:t>
            </w:r>
          </w:p>
        </w:tc>
        <w:tc>
          <w:tcPr>
            <w:tcW w:w="714" w:type="dxa"/>
            <w:tcBorders>
              <w:top w:val="nil"/>
              <w:left w:val="nil"/>
              <w:bottom w:val="single" w:color="auto" w:sz="4" w:space="0"/>
              <w:right w:val="single" w:color="auto" w:sz="12" w:space="0"/>
            </w:tcBorders>
            <w:shd w:val="clear" w:color="auto" w:fill="auto"/>
            <w:vAlign w:val="center"/>
          </w:tcPr>
          <w:p w14:paraId="20428D60">
            <w:pPr>
              <w:widowControl/>
              <w:jc w:val="center"/>
              <w:rPr>
                <w:rFonts w:ascii="宋体" w:hAnsi="宋体" w:cs="宋体"/>
                <w:color w:val="000000"/>
                <w:kern w:val="0"/>
                <w:sz w:val="22"/>
              </w:rPr>
            </w:pPr>
            <w:r>
              <w:rPr>
                <w:rFonts w:hint="eastAsia" w:ascii="宋体" w:hAnsi="宋体" w:cs="宋体"/>
                <w:color w:val="000000"/>
                <w:kern w:val="0"/>
                <w:sz w:val="22"/>
              </w:rPr>
              <w:t>3</w:t>
            </w:r>
          </w:p>
        </w:tc>
      </w:tr>
      <w:tr w14:paraId="33D955FC">
        <w:tblPrEx>
          <w:tblCellMar>
            <w:top w:w="0" w:type="dxa"/>
            <w:left w:w="108" w:type="dxa"/>
            <w:bottom w:w="0" w:type="dxa"/>
            <w:right w:w="108" w:type="dxa"/>
          </w:tblCellMar>
        </w:tblPrEx>
        <w:trPr>
          <w:trHeight w:val="66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376CF8C9">
            <w:pPr>
              <w:widowControl/>
              <w:jc w:val="left"/>
              <w:rPr>
                <w:rFonts w:ascii="宋体" w:hAnsi="宋体" w:cs="宋体"/>
                <w:color w:val="000000"/>
                <w:kern w:val="0"/>
                <w:sz w:val="22"/>
              </w:rPr>
            </w:pP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61B91E98">
            <w:pPr>
              <w:widowControl/>
              <w:jc w:val="center"/>
              <w:rPr>
                <w:rFonts w:ascii="宋体" w:hAnsi="宋体" w:cs="宋体"/>
                <w:color w:val="000000"/>
                <w:kern w:val="0"/>
                <w:sz w:val="22"/>
              </w:rPr>
            </w:pPr>
            <w:r>
              <w:rPr>
                <w:rFonts w:hint="eastAsia" w:ascii="宋体" w:hAnsi="宋体" w:cs="宋体"/>
                <w:color w:val="000000"/>
                <w:kern w:val="0"/>
                <w:sz w:val="22"/>
              </w:rPr>
              <w:t>资金落实（10分）</w:t>
            </w:r>
          </w:p>
        </w:tc>
        <w:tc>
          <w:tcPr>
            <w:tcW w:w="2385" w:type="dxa"/>
            <w:tcBorders>
              <w:top w:val="nil"/>
              <w:left w:val="nil"/>
              <w:bottom w:val="single" w:color="auto" w:sz="4" w:space="0"/>
              <w:right w:val="single" w:color="auto" w:sz="4" w:space="0"/>
            </w:tcBorders>
            <w:shd w:val="clear" w:color="auto" w:fill="auto"/>
            <w:vAlign w:val="center"/>
          </w:tcPr>
          <w:p w14:paraId="1B858746">
            <w:pPr>
              <w:widowControl/>
              <w:jc w:val="left"/>
              <w:rPr>
                <w:rFonts w:ascii="宋体" w:hAnsi="宋体" w:cs="宋体"/>
                <w:color w:val="000000"/>
                <w:kern w:val="0"/>
                <w:sz w:val="22"/>
              </w:rPr>
            </w:pPr>
            <w:r>
              <w:rPr>
                <w:rFonts w:hint="eastAsia" w:ascii="宋体" w:hAnsi="宋体" w:cs="宋体"/>
                <w:color w:val="000000"/>
                <w:kern w:val="0"/>
                <w:sz w:val="22"/>
              </w:rPr>
              <w:t>资金到位率（5分）</w:t>
            </w:r>
          </w:p>
        </w:tc>
        <w:tc>
          <w:tcPr>
            <w:tcW w:w="4446" w:type="dxa"/>
            <w:tcBorders>
              <w:top w:val="nil"/>
              <w:left w:val="nil"/>
              <w:bottom w:val="single" w:color="auto" w:sz="4" w:space="0"/>
              <w:right w:val="single" w:color="auto" w:sz="4" w:space="0"/>
            </w:tcBorders>
            <w:shd w:val="clear" w:color="auto" w:fill="auto"/>
            <w:vAlign w:val="center"/>
          </w:tcPr>
          <w:p w14:paraId="642BEC2A">
            <w:pPr>
              <w:widowControl/>
              <w:jc w:val="left"/>
              <w:rPr>
                <w:rFonts w:ascii="宋体" w:hAnsi="宋体" w:cs="宋体"/>
                <w:color w:val="000000"/>
                <w:kern w:val="0"/>
                <w:sz w:val="22"/>
              </w:rPr>
            </w:pPr>
            <w:r>
              <w:rPr>
                <w:rFonts w:hint="eastAsia" w:ascii="宋体" w:hAnsi="宋体" w:cs="宋体"/>
                <w:color w:val="000000"/>
                <w:kern w:val="0"/>
                <w:sz w:val="22"/>
              </w:rPr>
              <w:t>实际到位资金与计划投入资金的比率，用以反映和考核资金落实情况对项目实施的总体保障程度。</w:t>
            </w:r>
          </w:p>
        </w:tc>
        <w:tc>
          <w:tcPr>
            <w:tcW w:w="4002" w:type="dxa"/>
            <w:tcBorders>
              <w:top w:val="nil"/>
              <w:left w:val="nil"/>
              <w:bottom w:val="single" w:color="auto" w:sz="4" w:space="0"/>
              <w:right w:val="single" w:color="auto" w:sz="4" w:space="0"/>
            </w:tcBorders>
            <w:shd w:val="clear" w:color="auto" w:fill="auto"/>
            <w:vAlign w:val="center"/>
          </w:tcPr>
          <w:p w14:paraId="12DC7F0C">
            <w:pPr>
              <w:widowControl/>
              <w:jc w:val="left"/>
              <w:rPr>
                <w:rFonts w:ascii="宋体" w:hAnsi="宋体" w:cs="宋体"/>
                <w:color w:val="000000"/>
                <w:kern w:val="0"/>
                <w:sz w:val="22"/>
              </w:rPr>
            </w:pPr>
            <w:r>
              <w:rPr>
                <w:rFonts w:hint="eastAsia" w:ascii="宋体" w:hAnsi="宋体" w:cs="宋体"/>
                <w:color w:val="000000"/>
                <w:kern w:val="0"/>
                <w:sz w:val="22"/>
              </w:rPr>
              <w:t>预算批复金额106.00万元与预算申报金额160.60万元一致，实际支出资金76.88万元，资金到位率72.53%。</w:t>
            </w:r>
          </w:p>
        </w:tc>
        <w:tc>
          <w:tcPr>
            <w:tcW w:w="714" w:type="dxa"/>
            <w:tcBorders>
              <w:top w:val="nil"/>
              <w:left w:val="nil"/>
              <w:bottom w:val="single" w:color="auto" w:sz="4" w:space="0"/>
              <w:right w:val="single" w:color="auto" w:sz="12" w:space="0"/>
            </w:tcBorders>
            <w:shd w:val="clear" w:color="auto" w:fill="auto"/>
            <w:vAlign w:val="center"/>
          </w:tcPr>
          <w:p w14:paraId="20D6BF8C">
            <w:pPr>
              <w:widowControl/>
              <w:jc w:val="center"/>
              <w:rPr>
                <w:rFonts w:ascii="宋体" w:hAnsi="宋体" w:cs="宋体"/>
                <w:color w:val="000000"/>
                <w:kern w:val="0"/>
                <w:sz w:val="22"/>
              </w:rPr>
            </w:pPr>
            <w:r>
              <w:rPr>
                <w:rFonts w:hint="eastAsia" w:ascii="宋体" w:hAnsi="宋体" w:cs="宋体"/>
                <w:color w:val="000000"/>
                <w:kern w:val="0"/>
                <w:sz w:val="22"/>
              </w:rPr>
              <w:t>3</w:t>
            </w:r>
          </w:p>
        </w:tc>
      </w:tr>
      <w:tr w14:paraId="10F5F5FE">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5DDB9A80">
            <w:pPr>
              <w:widowControl/>
              <w:jc w:val="left"/>
              <w:rPr>
                <w:rFonts w:ascii="宋体" w:hAnsi="宋体"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211EE37F">
            <w:pPr>
              <w:widowControl/>
              <w:jc w:val="left"/>
              <w:rPr>
                <w:rFonts w:ascii="宋体" w:hAnsi="宋体"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2E34AD64">
            <w:pPr>
              <w:widowControl/>
              <w:jc w:val="left"/>
              <w:rPr>
                <w:rFonts w:ascii="宋体" w:hAnsi="宋体" w:cs="宋体"/>
                <w:color w:val="000000"/>
                <w:kern w:val="0"/>
                <w:sz w:val="22"/>
              </w:rPr>
            </w:pPr>
            <w:r>
              <w:rPr>
                <w:rFonts w:hint="eastAsia" w:ascii="宋体" w:hAnsi="宋体" w:cs="宋体"/>
                <w:color w:val="000000"/>
                <w:kern w:val="0"/>
                <w:sz w:val="22"/>
              </w:rPr>
              <w:t>到位及时率（5分）</w:t>
            </w:r>
          </w:p>
        </w:tc>
        <w:tc>
          <w:tcPr>
            <w:tcW w:w="4446" w:type="dxa"/>
            <w:tcBorders>
              <w:top w:val="nil"/>
              <w:left w:val="nil"/>
              <w:bottom w:val="single" w:color="auto" w:sz="4" w:space="0"/>
              <w:right w:val="single" w:color="auto" w:sz="4" w:space="0"/>
            </w:tcBorders>
            <w:shd w:val="clear" w:color="auto" w:fill="auto"/>
            <w:vAlign w:val="center"/>
          </w:tcPr>
          <w:p w14:paraId="1BEE45EE">
            <w:pPr>
              <w:widowControl/>
              <w:jc w:val="left"/>
              <w:rPr>
                <w:rFonts w:ascii="宋体" w:hAnsi="宋体" w:cs="宋体"/>
                <w:color w:val="000000"/>
                <w:kern w:val="0"/>
                <w:sz w:val="22"/>
              </w:rPr>
            </w:pPr>
            <w:r>
              <w:rPr>
                <w:rFonts w:hint="eastAsia" w:ascii="宋体" w:hAnsi="宋体" w:cs="宋体"/>
                <w:color w:val="000000"/>
                <w:kern w:val="0"/>
                <w:sz w:val="22"/>
              </w:rPr>
              <w:t>及时到位资金与应到位资金的比率，用以反映和考核项目资金落实的及时性程度。</w:t>
            </w:r>
          </w:p>
        </w:tc>
        <w:tc>
          <w:tcPr>
            <w:tcW w:w="4002" w:type="dxa"/>
            <w:tcBorders>
              <w:top w:val="nil"/>
              <w:left w:val="nil"/>
              <w:bottom w:val="single" w:color="auto" w:sz="4" w:space="0"/>
              <w:right w:val="single" w:color="auto" w:sz="4" w:space="0"/>
            </w:tcBorders>
            <w:shd w:val="clear" w:color="auto" w:fill="auto"/>
            <w:vAlign w:val="center"/>
          </w:tcPr>
          <w:p w14:paraId="61FD8ADD">
            <w:pPr>
              <w:widowControl/>
              <w:jc w:val="left"/>
              <w:rPr>
                <w:rFonts w:ascii="宋体" w:hAnsi="宋体" w:cs="宋体"/>
                <w:color w:val="000000"/>
                <w:kern w:val="0"/>
                <w:sz w:val="22"/>
              </w:rPr>
            </w:pPr>
            <w:r>
              <w:rPr>
                <w:rFonts w:hint="eastAsia" w:ascii="宋体" w:hAnsi="宋体" w:cs="宋体"/>
                <w:color w:val="000000"/>
                <w:kern w:val="0"/>
                <w:sz w:val="22"/>
              </w:rPr>
              <w:t>及时拨付各基层组织项目资金，资金到位及时率100%</w:t>
            </w:r>
          </w:p>
        </w:tc>
        <w:tc>
          <w:tcPr>
            <w:tcW w:w="714" w:type="dxa"/>
            <w:tcBorders>
              <w:top w:val="nil"/>
              <w:left w:val="nil"/>
              <w:bottom w:val="single" w:color="auto" w:sz="4" w:space="0"/>
              <w:right w:val="single" w:color="auto" w:sz="12" w:space="0"/>
            </w:tcBorders>
            <w:shd w:val="clear" w:color="auto" w:fill="auto"/>
            <w:vAlign w:val="center"/>
          </w:tcPr>
          <w:p w14:paraId="5D9DAB1E">
            <w:pPr>
              <w:widowControl/>
              <w:jc w:val="center"/>
              <w:rPr>
                <w:rFonts w:ascii="宋体" w:hAnsi="宋体" w:cs="宋体"/>
                <w:color w:val="000000"/>
                <w:kern w:val="0"/>
                <w:sz w:val="22"/>
              </w:rPr>
            </w:pPr>
            <w:r>
              <w:rPr>
                <w:rFonts w:hint="eastAsia" w:ascii="宋体" w:hAnsi="宋体" w:cs="宋体"/>
                <w:color w:val="000000"/>
                <w:kern w:val="0"/>
                <w:sz w:val="22"/>
              </w:rPr>
              <w:t>5</w:t>
            </w:r>
          </w:p>
        </w:tc>
      </w:tr>
      <w:tr w14:paraId="6A6CF26D">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45CDD267">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14" w:type="dxa"/>
            <w:tcBorders>
              <w:top w:val="nil"/>
              <w:left w:val="nil"/>
              <w:bottom w:val="single" w:color="auto" w:sz="4" w:space="0"/>
              <w:right w:val="single" w:color="auto" w:sz="12" w:space="0"/>
            </w:tcBorders>
            <w:shd w:val="clear" w:color="auto" w:fill="auto"/>
            <w:vAlign w:val="center"/>
          </w:tcPr>
          <w:p w14:paraId="081E556B">
            <w:pPr>
              <w:widowControl/>
              <w:jc w:val="center"/>
              <w:rPr>
                <w:rFonts w:ascii="宋体" w:hAnsi="宋体" w:cs="宋体"/>
                <w:b/>
                <w:bCs/>
                <w:color w:val="000000"/>
                <w:kern w:val="0"/>
                <w:sz w:val="22"/>
              </w:rPr>
            </w:pPr>
            <w:r>
              <w:rPr>
                <w:rFonts w:hint="eastAsia" w:ascii="宋体" w:hAnsi="宋体" w:cs="宋体"/>
                <w:b/>
                <w:bCs/>
                <w:color w:val="000000"/>
                <w:kern w:val="0"/>
                <w:sz w:val="22"/>
              </w:rPr>
              <w:t>16.0</w:t>
            </w:r>
          </w:p>
        </w:tc>
      </w:tr>
      <w:tr w14:paraId="4EBCD122">
        <w:tblPrEx>
          <w:tblCellMar>
            <w:top w:w="0" w:type="dxa"/>
            <w:left w:w="108" w:type="dxa"/>
            <w:bottom w:w="0" w:type="dxa"/>
            <w:right w:w="108" w:type="dxa"/>
          </w:tblCellMar>
        </w:tblPrEx>
        <w:trPr>
          <w:trHeight w:val="440" w:hRule="atLeast"/>
          <w:jc w:val="center"/>
        </w:trPr>
        <w:tc>
          <w:tcPr>
            <w:tcW w:w="1112" w:type="dxa"/>
            <w:vMerge w:val="restart"/>
            <w:tcBorders>
              <w:top w:val="nil"/>
              <w:left w:val="single" w:color="auto" w:sz="12" w:space="0"/>
              <w:bottom w:val="single" w:color="auto" w:sz="4" w:space="0"/>
              <w:right w:val="single" w:color="auto" w:sz="4" w:space="0"/>
            </w:tcBorders>
            <w:shd w:val="clear" w:color="auto" w:fill="auto"/>
            <w:vAlign w:val="center"/>
          </w:tcPr>
          <w:p w14:paraId="3B3A48E3">
            <w:pPr>
              <w:widowControl/>
              <w:jc w:val="center"/>
              <w:rPr>
                <w:rFonts w:ascii="宋体" w:hAnsi="宋体" w:cs="宋体"/>
                <w:color w:val="000000"/>
                <w:kern w:val="0"/>
                <w:sz w:val="22"/>
              </w:rPr>
            </w:pPr>
            <w:r>
              <w:rPr>
                <w:rFonts w:hint="eastAsia" w:ascii="宋体" w:hAnsi="宋体" w:cs="宋体"/>
                <w:color w:val="000000"/>
                <w:kern w:val="0"/>
                <w:sz w:val="22"/>
              </w:rPr>
              <w:t>二、过程（20分）</w:t>
            </w: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45377EFE">
            <w:pPr>
              <w:widowControl/>
              <w:jc w:val="center"/>
              <w:rPr>
                <w:rFonts w:ascii="宋体" w:hAnsi="宋体" w:cs="宋体"/>
                <w:color w:val="000000"/>
                <w:kern w:val="0"/>
                <w:sz w:val="22"/>
              </w:rPr>
            </w:pPr>
            <w:r>
              <w:rPr>
                <w:rFonts w:hint="eastAsia" w:ascii="宋体" w:hAnsi="宋体" w:cs="宋体"/>
                <w:color w:val="000000"/>
                <w:kern w:val="0"/>
                <w:sz w:val="22"/>
              </w:rPr>
              <w:t>项目管理（10分）</w:t>
            </w:r>
          </w:p>
        </w:tc>
        <w:tc>
          <w:tcPr>
            <w:tcW w:w="2385" w:type="dxa"/>
            <w:tcBorders>
              <w:top w:val="nil"/>
              <w:left w:val="nil"/>
              <w:bottom w:val="single" w:color="auto" w:sz="4" w:space="0"/>
              <w:right w:val="single" w:color="auto" w:sz="4" w:space="0"/>
            </w:tcBorders>
            <w:shd w:val="clear" w:color="auto" w:fill="auto"/>
            <w:vAlign w:val="center"/>
          </w:tcPr>
          <w:p w14:paraId="56C32F31">
            <w:pPr>
              <w:widowControl/>
              <w:jc w:val="left"/>
              <w:rPr>
                <w:rFonts w:ascii="宋体" w:hAnsi="宋体" w:cs="宋体"/>
                <w:color w:val="000000"/>
                <w:kern w:val="0"/>
                <w:sz w:val="22"/>
              </w:rPr>
            </w:pPr>
            <w:r>
              <w:rPr>
                <w:rFonts w:hint="eastAsia" w:ascii="宋体" w:hAnsi="宋体" w:cs="宋体"/>
                <w:color w:val="000000"/>
                <w:kern w:val="0"/>
                <w:sz w:val="22"/>
              </w:rPr>
              <w:t>管理制度健全性（5分）</w:t>
            </w:r>
          </w:p>
        </w:tc>
        <w:tc>
          <w:tcPr>
            <w:tcW w:w="4446" w:type="dxa"/>
            <w:tcBorders>
              <w:top w:val="nil"/>
              <w:left w:val="nil"/>
              <w:bottom w:val="single" w:color="auto" w:sz="4" w:space="0"/>
              <w:right w:val="single" w:color="auto" w:sz="4" w:space="0"/>
            </w:tcBorders>
            <w:shd w:val="clear" w:color="auto" w:fill="auto"/>
            <w:vAlign w:val="center"/>
          </w:tcPr>
          <w:p w14:paraId="638E646C">
            <w:pPr>
              <w:widowControl/>
              <w:jc w:val="left"/>
              <w:rPr>
                <w:rFonts w:ascii="宋体" w:hAnsi="宋体" w:cs="宋体"/>
                <w:color w:val="000000"/>
                <w:kern w:val="0"/>
                <w:sz w:val="22"/>
              </w:rPr>
            </w:pPr>
            <w:r>
              <w:rPr>
                <w:rFonts w:hint="eastAsia" w:ascii="宋体" w:hAnsi="宋体" w:cs="宋体"/>
                <w:color w:val="000000"/>
                <w:kern w:val="0"/>
                <w:sz w:val="22"/>
              </w:rPr>
              <w:t>项目管理制度是否健全，用以反映和考核项目管理制度对项目顺利实施的保障情况。</w:t>
            </w:r>
          </w:p>
        </w:tc>
        <w:tc>
          <w:tcPr>
            <w:tcW w:w="4002" w:type="dxa"/>
            <w:vMerge w:val="restart"/>
            <w:tcBorders>
              <w:top w:val="nil"/>
              <w:left w:val="single" w:color="auto" w:sz="4" w:space="0"/>
              <w:bottom w:val="single" w:color="000000" w:sz="4" w:space="0"/>
              <w:right w:val="single" w:color="auto" w:sz="4" w:space="0"/>
            </w:tcBorders>
            <w:shd w:val="clear" w:color="auto" w:fill="auto"/>
            <w:vAlign w:val="center"/>
          </w:tcPr>
          <w:p w14:paraId="4A78FDA3">
            <w:pPr>
              <w:widowControl/>
              <w:jc w:val="left"/>
              <w:rPr>
                <w:rFonts w:ascii="宋体" w:hAnsi="宋体" w:cs="宋体"/>
                <w:color w:val="000000"/>
                <w:kern w:val="0"/>
                <w:sz w:val="22"/>
              </w:rPr>
            </w:pPr>
            <w:r>
              <w:rPr>
                <w:rFonts w:hint="eastAsia" w:ascii="宋体" w:hAnsi="宋体" w:cs="宋体"/>
                <w:color w:val="000000"/>
                <w:kern w:val="0"/>
                <w:sz w:val="22"/>
              </w:rPr>
              <w:t>项目执行部门建立了良好的工作机制和工作流程并得以有效执行，并由街道建立了项目监督机制和项目考核机制，用于支撑项目顺利实施，项目基础资料齐备。</w:t>
            </w:r>
          </w:p>
        </w:tc>
        <w:tc>
          <w:tcPr>
            <w:tcW w:w="714" w:type="dxa"/>
            <w:tcBorders>
              <w:top w:val="nil"/>
              <w:left w:val="nil"/>
              <w:bottom w:val="single" w:color="auto" w:sz="4" w:space="0"/>
              <w:right w:val="single" w:color="auto" w:sz="12" w:space="0"/>
            </w:tcBorders>
            <w:shd w:val="clear" w:color="auto" w:fill="auto"/>
            <w:vAlign w:val="center"/>
          </w:tcPr>
          <w:p w14:paraId="390AD267">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095B50D6">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2E9431B2">
            <w:pPr>
              <w:widowControl/>
              <w:jc w:val="left"/>
              <w:rPr>
                <w:rFonts w:ascii="宋体" w:hAnsi="宋体"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4C46246F">
            <w:pPr>
              <w:widowControl/>
              <w:jc w:val="left"/>
              <w:rPr>
                <w:rFonts w:ascii="宋体" w:hAnsi="宋体"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1B7BD763">
            <w:pPr>
              <w:widowControl/>
              <w:jc w:val="left"/>
              <w:rPr>
                <w:rFonts w:ascii="宋体" w:hAnsi="宋体" w:cs="宋体"/>
                <w:color w:val="000000"/>
                <w:kern w:val="0"/>
                <w:sz w:val="22"/>
              </w:rPr>
            </w:pPr>
            <w:r>
              <w:rPr>
                <w:rFonts w:hint="eastAsia" w:ascii="宋体" w:hAnsi="宋体" w:cs="宋体"/>
                <w:color w:val="000000"/>
                <w:kern w:val="0"/>
                <w:sz w:val="22"/>
              </w:rPr>
              <w:t>管理制度执行有效性 （5分）</w:t>
            </w:r>
          </w:p>
        </w:tc>
        <w:tc>
          <w:tcPr>
            <w:tcW w:w="4446" w:type="dxa"/>
            <w:tcBorders>
              <w:top w:val="nil"/>
              <w:left w:val="nil"/>
              <w:bottom w:val="single" w:color="auto" w:sz="4" w:space="0"/>
              <w:right w:val="single" w:color="auto" w:sz="4" w:space="0"/>
            </w:tcBorders>
            <w:shd w:val="clear" w:color="auto" w:fill="auto"/>
            <w:vAlign w:val="center"/>
          </w:tcPr>
          <w:p w14:paraId="5A2C13FB">
            <w:pPr>
              <w:widowControl/>
              <w:jc w:val="left"/>
              <w:rPr>
                <w:rFonts w:ascii="宋体" w:hAnsi="宋体" w:cs="宋体"/>
                <w:color w:val="000000"/>
                <w:kern w:val="0"/>
                <w:sz w:val="22"/>
              </w:rPr>
            </w:pPr>
            <w:r>
              <w:rPr>
                <w:rFonts w:hint="eastAsia" w:ascii="宋体" w:hAnsi="宋体" w:cs="宋体"/>
                <w:color w:val="000000"/>
                <w:kern w:val="0"/>
                <w:sz w:val="22"/>
              </w:rPr>
              <w:t>项目实施是否符合相关项目管理规定，用以反映和考核项目管理制度的有效执行情况。</w:t>
            </w:r>
          </w:p>
        </w:tc>
        <w:tc>
          <w:tcPr>
            <w:tcW w:w="4002" w:type="dxa"/>
            <w:vMerge w:val="continue"/>
            <w:tcBorders>
              <w:top w:val="nil"/>
              <w:left w:val="single" w:color="auto" w:sz="4" w:space="0"/>
              <w:bottom w:val="single" w:color="000000" w:sz="4" w:space="0"/>
              <w:right w:val="single" w:color="auto" w:sz="4" w:space="0"/>
            </w:tcBorders>
            <w:shd w:val="clear" w:color="auto" w:fill="auto"/>
            <w:vAlign w:val="center"/>
          </w:tcPr>
          <w:p w14:paraId="38522E19">
            <w:pPr>
              <w:widowControl/>
              <w:jc w:val="left"/>
              <w:rPr>
                <w:rFonts w:ascii="宋体" w:hAnsi="宋体" w:cs="宋体"/>
                <w:color w:val="000000"/>
                <w:kern w:val="0"/>
                <w:sz w:val="22"/>
              </w:rPr>
            </w:pPr>
          </w:p>
        </w:tc>
        <w:tc>
          <w:tcPr>
            <w:tcW w:w="714" w:type="dxa"/>
            <w:tcBorders>
              <w:top w:val="nil"/>
              <w:left w:val="nil"/>
              <w:bottom w:val="single" w:color="auto" w:sz="4" w:space="0"/>
              <w:right w:val="single" w:color="auto" w:sz="12" w:space="0"/>
            </w:tcBorders>
            <w:shd w:val="clear" w:color="auto" w:fill="auto"/>
            <w:vAlign w:val="center"/>
          </w:tcPr>
          <w:p w14:paraId="2059C389">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3573A657">
        <w:tblPrEx>
          <w:tblCellMar>
            <w:top w:w="0" w:type="dxa"/>
            <w:left w:w="108" w:type="dxa"/>
            <w:bottom w:w="0" w:type="dxa"/>
            <w:right w:w="108" w:type="dxa"/>
          </w:tblCellMar>
        </w:tblPrEx>
        <w:trPr>
          <w:trHeight w:val="66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28D09CE4">
            <w:pPr>
              <w:widowControl/>
              <w:jc w:val="left"/>
              <w:rPr>
                <w:rFonts w:ascii="宋体" w:hAnsi="宋体" w:cs="宋体"/>
                <w:color w:val="000000"/>
                <w:kern w:val="0"/>
                <w:sz w:val="22"/>
              </w:rPr>
            </w:pP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5B815A47">
            <w:pPr>
              <w:widowControl/>
              <w:jc w:val="center"/>
              <w:rPr>
                <w:rFonts w:ascii="宋体" w:hAnsi="宋体" w:cs="宋体"/>
                <w:color w:val="000000"/>
                <w:kern w:val="0"/>
                <w:sz w:val="22"/>
              </w:rPr>
            </w:pPr>
            <w:r>
              <w:rPr>
                <w:rFonts w:hint="eastAsia" w:ascii="宋体" w:hAnsi="宋体" w:cs="宋体"/>
                <w:color w:val="000000"/>
                <w:kern w:val="0"/>
                <w:sz w:val="22"/>
              </w:rPr>
              <w:t>财务管理（10分）</w:t>
            </w:r>
          </w:p>
        </w:tc>
        <w:tc>
          <w:tcPr>
            <w:tcW w:w="2385" w:type="dxa"/>
            <w:tcBorders>
              <w:top w:val="nil"/>
              <w:left w:val="nil"/>
              <w:bottom w:val="single" w:color="auto" w:sz="4" w:space="0"/>
              <w:right w:val="single" w:color="auto" w:sz="4" w:space="0"/>
            </w:tcBorders>
            <w:shd w:val="clear" w:color="auto" w:fill="auto"/>
            <w:vAlign w:val="center"/>
          </w:tcPr>
          <w:p w14:paraId="477286CC">
            <w:pPr>
              <w:widowControl/>
              <w:jc w:val="left"/>
              <w:rPr>
                <w:rFonts w:ascii="宋体" w:hAnsi="宋体" w:cs="宋体"/>
                <w:color w:val="000000"/>
                <w:kern w:val="0"/>
                <w:sz w:val="22"/>
              </w:rPr>
            </w:pPr>
            <w:r>
              <w:rPr>
                <w:rFonts w:hint="eastAsia" w:ascii="宋体" w:hAnsi="宋体" w:cs="宋体"/>
                <w:color w:val="000000"/>
                <w:kern w:val="0"/>
                <w:sz w:val="22"/>
              </w:rPr>
              <w:t>财务制度健全性（5分）</w:t>
            </w:r>
          </w:p>
        </w:tc>
        <w:tc>
          <w:tcPr>
            <w:tcW w:w="4446" w:type="dxa"/>
            <w:tcBorders>
              <w:top w:val="nil"/>
              <w:left w:val="nil"/>
              <w:bottom w:val="single" w:color="auto" w:sz="4" w:space="0"/>
              <w:right w:val="single" w:color="auto" w:sz="4" w:space="0"/>
            </w:tcBorders>
            <w:shd w:val="clear" w:color="auto" w:fill="auto"/>
            <w:vAlign w:val="center"/>
          </w:tcPr>
          <w:p w14:paraId="4AFBE174">
            <w:pPr>
              <w:widowControl/>
              <w:jc w:val="left"/>
              <w:rPr>
                <w:rFonts w:ascii="宋体" w:hAnsi="宋体" w:cs="宋体"/>
                <w:color w:val="000000"/>
                <w:kern w:val="0"/>
                <w:sz w:val="22"/>
              </w:rPr>
            </w:pPr>
            <w:r>
              <w:rPr>
                <w:rFonts w:hint="eastAsia" w:ascii="宋体" w:hAnsi="宋体" w:cs="宋体"/>
                <w:color w:val="000000"/>
                <w:kern w:val="0"/>
                <w:sz w:val="22"/>
              </w:rPr>
              <w:t>项目实施单位的财务制度是否健全，用以反映和考核财务管理制度对资金规范、安全运行的保障情况。</w:t>
            </w:r>
          </w:p>
        </w:tc>
        <w:tc>
          <w:tcPr>
            <w:tcW w:w="4002" w:type="dxa"/>
            <w:vMerge w:val="restart"/>
            <w:tcBorders>
              <w:top w:val="nil"/>
              <w:left w:val="single" w:color="auto" w:sz="4" w:space="0"/>
              <w:bottom w:val="single" w:color="000000" w:sz="4" w:space="0"/>
              <w:right w:val="single" w:color="auto" w:sz="4" w:space="0"/>
            </w:tcBorders>
            <w:shd w:val="clear" w:color="auto" w:fill="auto"/>
            <w:vAlign w:val="center"/>
          </w:tcPr>
          <w:p w14:paraId="68A2355A">
            <w:pPr>
              <w:widowControl/>
              <w:jc w:val="left"/>
              <w:rPr>
                <w:rFonts w:hint="eastAsia" w:ascii="宋体" w:hAnsi="宋体" w:cs="宋体"/>
                <w:color w:val="000000"/>
                <w:kern w:val="0"/>
                <w:sz w:val="22"/>
              </w:rPr>
            </w:pPr>
            <w:r>
              <w:rPr>
                <w:rFonts w:hint="eastAsia" w:ascii="宋体" w:hAnsi="宋体" w:cs="宋体"/>
                <w:color w:val="000000"/>
                <w:kern w:val="0"/>
                <w:sz w:val="22"/>
              </w:rPr>
              <w:t>制订了严格的财务管理措施，尤其对各项经费的开支明确了授权和审核、签批流程，每项支出均有迹可循。</w:t>
            </w:r>
          </w:p>
          <w:p w14:paraId="1C115698">
            <w:pPr>
              <w:widowControl/>
              <w:jc w:val="left"/>
              <w:rPr>
                <w:rFonts w:ascii="宋体" w:hAnsi="宋体" w:cs="宋体"/>
                <w:color w:val="000000"/>
                <w:kern w:val="0"/>
                <w:sz w:val="22"/>
              </w:rPr>
            </w:pPr>
            <w:r>
              <w:rPr>
                <w:rFonts w:hint="eastAsia" w:ascii="宋体" w:hAnsi="宋体" w:cs="宋体"/>
                <w:color w:val="000000"/>
                <w:kern w:val="0"/>
                <w:sz w:val="22"/>
              </w:rPr>
              <w:t>会计账簿中重要支出事项原始单据或记录手续齐全，单证规范，标准相符，财务把关严格，会计核算准确、完整。</w:t>
            </w:r>
          </w:p>
        </w:tc>
        <w:tc>
          <w:tcPr>
            <w:tcW w:w="714" w:type="dxa"/>
            <w:tcBorders>
              <w:top w:val="nil"/>
              <w:left w:val="nil"/>
              <w:bottom w:val="single" w:color="auto" w:sz="4" w:space="0"/>
              <w:right w:val="single" w:color="auto" w:sz="12" w:space="0"/>
            </w:tcBorders>
            <w:shd w:val="clear" w:color="auto" w:fill="auto"/>
            <w:vAlign w:val="center"/>
          </w:tcPr>
          <w:p w14:paraId="62DB48DB">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06DB90FF">
        <w:tblPrEx>
          <w:tblCellMar>
            <w:top w:w="0" w:type="dxa"/>
            <w:left w:w="108" w:type="dxa"/>
            <w:bottom w:w="0" w:type="dxa"/>
            <w:right w:w="108" w:type="dxa"/>
          </w:tblCellMar>
        </w:tblPrEx>
        <w:trPr>
          <w:trHeight w:val="66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674E1056">
            <w:pPr>
              <w:widowControl/>
              <w:jc w:val="left"/>
              <w:rPr>
                <w:rFonts w:ascii="宋体" w:hAnsi="宋体"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006B5F6F">
            <w:pPr>
              <w:widowControl/>
              <w:jc w:val="left"/>
              <w:rPr>
                <w:rFonts w:ascii="宋体" w:hAnsi="宋体"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6155552C">
            <w:pPr>
              <w:widowControl/>
              <w:jc w:val="left"/>
              <w:rPr>
                <w:rFonts w:ascii="宋体" w:hAnsi="宋体" w:cs="宋体"/>
                <w:color w:val="000000"/>
                <w:kern w:val="0"/>
                <w:sz w:val="22"/>
              </w:rPr>
            </w:pPr>
            <w:r>
              <w:rPr>
                <w:rFonts w:hint="eastAsia" w:ascii="宋体" w:hAnsi="宋体" w:cs="宋体"/>
                <w:color w:val="000000"/>
                <w:kern w:val="0"/>
                <w:sz w:val="22"/>
              </w:rPr>
              <w:t>财务制度执行有效性 （5分）</w:t>
            </w:r>
          </w:p>
        </w:tc>
        <w:tc>
          <w:tcPr>
            <w:tcW w:w="4446" w:type="dxa"/>
            <w:tcBorders>
              <w:top w:val="nil"/>
              <w:left w:val="nil"/>
              <w:bottom w:val="single" w:color="auto" w:sz="4" w:space="0"/>
              <w:right w:val="single" w:color="auto" w:sz="4" w:space="0"/>
            </w:tcBorders>
            <w:shd w:val="clear" w:color="auto" w:fill="auto"/>
            <w:vAlign w:val="center"/>
          </w:tcPr>
          <w:p w14:paraId="111FBF7A">
            <w:pPr>
              <w:widowControl/>
              <w:jc w:val="left"/>
              <w:rPr>
                <w:rFonts w:ascii="宋体" w:hAnsi="宋体" w:cs="宋体"/>
                <w:color w:val="000000"/>
                <w:kern w:val="0"/>
                <w:sz w:val="22"/>
              </w:rPr>
            </w:pPr>
            <w:r>
              <w:rPr>
                <w:rFonts w:hint="eastAsia" w:ascii="宋体" w:hAnsi="宋体" w:cs="宋体"/>
                <w:color w:val="000000"/>
                <w:kern w:val="0"/>
                <w:sz w:val="22"/>
              </w:rPr>
              <w:t>项目资金使用和监管是否符合相关的财务管理制度规定，用以反映和考核项目资金的规范运行和安全保障情况。</w:t>
            </w:r>
          </w:p>
        </w:tc>
        <w:tc>
          <w:tcPr>
            <w:tcW w:w="4002" w:type="dxa"/>
            <w:vMerge w:val="continue"/>
            <w:tcBorders>
              <w:top w:val="nil"/>
              <w:left w:val="single" w:color="auto" w:sz="4" w:space="0"/>
              <w:bottom w:val="single" w:color="000000" w:sz="4" w:space="0"/>
              <w:right w:val="single" w:color="auto" w:sz="4" w:space="0"/>
            </w:tcBorders>
            <w:shd w:val="clear" w:color="auto" w:fill="auto"/>
            <w:vAlign w:val="center"/>
          </w:tcPr>
          <w:p w14:paraId="047FBFCD">
            <w:pPr>
              <w:widowControl/>
              <w:jc w:val="left"/>
              <w:rPr>
                <w:rFonts w:ascii="宋体" w:hAnsi="宋体" w:cs="宋体"/>
                <w:color w:val="000000"/>
                <w:kern w:val="0"/>
                <w:sz w:val="22"/>
              </w:rPr>
            </w:pPr>
          </w:p>
        </w:tc>
        <w:tc>
          <w:tcPr>
            <w:tcW w:w="714" w:type="dxa"/>
            <w:tcBorders>
              <w:top w:val="nil"/>
              <w:left w:val="nil"/>
              <w:bottom w:val="single" w:color="auto" w:sz="4" w:space="0"/>
              <w:right w:val="single" w:color="auto" w:sz="12" w:space="0"/>
            </w:tcBorders>
            <w:shd w:val="clear" w:color="auto" w:fill="auto"/>
            <w:vAlign w:val="center"/>
          </w:tcPr>
          <w:p w14:paraId="1E79C15A">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3D2453AD">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4613C3E8">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14" w:type="dxa"/>
            <w:tcBorders>
              <w:top w:val="nil"/>
              <w:left w:val="nil"/>
              <w:bottom w:val="single" w:color="auto" w:sz="4" w:space="0"/>
              <w:right w:val="single" w:color="auto" w:sz="12" w:space="0"/>
            </w:tcBorders>
            <w:shd w:val="clear" w:color="auto" w:fill="auto"/>
            <w:vAlign w:val="center"/>
          </w:tcPr>
          <w:p w14:paraId="3768FB31">
            <w:pPr>
              <w:widowControl/>
              <w:jc w:val="center"/>
              <w:rPr>
                <w:rFonts w:ascii="宋体" w:hAnsi="宋体" w:cs="宋体"/>
                <w:b/>
                <w:bCs/>
                <w:color w:val="000000"/>
                <w:kern w:val="0"/>
                <w:sz w:val="22"/>
              </w:rPr>
            </w:pPr>
            <w:r>
              <w:rPr>
                <w:rFonts w:hint="eastAsia" w:ascii="宋体" w:hAnsi="宋体" w:cs="宋体"/>
                <w:b/>
                <w:bCs/>
                <w:color w:val="000000"/>
                <w:kern w:val="0"/>
                <w:sz w:val="22"/>
              </w:rPr>
              <w:t>16</w:t>
            </w:r>
          </w:p>
        </w:tc>
      </w:tr>
      <w:tr w14:paraId="1FE52D35">
        <w:tblPrEx>
          <w:tblCellMar>
            <w:top w:w="0" w:type="dxa"/>
            <w:left w:w="108" w:type="dxa"/>
            <w:bottom w:w="0" w:type="dxa"/>
            <w:right w:w="108" w:type="dxa"/>
          </w:tblCellMar>
        </w:tblPrEx>
        <w:trPr>
          <w:trHeight w:val="293" w:hRule="atLeast"/>
          <w:jc w:val="center"/>
        </w:trPr>
        <w:tc>
          <w:tcPr>
            <w:tcW w:w="1112" w:type="dxa"/>
            <w:vMerge w:val="restart"/>
            <w:tcBorders>
              <w:top w:val="nil"/>
              <w:left w:val="single" w:color="auto" w:sz="12" w:space="0"/>
              <w:bottom w:val="single" w:color="auto" w:sz="4" w:space="0"/>
              <w:right w:val="single" w:color="auto" w:sz="4" w:space="0"/>
            </w:tcBorders>
            <w:shd w:val="clear" w:color="auto" w:fill="auto"/>
            <w:vAlign w:val="center"/>
          </w:tcPr>
          <w:p w14:paraId="43FE0353">
            <w:pPr>
              <w:widowControl/>
              <w:jc w:val="center"/>
              <w:rPr>
                <w:rFonts w:ascii="宋体" w:hAnsi="宋体" w:cs="宋体"/>
                <w:color w:val="000000"/>
                <w:kern w:val="0"/>
                <w:sz w:val="22"/>
              </w:rPr>
            </w:pPr>
            <w:r>
              <w:rPr>
                <w:rFonts w:hint="eastAsia" w:ascii="宋体" w:hAnsi="宋体" w:cs="宋体"/>
                <w:color w:val="000000"/>
                <w:kern w:val="0"/>
                <w:sz w:val="22"/>
              </w:rPr>
              <w:t>三、产出（30分）</w:t>
            </w:r>
          </w:p>
        </w:tc>
        <w:tc>
          <w:tcPr>
            <w:tcW w:w="1328" w:type="dxa"/>
            <w:vMerge w:val="restart"/>
            <w:tcBorders>
              <w:top w:val="nil"/>
              <w:left w:val="single" w:color="auto" w:sz="4" w:space="0"/>
              <w:bottom w:val="single" w:color="000000" w:sz="4" w:space="0"/>
              <w:right w:val="single" w:color="auto" w:sz="4" w:space="0"/>
            </w:tcBorders>
            <w:shd w:val="clear" w:color="auto" w:fill="auto"/>
            <w:vAlign w:val="center"/>
          </w:tcPr>
          <w:p w14:paraId="2C34CC90">
            <w:pPr>
              <w:widowControl/>
              <w:jc w:val="center"/>
              <w:rPr>
                <w:rFonts w:ascii="宋体" w:hAnsi="宋体" w:cs="宋体"/>
                <w:color w:val="000000"/>
                <w:kern w:val="0"/>
                <w:sz w:val="22"/>
              </w:rPr>
            </w:pPr>
            <w:r>
              <w:rPr>
                <w:rFonts w:hint="eastAsia" w:ascii="宋体" w:hAnsi="宋体" w:cs="宋体"/>
                <w:color w:val="000000"/>
                <w:kern w:val="0"/>
                <w:sz w:val="22"/>
              </w:rPr>
              <w:t>数量指标（15分）</w:t>
            </w:r>
          </w:p>
        </w:tc>
        <w:tc>
          <w:tcPr>
            <w:tcW w:w="2385" w:type="dxa"/>
            <w:tcBorders>
              <w:top w:val="nil"/>
              <w:left w:val="nil"/>
              <w:bottom w:val="single" w:color="auto" w:sz="4" w:space="0"/>
              <w:right w:val="single" w:color="auto" w:sz="4" w:space="0"/>
            </w:tcBorders>
            <w:shd w:val="clear" w:color="auto" w:fill="auto"/>
            <w:vAlign w:val="center"/>
          </w:tcPr>
          <w:p w14:paraId="5F9443A0">
            <w:pPr>
              <w:widowControl/>
              <w:jc w:val="left"/>
              <w:rPr>
                <w:rFonts w:ascii="宋体" w:hAnsi="宋体" w:cs="宋体"/>
                <w:color w:val="000000"/>
                <w:kern w:val="0"/>
                <w:sz w:val="22"/>
              </w:rPr>
            </w:pPr>
            <w:r>
              <w:rPr>
                <w:rFonts w:hint="eastAsia" w:ascii="宋体" w:hAnsi="宋体" w:cs="宋体"/>
                <w:color w:val="000000"/>
                <w:kern w:val="0"/>
                <w:sz w:val="22"/>
              </w:rPr>
              <w:t>资金使用率（4分）</w:t>
            </w:r>
          </w:p>
        </w:tc>
        <w:tc>
          <w:tcPr>
            <w:tcW w:w="4446" w:type="dxa"/>
            <w:tcBorders>
              <w:top w:val="nil"/>
              <w:left w:val="nil"/>
              <w:bottom w:val="single" w:color="auto" w:sz="4" w:space="0"/>
              <w:right w:val="single" w:color="auto" w:sz="4" w:space="0"/>
            </w:tcBorders>
            <w:shd w:val="clear" w:color="auto" w:fill="auto"/>
            <w:vAlign w:val="center"/>
          </w:tcPr>
          <w:p w14:paraId="778ED8FA">
            <w:pPr>
              <w:widowControl/>
              <w:jc w:val="left"/>
              <w:rPr>
                <w:rFonts w:ascii="宋体" w:hAnsi="宋体" w:cs="宋体"/>
                <w:color w:val="000000"/>
                <w:kern w:val="0"/>
                <w:sz w:val="22"/>
              </w:rPr>
            </w:pPr>
            <w:r>
              <w:rPr>
                <w:rFonts w:hint="eastAsia" w:ascii="宋体" w:hAnsi="宋体" w:cs="宋体"/>
                <w:color w:val="000000"/>
                <w:kern w:val="0"/>
                <w:sz w:val="22"/>
              </w:rPr>
              <w:t>资金使用率达到100%</w:t>
            </w:r>
          </w:p>
        </w:tc>
        <w:tc>
          <w:tcPr>
            <w:tcW w:w="4002" w:type="dxa"/>
            <w:tcBorders>
              <w:top w:val="nil"/>
              <w:left w:val="nil"/>
              <w:bottom w:val="single" w:color="auto" w:sz="4" w:space="0"/>
              <w:right w:val="single" w:color="auto" w:sz="4" w:space="0"/>
            </w:tcBorders>
            <w:shd w:val="clear" w:color="auto" w:fill="auto"/>
            <w:vAlign w:val="center"/>
          </w:tcPr>
          <w:p w14:paraId="0DE60E55">
            <w:pPr>
              <w:widowControl/>
              <w:jc w:val="center"/>
              <w:rPr>
                <w:rFonts w:ascii="宋体" w:hAnsi="宋体" w:cs="宋体"/>
                <w:color w:val="000000"/>
                <w:kern w:val="0"/>
                <w:sz w:val="22"/>
              </w:rPr>
            </w:pPr>
            <w:r>
              <w:rPr>
                <w:rFonts w:hint="eastAsia" w:ascii="宋体" w:hAnsi="宋体" w:cs="宋体"/>
                <w:color w:val="000000"/>
                <w:kern w:val="0"/>
                <w:sz w:val="22"/>
              </w:rPr>
              <w:t>72.53%</w:t>
            </w:r>
          </w:p>
        </w:tc>
        <w:tc>
          <w:tcPr>
            <w:tcW w:w="714" w:type="dxa"/>
            <w:tcBorders>
              <w:top w:val="nil"/>
              <w:left w:val="nil"/>
              <w:bottom w:val="single" w:color="auto" w:sz="4" w:space="0"/>
              <w:right w:val="single" w:color="auto" w:sz="12" w:space="0"/>
            </w:tcBorders>
            <w:shd w:val="clear" w:color="auto" w:fill="auto"/>
            <w:vAlign w:val="center"/>
          </w:tcPr>
          <w:p w14:paraId="733036C0">
            <w:pPr>
              <w:widowControl/>
              <w:jc w:val="center"/>
              <w:rPr>
                <w:rFonts w:ascii="宋体" w:hAnsi="宋体" w:cs="宋体"/>
                <w:color w:val="000000"/>
                <w:kern w:val="0"/>
                <w:sz w:val="22"/>
              </w:rPr>
            </w:pPr>
            <w:r>
              <w:rPr>
                <w:rFonts w:hint="eastAsia" w:ascii="宋体" w:hAnsi="宋体" w:cs="宋体"/>
                <w:color w:val="000000"/>
                <w:kern w:val="0"/>
                <w:sz w:val="22"/>
              </w:rPr>
              <w:t>3</w:t>
            </w:r>
          </w:p>
        </w:tc>
      </w:tr>
      <w:tr w14:paraId="127591F4">
        <w:tblPrEx>
          <w:tblCellMar>
            <w:top w:w="0" w:type="dxa"/>
            <w:left w:w="108" w:type="dxa"/>
            <w:bottom w:w="0" w:type="dxa"/>
            <w:right w:w="108" w:type="dxa"/>
          </w:tblCellMar>
        </w:tblPrEx>
        <w:trPr>
          <w:trHeight w:val="282"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12E23BD6">
            <w:pPr>
              <w:widowControl/>
              <w:jc w:val="left"/>
              <w:rPr>
                <w:rFonts w:ascii="宋体" w:hAnsi="宋体"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72DBDDDF">
            <w:pPr>
              <w:widowControl/>
              <w:jc w:val="left"/>
              <w:rPr>
                <w:rFonts w:ascii="宋体" w:hAnsi="宋体"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6EA18E68">
            <w:pPr>
              <w:widowControl/>
              <w:jc w:val="left"/>
              <w:rPr>
                <w:rFonts w:ascii="宋体" w:hAnsi="宋体" w:cs="宋体"/>
                <w:color w:val="000000"/>
                <w:kern w:val="0"/>
                <w:sz w:val="22"/>
              </w:rPr>
            </w:pPr>
            <w:r>
              <w:rPr>
                <w:rFonts w:hint="eastAsia" w:ascii="宋体" w:hAnsi="宋体" w:cs="宋体"/>
                <w:color w:val="000000"/>
                <w:kern w:val="0"/>
                <w:sz w:val="22"/>
              </w:rPr>
              <w:t>基层活动（4分）</w:t>
            </w:r>
          </w:p>
        </w:tc>
        <w:tc>
          <w:tcPr>
            <w:tcW w:w="4446" w:type="dxa"/>
            <w:tcBorders>
              <w:top w:val="nil"/>
              <w:left w:val="nil"/>
              <w:bottom w:val="single" w:color="auto" w:sz="4" w:space="0"/>
              <w:right w:val="single" w:color="auto" w:sz="4" w:space="0"/>
            </w:tcBorders>
            <w:shd w:val="clear" w:color="auto" w:fill="auto"/>
            <w:vAlign w:val="center"/>
          </w:tcPr>
          <w:p w14:paraId="79D02E3F">
            <w:pPr>
              <w:widowControl/>
              <w:jc w:val="left"/>
              <w:rPr>
                <w:rFonts w:ascii="宋体" w:hAnsi="宋体" w:cs="宋体"/>
                <w:color w:val="000000"/>
                <w:kern w:val="0"/>
                <w:sz w:val="22"/>
              </w:rPr>
            </w:pPr>
            <w:r>
              <w:rPr>
                <w:rFonts w:hint="eastAsia" w:ascii="宋体" w:hAnsi="宋体" w:cs="宋体"/>
                <w:color w:val="000000"/>
                <w:kern w:val="0"/>
                <w:sz w:val="22"/>
              </w:rPr>
              <w:t>基层组织活动（包括村级党群活动）18次</w:t>
            </w:r>
          </w:p>
        </w:tc>
        <w:tc>
          <w:tcPr>
            <w:tcW w:w="4002" w:type="dxa"/>
            <w:tcBorders>
              <w:top w:val="nil"/>
              <w:left w:val="nil"/>
              <w:bottom w:val="single" w:color="auto" w:sz="4" w:space="0"/>
              <w:right w:val="single" w:color="auto" w:sz="4" w:space="0"/>
            </w:tcBorders>
            <w:shd w:val="clear" w:color="auto" w:fill="auto"/>
            <w:vAlign w:val="center"/>
          </w:tcPr>
          <w:p w14:paraId="20C442FE">
            <w:pPr>
              <w:widowControl/>
              <w:jc w:val="center"/>
              <w:rPr>
                <w:rFonts w:ascii="宋体" w:hAnsi="宋体" w:cs="宋体"/>
                <w:color w:val="000000"/>
                <w:kern w:val="0"/>
                <w:sz w:val="22"/>
              </w:rPr>
            </w:pPr>
            <w:r>
              <w:rPr>
                <w:rFonts w:hint="eastAsia" w:ascii="宋体" w:hAnsi="宋体" w:cs="宋体"/>
                <w:color w:val="000000"/>
                <w:kern w:val="0"/>
                <w:sz w:val="22"/>
              </w:rPr>
              <w:t>18次</w:t>
            </w:r>
          </w:p>
        </w:tc>
        <w:tc>
          <w:tcPr>
            <w:tcW w:w="714" w:type="dxa"/>
            <w:tcBorders>
              <w:top w:val="nil"/>
              <w:left w:val="nil"/>
              <w:bottom w:val="single" w:color="auto" w:sz="4" w:space="0"/>
              <w:right w:val="single" w:color="auto" w:sz="12" w:space="0"/>
            </w:tcBorders>
            <w:shd w:val="clear" w:color="auto" w:fill="auto"/>
            <w:vAlign w:val="center"/>
          </w:tcPr>
          <w:p w14:paraId="5D320387">
            <w:pPr>
              <w:widowControl/>
              <w:jc w:val="center"/>
              <w:rPr>
                <w:rFonts w:ascii="宋体" w:hAnsi="宋体" w:cs="宋体"/>
                <w:color w:val="000000"/>
                <w:kern w:val="0"/>
                <w:sz w:val="22"/>
              </w:rPr>
            </w:pPr>
            <w:r>
              <w:rPr>
                <w:rFonts w:hint="eastAsia" w:ascii="宋体" w:hAnsi="宋体" w:cs="宋体"/>
                <w:color w:val="000000"/>
                <w:kern w:val="0"/>
                <w:sz w:val="22"/>
              </w:rPr>
              <w:t>4</w:t>
            </w:r>
          </w:p>
        </w:tc>
      </w:tr>
      <w:tr w14:paraId="07DAE787">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674EF241">
            <w:pPr>
              <w:widowControl/>
              <w:jc w:val="left"/>
              <w:rPr>
                <w:rFonts w:ascii="宋体" w:hAnsi="宋体"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5BA23546">
            <w:pPr>
              <w:widowControl/>
              <w:jc w:val="left"/>
              <w:rPr>
                <w:rFonts w:ascii="宋体" w:hAnsi="宋体"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1F3EC2F6">
            <w:pPr>
              <w:widowControl/>
              <w:jc w:val="left"/>
              <w:rPr>
                <w:rFonts w:hint="eastAsia" w:ascii="宋体" w:hAnsi="宋体" w:cs="宋体"/>
                <w:color w:val="000000"/>
                <w:kern w:val="0"/>
                <w:sz w:val="22"/>
              </w:rPr>
            </w:pPr>
            <w:r>
              <w:rPr>
                <w:rFonts w:hint="eastAsia" w:ascii="宋体" w:hAnsi="宋体" w:cs="宋体"/>
                <w:color w:val="000000"/>
                <w:kern w:val="0"/>
                <w:sz w:val="22"/>
              </w:rPr>
              <w:t>基层团组织活动（4分）</w:t>
            </w:r>
          </w:p>
        </w:tc>
        <w:tc>
          <w:tcPr>
            <w:tcW w:w="4446" w:type="dxa"/>
            <w:tcBorders>
              <w:top w:val="nil"/>
              <w:left w:val="nil"/>
              <w:bottom w:val="single" w:color="auto" w:sz="4" w:space="0"/>
              <w:right w:val="single" w:color="auto" w:sz="4" w:space="0"/>
            </w:tcBorders>
            <w:shd w:val="clear" w:color="auto" w:fill="auto"/>
            <w:vAlign w:val="center"/>
          </w:tcPr>
          <w:p w14:paraId="7EB76625">
            <w:pPr>
              <w:widowControl/>
              <w:jc w:val="left"/>
              <w:rPr>
                <w:rFonts w:hint="eastAsia" w:ascii="宋体" w:hAnsi="宋体" w:cs="宋体"/>
                <w:color w:val="000000"/>
                <w:kern w:val="0"/>
                <w:sz w:val="22"/>
              </w:rPr>
            </w:pPr>
            <w:r>
              <w:rPr>
                <w:rFonts w:hint="eastAsia" w:ascii="宋体" w:hAnsi="宋体" w:cs="宋体"/>
                <w:color w:val="000000"/>
                <w:kern w:val="0"/>
                <w:sz w:val="22"/>
              </w:rPr>
              <w:t>建设6个青少年空间</w:t>
            </w:r>
          </w:p>
        </w:tc>
        <w:tc>
          <w:tcPr>
            <w:tcW w:w="4002" w:type="dxa"/>
            <w:tcBorders>
              <w:top w:val="nil"/>
              <w:left w:val="nil"/>
              <w:bottom w:val="single" w:color="auto" w:sz="4" w:space="0"/>
              <w:right w:val="single" w:color="auto" w:sz="4" w:space="0"/>
            </w:tcBorders>
            <w:shd w:val="clear" w:color="auto" w:fill="auto"/>
            <w:vAlign w:val="center"/>
          </w:tcPr>
          <w:p w14:paraId="2F3D6793">
            <w:pPr>
              <w:widowControl/>
              <w:jc w:val="center"/>
              <w:rPr>
                <w:rFonts w:hint="eastAsia" w:ascii="宋体" w:hAnsi="宋体" w:cs="宋体"/>
                <w:color w:val="000000"/>
                <w:kern w:val="0"/>
                <w:sz w:val="22"/>
              </w:rPr>
            </w:pPr>
            <w:r>
              <w:rPr>
                <w:rFonts w:hint="eastAsia" w:ascii="宋体" w:hAnsi="宋体" w:cs="宋体"/>
                <w:color w:val="000000"/>
                <w:kern w:val="0"/>
                <w:sz w:val="22"/>
              </w:rPr>
              <w:t>6个</w:t>
            </w:r>
          </w:p>
        </w:tc>
        <w:tc>
          <w:tcPr>
            <w:tcW w:w="714" w:type="dxa"/>
            <w:tcBorders>
              <w:top w:val="nil"/>
              <w:left w:val="nil"/>
              <w:bottom w:val="single" w:color="auto" w:sz="4" w:space="0"/>
              <w:right w:val="single" w:color="auto" w:sz="12" w:space="0"/>
            </w:tcBorders>
            <w:shd w:val="clear" w:color="auto" w:fill="auto"/>
            <w:vAlign w:val="center"/>
          </w:tcPr>
          <w:p w14:paraId="32EE39B8">
            <w:pPr>
              <w:widowControl/>
              <w:jc w:val="center"/>
              <w:rPr>
                <w:rFonts w:hint="eastAsia" w:ascii="宋体" w:hAnsi="宋体" w:cs="宋体"/>
                <w:color w:val="000000"/>
                <w:kern w:val="0"/>
                <w:sz w:val="22"/>
              </w:rPr>
            </w:pPr>
            <w:r>
              <w:rPr>
                <w:rFonts w:hint="eastAsia" w:ascii="宋体" w:hAnsi="宋体" w:cs="宋体"/>
                <w:color w:val="000000"/>
                <w:kern w:val="0"/>
                <w:sz w:val="22"/>
              </w:rPr>
              <w:t>4</w:t>
            </w:r>
          </w:p>
        </w:tc>
      </w:tr>
      <w:tr w14:paraId="0B9A88BE">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33022E97">
            <w:pPr>
              <w:widowControl/>
              <w:jc w:val="left"/>
              <w:rPr>
                <w:rFonts w:ascii="宋体" w:hAnsi="宋体" w:cs="宋体"/>
                <w:color w:val="000000"/>
                <w:kern w:val="0"/>
                <w:sz w:val="22"/>
              </w:rPr>
            </w:pPr>
          </w:p>
        </w:tc>
        <w:tc>
          <w:tcPr>
            <w:tcW w:w="1328" w:type="dxa"/>
            <w:vMerge w:val="continue"/>
            <w:tcBorders>
              <w:top w:val="nil"/>
              <w:left w:val="single" w:color="auto" w:sz="4" w:space="0"/>
              <w:bottom w:val="single" w:color="000000" w:sz="4" w:space="0"/>
              <w:right w:val="single" w:color="auto" w:sz="4" w:space="0"/>
            </w:tcBorders>
            <w:shd w:val="clear" w:color="auto" w:fill="auto"/>
            <w:vAlign w:val="center"/>
          </w:tcPr>
          <w:p w14:paraId="63B2756B">
            <w:pPr>
              <w:widowControl/>
              <w:jc w:val="left"/>
              <w:rPr>
                <w:rFonts w:ascii="宋体" w:hAnsi="宋体" w:cs="宋体"/>
                <w:color w:val="000000"/>
                <w:kern w:val="0"/>
                <w:sz w:val="22"/>
              </w:rPr>
            </w:pPr>
          </w:p>
        </w:tc>
        <w:tc>
          <w:tcPr>
            <w:tcW w:w="2385" w:type="dxa"/>
            <w:tcBorders>
              <w:top w:val="nil"/>
              <w:left w:val="nil"/>
              <w:bottom w:val="single" w:color="auto" w:sz="4" w:space="0"/>
              <w:right w:val="single" w:color="auto" w:sz="4" w:space="0"/>
            </w:tcBorders>
            <w:shd w:val="clear" w:color="auto" w:fill="auto"/>
            <w:vAlign w:val="center"/>
          </w:tcPr>
          <w:p w14:paraId="05F6FAB1">
            <w:pPr>
              <w:widowControl/>
              <w:jc w:val="left"/>
              <w:rPr>
                <w:rFonts w:ascii="宋体" w:hAnsi="宋体" w:cs="宋体"/>
                <w:color w:val="000000"/>
                <w:kern w:val="0"/>
                <w:sz w:val="22"/>
              </w:rPr>
            </w:pPr>
            <w:r>
              <w:rPr>
                <w:rFonts w:hint="eastAsia" w:ascii="宋体" w:hAnsi="宋体" w:cs="宋体"/>
                <w:color w:val="000000"/>
                <w:kern w:val="0"/>
                <w:sz w:val="22"/>
              </w:rPr>
              <w:t>人大代表年度座谈总结会（3分）</w:t>
            </w:r>
          </w:p>
        </w:tc>
        <w:tc>
          <w:tcPr>
            <w:tcW w:w="4446" w:type="dxa"/>
            <w:tcBorders>
              <w:top w:val="nil"/>
              <w:left w:val="nil"/>
              <w:bottom w:val="single" w:color="auto" w:sz="4" w:space="0"/>
              <w:right w:val="single" w:color="auto" w:sz="4" w:space="0"/>
            </w:tcBorders>
            <w:shd w:val="clear" w:color="auto" w:fill="auto"/>
            <w:vAlign w:val="center"/>
          </w:tcPr>
          <w:p w14:paraId="0BB49D11">
            <w:pPr>
              <w:widowControl/>
              <w:jc w:val="left"/>
              <w:rPr>
                <w:rFonts w:ascii="宋体" w:hAnsi="宋体" w:cs="宋体"/>
                <w:color w:val="000000"/>
                <w:kern w:val="0"/>
                <w:sz w:val="22"/>
              </w:rPr>
            </w:pPr>
            <w:r>
              <w:rPr>
                <w:rFonts w:hint="eastAsia" w:ascii="宋体" w:hAnsi="宋体" w:cs="宋体"/>
                <w:color w:val="000000"/>
                <w:kern w:val="0"/>
                <w:sz w:val="22"/>
              </w:rPr>
              <w:t>人大代表年度座谈总结会1次</w:t>
            </w:r>
          </w:p>
        </w:tc>
        <w:tc>
          <w:tcPr>
            <w:tcW w:w="4002" w:type="dxa"/>
            <w:tcBorders>
              <w:top w:val="nil"/>
              <w:left w:val="nil"/>
              <w:bottom w:val="single" w:color="auto" w:sz="4" w:space="0"/>
              <w:right w:val="single" w:color="auto" w:sz="4" w:space="0"/>
            </w:tcBorders>
            <w:shd w:val="clear" w:color="auto" w:fill="auto"/>
            <w:vAlign w:val="center"/>
          </w:tcPr>
          <w:p w14:paraId="37D3F2E2">
            <w:pPr>
              <w:widowControl/>
              <w:jc w:val="center"/>
              <w:rPr>
                <w:rFonts w:ascii="宋体" w:hAnsi="宋体" w:cs="宋体"/>
                <w:color w:val="000000"/>
                <w:kern w:val="0"/>
                <w:sz w:val="22"/>
              </w:rPr>
            </w:pPr>
            <w:r>
              <w:rPr>
                <w:rFonts w:hint="eastAsia" w:ascii="宋体" w:hAnsi="宋体" w:cs="宋体"/>
                <w:color w:val="000000"/>
                <w:kern w:val="0"/>
                <w:sz w:val="22"/>
              </w:rPr>
              <w:t>1次</w:t>
            </w:r>
          </w:p>
        </w:tc>
        <w:tc>
          <w:tcPr>
            <w:tcW w:w="714" w:type="dxa"/>
            <w:tcBorders>
              <w:top w:val="nil"/>
              <w:left w:val="nil"/>
              <w:bottom w:val="single" w:color="auto" w:sz="4" w:space="0"/>
              <w:right w:val="single" w:color="auto" w:sz="12" w:space="0"/>
            </w:tcBorders>
            <w:shd w:val="clear" w:color="auto" w:fill="auto"/>
            <w:vAlign w:val="center"/>
          </w:tcPr>
          <w:p w14:paraId="69DC0F94">
            <w:pPr>
              <w:widowControl/>
              <w:jc w:val="center"/>
              <w:rPr>
                <w:rFonts w:ascii="宋体" w:hAnsi="宋体" w:cs="宋体"/>
                <w:color w:val="000000"/>
                <w:kern w:val="0"/>
                <w:sz w:val="22"/>
              </w:rPr>
            </w:pPr>
            <w:r>
              <w:rPr>
                <w:rFonts w:hint="eastAsia" w:ascii="宋体" w:hAnsi="宋体" w:cs="宋体"/>
                <w:color w:val="000000"/>
                <w:kern w:val="0"/>
                <w:sz w:val="22"/>
              </w:rPr>
              <w:t>3</w:t>
            </w:r>
          </w:p>
        </w:tc>
      </w:tr>
      <w:tr w14:paraId="1C174945">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78698C0B">
            <w:pPr>
              <w:widowControl/>
              <w:jc w:val="left"/>
              <w:rPr>
                <w:rFonts w:ascii="宋体" w:hAnsi="宋体" w:cs="宋体"/>
                <w:color w:val="000000"/>
                <w:kern w:val="0"/>
                <w:sz w:val="22"/>
              </w:rPr>
            </w:pPr>
          </w:p>
        </w:tc>
        <w:tc>
          <w:tcPr>
            <w:tcW w:w="1328" w:type="dxa"/>
            <w:tcBorders>
              <w:top w:val="nil"/>
              <w:left w:val="nil"/>
              <w:bottom w:val="nil"/>
              <w:right w:val="single" w:color="auto" w:sz="4" w:space="0"/>
            </w:tcBorders>
            <w:shd w:val="clear" w:color="auto" w:fill="auto"/>
            <w:vAlign w:val="center"/>
          </w:tcPr>
          <w:p w14:paraId="32C2DA6D">
            <w:pPr>
              <w:widowControl/>
              <w:jc w:val="center"/>
              <w:rPr>
                <w:rFonts w:ascii="宋体" w:hAnsi="宋体" w:cs="宋体"/>
                <w:color w:val="000000"/>
                <w:kern w:val="0"/>
                <w:sz w:val="22"/>
              </w:rPr>
            </w:pPr>
            <w:r>
              <w:rPr>
                <w:rFonts w:hint="eastAsia" w:ascii="宋体" w:hAnsi="宋体" w:cs="宋体"/>
                <w:color w:val="000000"/>
                <w:kern w:val="0"/>
                <w:sz w:val="22"/>
              </w:rPr>
              <w:t>质量指标（10分）</w:t>
            </w:r>
          </w:p>
        </w:tc>
        <w:tc>
          <w:tcPr>
            <w:tcW w:w="2385" w:type="dxa"/>
            <w:tcBorders>
              <w:top w:val="nil"/>
              <w:left w:val="nil"/>
              <w:bottom w:val="single" w:color="auto" w:sz="4" w:space="0"/>
              <w:right w:val="single" w:color="auto" w:sz="4" w:space="0"/>
            </w:tcBorders>
            <w:shd w:val="clear" w:color="auto" w:fill="auto"/>
            <w:vAlign w:val="center"/>
          </w:tcPr>
          <w:p w14:paraId="51205784">
            <w:pPr>
              <w:widowControl/>
              <w:jc w:val="left"/>
              <w:rPr>
                <w:rFonts w:ascii="宋体" w:hAnsi="宋体" w:cs="宋体"/>
                <w:color w:val="000000"/>
                <w:kern w:val="0"/>
                <w:sz w:val="22"/>
              </w:rPr>
            </w:pPr>
            <w:r>
              <w:rPr>
                <w:rFonts w:hint="eastAsia" w:ascii="宋体" w:hAnsi="宋体" w:cs="宋体"/>
                <w:color w:val="000000"/>
                <w:kern w:val="0"/>
                <w:sz w:val="22"/>
              </w:rPr>
              <w:t>基层活动覆盖率（10分）</w:t>
            </w:r>
          </w:p>
        </w:tc>
        <w:tc>
          <w:tcPr>
            <w:tcW w:w="4446" w:type="dxa"/>
            <w:tcBorders>
              <w:top w:val="nil"/>
              <w:left w:val="nil"/>
              <w:bottom w:val="single" w:color="auto" w:sz="4" w:space="0"/>
              <w:right w:val="single" w:color="auto" w:sz="4" w:space="0"/>
            </w:tcBorders>
            <w:shd w:val="clear" w:color="auto" w:fill="auto"/>
            <w:vAlign w:val="center"/>
          </w:tcPr>
          <w:p w14:paraId="01640C6F">
            <w:pPr>
              <w:widowControl/>
              <w:jc w:val="left"/>
              <w:rPr>
                <w:rFonts w:ascii="宋体" w:hAnsi="宋体" w:cs="宋体"/>
                <w:color w:val="000000"/>
                <w:kern w:val="0"/>
                <w:sz w:val="22"/>
              </w:rPr>
            </w:pPr>
            <w:r>
              <w:rPr>
                <w:rFonts w:hint="eastAsia" w:ascii="宋体" w:hAnsi="宋体" w:cs="宋体"/>
                <w:color w:val="000000"/>
                <w:kern w:val="0"/>
                <w:sz w:val="22"/>
              </w:rPr>
              <w:t>基层活动覆盖率100%</w:t>
            </w:r>
          </w:p>
        </w:tc>
        <w:tc>
          <w:tcPr>
            <w:tcW w:w="4002" w:type="dxa"/>
            <w:tcBorders>
              <w:top w:val="nil"/>
              <w:left w:val="nil"/>
              <w:bottom w:val="single" w:color="auto" w:sz="4" w:space="0"/>
              <w:right w:val="single" w:color="auto" w:sz="4" w:space="0"/>
            </w:tcBorders>
            <w:shd w:val="clear" w:color="auto" w:fill="auto"/>
            <w:vAlign w:val="center"/>
          </w:tcPr>
          <w:p w14:paraId="6EDDF05D">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714" w:type="dxa"/>
            <w:tcBorders>
              <w:top w:val="nil"/>
              <w:left w:val="nil"/>
              <w:bottom w:val="single" w:color="auto" w:sz="4" w:space="0"/>
              <w:right w:val="single" w:color="auto" w:sz="12" w:space="0"/>
            </w:tcBorders>
            <w:shd w:val="clear" w:color="auto" w:fill="auto"/>
            <w:vAlign w:val="center"/>
          </w:tcPr>
          <w:p w14:paraId="0CF51B79">
            <w:pPr>
              <w:widowControl/>
              <w:jc w:val="center"/>
              <w:rPr>
                <w:rFonts w:ascii="宋体" w:hAnsi="宋体" w:cs="宋体"/>
                <w:color w:val="000000"/>
                <w:kern w:val="0"/>
                <w:sz w:val="22"/>
              </w:rPr>
            </w:pPr>
            <w:r>
              <w:rPr>
                <w:rFonts w:hint="eastAsia" w:ascii="宋体" w:hAnsi="宋体" w:cs="宋体"/>
                <w:color w:val="000000"/>
                <w:kern w:val="0"/>
                <w:sz w:val="22"/>
              </w:rPr>
              <w:t>10</w:t>
            </w:r>
          </w:p>
        </w:tc>
      </w:tr>
      <w:tr w14:paraId="2F892280">
        <w:tblPrEx>
          <w:tblCellMar>
            <w:top w:w="0" w:type="dxa"/>
            <w:left w:w="108" w:type="dxa"/>
            <w:bottom w:w="0" w:type="dxa"/>
            <w:right w:w="108" w:type="dxa"/>
          </w:tblCellMar>
        </w:tblPrEx>
        <w:trPr>
          <w:trHeight w:val="440" w:hRule="atLeast"/>
          <w:jc w:val="center"/>
        </w:trPr>
        <w:tc>
          <w:tcPr>
            <w:tcW w:w="1112" w:type="dxa"/>
            <w:vMerge w:val="continue"/>
            <w:tcBorders>
              <w:top w:val="nil"/>
              <w:left w:val="single" w:color="auto" w:sz="12" w:space="0"/>
              <w:bottom w:val="single" w:color="auto" w:sz="4" w:space="0"/>
              <w:right w:val="single" w:color="auto" w:sz="4" w:space="0"/>
            </w:tcBorders>
            <w:shd w:val="clear" w:color="auto" w:fill="auto"/>
            <w:vAlign w:val="center"/>
          </w:tcPr>
          <w:p w14:paraId="17EC5A33">
            <w:pPr>
              <w:widowControl/>
              <w:jc w:val="left"/>
              <w:rPr>
                <w:rFonts w:ascii="宋体" w:hAnsi="宋体" w:cs="宋体"/>
                <w:color w:val="000000"/>
                <w:kern w:val="0"/>
                <w:sz w:val="22"/>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7D417CD8">
            <w:pPr>
              <w:widowControl/>
              <w:jc w:val="center"/>
              <w:rPr>
                <w:rFonts w:ascii="宋体" w:hAnsi="宋体" w:cs="宋体"/>
                <w:color w:val="000000"/>
                <w:kern w:val="0"/>
                <w:sz w:val="22"/>
              </w:rPr>
            </w:pPr>
            <w:r>
              <w:rPr>
                <w:rFonts w:hint="eastAsia" w:ascii="宋体" w:hAnsi="宋体" w:cs="宋体"/>
                <w:color w:val="000000"/>
                <w:kern w:val="0"/>
                <w:sz w:val="22"/>
              </w:rPr>
              <w:t>时效指标  （5分）</w:t>
            </w:r>
          </w:p>
        </w:tc>
        <w:tc>
          <w:tcPr>
            <w:tcW w:w="2385" w:type="dxa"/>
            <w:tcBorders>
              <w:top w:val="nil"/>
              <w:left w:val="nil"/>
              <w:bottom w:val="single" w:color="auto" w:sz="4" w:space="0"/>
              <w:right w:val="single" w:color="auto" w:sz="4" w:space="0"/>
            </w:tcBorders>
            <w:shd w:val="clear" w:color="auto" w:fill="auto"/>
            <w:vAlign w:val="center"/>
          </w:tcPr>
          <w:p w14:paraId="0B6906A0">
            <w:pPr>
              <w:widowControl/>
              <w:jc w:val="left"/>
              <w:rPr>
                <w:rFonts w:ascii="宋体" w:hAnsi="宋体" w:cs="宋体"/>
                <w:color w:val="000000"/>
                <w:kern w:val="0"/>
                <w:sz w:val="22"/>
              </w:rPr>
            </w:pPr>
            <w:r>
              <w:rPr>
                <w:rFonts w:hint="eastAsia" w:ascii="宋体" w:hAnsi="宋体" w:cs="宋体"/>
                <w:color w:val="000000"/>
                <w:kern w:val="0"/>
                <w:sz w:val="22"/>
              </w:rPr>
              <w:t>完成及时率（5分）</w:t>
            </w:r>
          </w:p>
        </w:tc>
        <w:tc>
          <w:tcPr>
            <w:tcW w:w="4446" w:type="dxa"/>
            <w:tcBorders>
              <w:top w:val="nil"/>
              <w:left w:val="nil"/>
              <w:bottom w:val="single" w:color="auto" w:sz="4" w:space="0"/>
              <w:right w:val="single" w:color="auto" w:sz="4" w:space="0"/>
            </w:tcBorders>
            <w:shd w:val="clear" w:color="auto" w:fill="auto"/>
            <w:vAlign w:val="center"/>
          </w:tcPr>
          <w:p w14:paraId="2B345B11">
            <w:pPr>
              <w:widowControl/>
              <w:jc w:val="left"/>
              <w:rPr>
                <w:rFonts w:ascii="宋体" w:hAnsi="宋体" w:cs="宋体"/>
                <w:color w:val="000000"/>
                <w:kern w:val="0"/>
                <w:sz w:val="22"/>
              </w:rPr>
            </w:pPr>
            <w:r>
              <w:rPr>
                <w:rFonts w:hint="eastAsia" w:ascii="宋体" w:hAnsi="宋体" w:cs="宋体"/>
                <w:color w:val="000000"/>
                <w:kern w:val="0"/>
                <w:sz w:val="22"/>
              </w:rPr>
              <w:t>项目完成及时性达到100%</w:t>
            </w:r>
          </w:p>
        </w:tc>
        <w:tc>
          <w:tcPr>
            <w:tcW w:w="4002" w:type="dxa"/>
            <w:tcBorders>
              <w:top w:val="nil"/>
              <w:left w:val="nil"/>
              <w:bottom w:val="single" w:color="auto" w:sz="4" w:space="0"/>
              <w:right w:val="single" w:color="auto" w:sz="4" w:space="0"/>
            </w:tcBorders>
            <w:shd w:val="clear" w:color="auto" w:fill="auto"/>
            <w:vAlign w:val="center"/>
          </w:tcPr>
          <w:p w14:paraId="38C6B62F">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714" w:type="dxa"/>
            <w:tcBorders>
              <w:top w:val="nil"/>
              <w:left w:val="nil"/>
              <w:bottom w:val="single" w:color="auto" w:sz="4" w:space="0"/>
              <w:right w:val="single" w:color="auto" w:sz="12" w:space="0"/>
            </w:tcBorders>
            <w:shd w:val="clear" w:color="auto" w:fill="auto"/>
            <w:vAlign w:val="center"/>
          </w:tcPr>
          <w:p w14:paraId="54DEA1B8">
            <w:pPr>
              <w:widowControl/>
              <w:jc w:val="center"/>
              <w:rPr>
                <w:rFonts w:ascii="宋体" w:hAnsi="宋体" w:cs="宋体"/>
                <w:color w:val="000000"/>
                <w:kern w:val="0"/>
                <w:sz w:val="22"/>
              </w:rPr>
            </w:pPr>
            <w:r>
              <w:rPr>
                <w:rFonts w:hint="eastAsia" w:ascii="宋体" w:hAnsi="宋体" w:cs="宋体"/>
                <w:color w:val="000000"/>
                <w:kern w:val="0"/>
                <w:sz w:val="22"/>
              </w:rPr>
              <w:t>5</w:t>
            </w:r>
          </w:p>
        </w:tc>
      </w:tr>
      <w:tr w14:paraId="510C2774">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6470696F">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14" w:type="dxa"/>
            <w:tcBorders>
              <w:top w:val="nil"/>
              <w:left w:val="nil"/>
              <w:bottom w:val="single" w:color="auto" w:sz="4" w:space="0"/>
              <w:right w:val="single" w:color="auto" w:sz="12" w:space="0"/>
            </w:tcBorders>
            <w:shd w:val="clear" w:color="auto" w:fill="auto"/>
            <w:vAlign w:val="center"/>
          </w:tcPr>
          <w:p w14:paraId="21290E66">
            <w:pPr>
              <w:widowControl/>
              <w:jc w:val="center"/>
              <w:rPr>
                <w:rFonts w:ascii="宋体" w:hAnsi="宋体" w:cs="宋体"/>
                <w:b/>
                <w:bCs/>
                <w:color w:val="000000"/>
                <w:kern w:val="0"/>
                <w:sz w:val="22"/>
              </w:rPr>
            </w:pPr>
            <w:r>
              <w:rPr>
                <w:rFonts w:hint="eastAsia" w:ascii="宋体" w:hAnsi="宋体" w:cs="宋体"/>
                <w:b/>
                <w:bCs/>
                <w:color w:val="000000"/>
                <w:kern w:val="0"/>
                <w:sz w:val="22"/>
              </w:rPr>
              <w:t>29</w:t>
            </w:r>
          </w:p>
        </w:tc>
      </w:tr>
      <w:tr w14:paraId="064CF9F1">
        <w:tblPrEx>
          <w:tblCellMar>
            <w:top w:w="0" w:type="dxa"/>
            <w:left w:w="108" w:type="dxa"/>
            <w:bottom w:w="0" w:type="dxa"/>
            <w:right w:w="108" w:type="dxa"/>
          </w:tblCellMar>
        </w:tblPrEx>
        <w:trPr>
          <w:trHeight w:val="1101" w:hRule="atLeast"/>
          <w:jc w:val="center"/>
        </w:trPr>
        <w:tc>
          <w:tcPr>
            <w:tcW w:w="1112" w:type="dxa"/>
            <w:vMerge w:val="restart"/>
            <w:tcBorders>
              <w:top w:val="nil"/>
              <w:left w:val="single" w:color="auto" w:sz="12" w:space="0"/>
              <w:bottom w:val="single" w:color="000000" w:sz="4" w:space="0"/>
              <w:right w:val="single" w:color="auto" w:sz="4" w:space="0"/>
            </w:tcBorders>
            <w:shd w:val="clear" w:color="auto" w:fill="auto"/>
            <w:vAlign w:val="center"/>
          </w:tcPr>
          <w:p w14:paraId="36866819">
            <w:pPr>
              <w:widowControl/>
              <w:jc w:val="center"/>
              <w:rPr>
                <w:rFonts w:ascii="宋体" w:hAnsi="宋体" w:cs="宋体"/>
                <w:color w:val="000000"/>
                <w:kern w:val="0"/>
                <w:sz w:val="22"/>
              </w:rPr>
            </w:pPr>
            <w:r>
              <w:rPr>
                <w:rFonts w:hint="eastAsia" w:ascii="宋体" w:hAnsi="宋体" w:cs="宋体"/>
                <w:color w:val="000000"/>
                <w:kern w:val="0"/>
                <w:sz w:val="22"/>
              </w:rPr>
              <w:t>四、效果（30分）</w:t>
            </w:r>
          </w:p>
        </w:tc>
        <w:tc>
          <w:tcPr>
            <w:tcW w:w="1328" w:type="dxa"/>
            <w:tcBorders>
              <w:top w:val="nil"/>
              <w:left w:val="nil"/>
              <w:bottom w:val="single" w:color="auto" w:sz="4" w:space="0"/>
              <w:right w:val="single" w:color="auto" w:sz="4" w:space="0"/>
            </w:tcBorders>
            <w:shd w:val="clear" w:color="auto" w:fill="auto"/>
            <w:vAlign w:val="center"/>
          </w:tcPr>
          <w:p w14:paraId="0A2DE4BF">
            <w:pPr>
              <w:widowControl/>
              <w:jc w:val="center"/>
              <w:rPr>
                <w:rFonts w:ascii="宋体" w:hAnsi="宋体" w:cs="宋体"/>
                <w:color w:val="000000"/>
                <w:kern w:val="0"/>
                <w:sz w:val="22"/>
              </w:rPr>
            </w:pPr>
            <w:r>
              <w:rPr>
                <w:rFonts w:hint="eastAsia" w:ascii="宋体" w:hAnsi="宋体" w:cs="宋体"/>
                <w:color w:val="000000"/>
                <w:kern w:val="0"/>
                <w:sz w:val="22"/>
              </w:rPr>
              <w:t>社会效益指标 （10分）</w:t>
            </w:r>
          </w:p>
        </w:tc>
        <w:tc>
          <w:tcPr>
            <w:tcW w:w="2385" w:type="dxa"/>
            <w:tcBorders>
              <w:top w:val="nil"/>
              <w:left w:val="nil"/>
              <w:bottom w:val="single" w:color="auto" w:sz="4" w:space="0"/>
              <w:right w:val="single" w:color="auto" w:sz="4" w:space="0"/>
            </w:tcBorders>
            <w:shd w:val="clear" w:color="auto" w:fill="auto"/>
            <w:vAlign w:val="center"/>
          </w:tcPr>
          <w:p w14:paraId="42F6A9EA">
            <w:pPr>
              <w:widowControl/>
              <w:jc w:val="left"/>
              <w:rPr>
                <w:rFonts w:ascii="宋体" w:hAnsi="宋体" w:cs="宋体"/>
                <w:color w:val="000000"/>
                <w:kern w:val="0"/>
                <w:sz w:val="22"/>
              </w:rPr>
            </w:pPr>
            <w:r>
              <w:rPr>
                <w:rFonts w:hint="eastAsia" w:ascii="宋体" w:hAnsi="宋体" w:cs="宋体"/>
                <w:color w:val="000000"/>
                <w:kern w:val="0"/>
                <w:sz w:val="22"/>
              </w:rPr>
              <w:t>促进社会和谐（10分）</w:t>
            </w:r>
          </w:p>
        </w:tc>
        <w:tc>
          <w:tcPr>
            <w:tcW w:w="4446" w:type="dxa"/>
            <w:tcBorders>
              <w:top w:val="nil"/>
              <w:left w:val="nil"/>
              <w:bottom w:val="single" w:color="auto" w:sz="4" w:space="0"/>
              <w:right w:val="single" w:color="auto" w:sz="4" w:space="0"/>
            </w:tcBorders>
            <w:shd w:val="clear" w:color="auto" w:fill="auto"/>
            <w:vAlign w:val="center"/>
          </w:tcPr>
          <w:p w14:paraId="67FC003A">
            <w:pPr>
              <w:widowControl/>
              <w:jc w:val="left"/>
              <w:rPr>
                <w:rFonts w:ascii="宋体" w:hAnsi="宋体" w:cs="宋体"/>
                <w:color w:val="000000"/>
                <w:kern w:val="0"/>
                <w:sz w:val="22"/>
              </w:rPr>
            </w:pPr>
            <w:r>
              <w:rPr>
                <w:rFonts w:hint="eastAsia" w:ascii="宋体" w:hAnsi="宋体" w:cs="宋体"/>
                <w:color w:val="000000"/>
                <w:kern w:val="0"/>
                <w:sz w:val="22"/>
              </w:rPr>
              <w:t>基层服务质量提高</w:t>
            </w:r>
          </w:p>
        </w:tc>
        <w:tc>
          <w:tcPr>
            <w:tcW w:w="4002" w:type="dxa"/>
            <w:tcBorders>
              <w:top w:val="nil"/>
              <w:left w:val="nil"/>
              <w:bottom w:val="single" w:color="auto" w:sz="4" w:space="0"/>
              <w:right w:val="single" w:color="auto" w:sz="4" w:space="0"/>
            </w:tcBorders>
            <w:shd w:val="clear" w:color="auto" w:fill="auto"/>
            <w:vAlign w:val="center"/>
          </w:tcPr>
          <w:p w14:paraId="4E648774">
            <w:pPr>
              <w:widowControl/>
              <w:jc w:val="left"/>
              <w:rPr>
                <w:rFonts w:ascii="宋体" w:hAnsi="宋体" w:cs="宋体"/>
                <w:color w:val="000000"/>
                <w:kern w:val="0"/>
                <w:sz w:val="22"/>
              </w:rPr>
            </w:pPr>
            <w:r>
              <w:rPr>
                <w:rFonts w:hint="eastAsia" w:ascii="宋体" w:hAnsi="宋体" w:cs="宋体"/>
                <w:color w:val="000000"/>
                <w:kern w:val="0"/>
                <w:sz w:val="22"/>
              </w:rPr>
              <w:t>基层党员及群众生活内容丰富多彩，幸福满足感提高，增强了对基层组织的归属感；基层活动的举办增强了基层社区的文化氛围，有利于提升基层党员及群众的综合素质，为基层社区的长治久安打下坚实的基础。</w:t>
            </w:r>
          </w:p>
        </w:tc>
        <w:tc>
          <w:tcPr>
            <w:tcW w:w="714" w:type="dxa"/>
            <w:tcBorders>
              <w:top w:val="nil"/>
              <w:left w:val="nil"/>
              <w:bottom w:val="single" w:color="auto" w:sz="4" w:space="0"/>
              <w:right w:val="single" w:color="auto" w:sz="12" w:space="0"/>
            </w:tcBorders>
            <w:shd w:val="clear" w:color="auto" w:fill="auto"/>
            <w:vAlign w:val="center"/>
          </w:tcPr>
          <w:p w14:paraId="07FC9119">
            <w:pPr>
              <w:widowControl/>
              <w:jc w:val="center"/>
              <w:rPr>
                <w:rFonts w:ascii="宋体" w:hAnsi="宋体" w:cs="宋体"/>
                <w:color w:val="000000"/>
                <w:kern w:val="0"/>
                <w:sz w:val="22"/>
              </w:rPr>
            </w:pPr>
            <w:r>
              <w:rPr>
                <w:rFonts w:hint="eastAsia" w:ascii="宋体" w:hAnsi="宋体" w:cs="宋体"/>
                <w:color w:val="000000"/>
                <w:kern w:val="0"/>
                <w:sz w:val="22"/>
              </w:rPr>
              <w:t>9</w:t>
            </w:r>
          </w:p>
        </w:tc>
      </w:tr>
      <w:tr w14:paraId="6ADB4669">
        <w:tblPrEx>
          <w:tblCellMar>
            <w:top w:w="0" w:type="dxa"/>
            <w:left w:w="108" w:type="dxa"/>
            <w:bottom w:w="0" w:type="dxa"/>
            <w:right w:w="108" w:type="dxa"/>
          </w:tblCellMar>
        </w:tblPrEx>
        <w:trPr>
          <w:trHeight w:val="880" w:hRule="atLeast"/>
          <w:jc w:val="center"/>
        </w:trPr>
        <w:tc>
          <w:tcPr>
            <w:tcW w:w="1112" w:type="dxa"/>
            <w:vMerge w:val="continue"/>
            <w:tcBorders>
              <w:top w:val="nil"/>
              <w:left w:val="single" w:color="auto" w:sz="12" w:space="0"/>
              <w:bottom w:val="single" w:color="000000" w:sz="4" w:space="0"/>
              <w:right w:val="single" w:color="auto" w:sz="4" w:space="0"/>
            </w:tcBorders>
            <w:shd w:val="clear" w:color="auto" w:fill="auto"/>
            <w:vAlign w:val="center"/>
          </w:tcPr>
          <w:p w14:paraId="167CD412">
            <w:pPr>
              <w:widowControl/>
              <w:jc w:val="left"/>
              <w:rPr>
                <w:rFonts w:ascii="宋体" w:hAnsi="宋体" w:cs="宋体"/>
                <w:color w:val="000000"/>
                <w:kern w:val="0"/>
                <w:sz w:val="22"/>
              </w:rPr>
            </w:pPr>
          </w:p>
        </w:tc>
        <w:tc>
          <w:tcPr>
            <w:tcW w:w="1328" w:type="dxa"/>
            <w:tcBorders>
              <w:top w:val="nil"/>
              <w:left w:val="nil"/>
              <w:bottom w:val="single" w:color="auto" w:sz="4" w:space="0"/>
              <w:right w:val="single" w:color="auto" w:sz="4" w:space="0"/>
            </w:tcBorders>
            <w:shd w:val="clear" w:color="auto" w:fill="auto"/>
            <w:vAlign w:val="center"/>
          </w:tcPr>
          <w:p w14:paraId="48D36FCC">
            <w:pPr>
              <w:widowControl/>
              <w:jc w:val="center"/>
              <w:rPr>
                <w:rFonts w:ascii="宋体" w:hAnsi="宋体" w:cs="宋体"/>
                <w:color w:val="000000"/>
                <w:kern w:val="0"/>
                <w:sz w:val="22"/>
              </w:rPr>
            </w:pPr>
            <w:r>
              <w:rPr>
                <w:rFonts w:hint="eastAsia" w:ascii="宋体" w:hAnsi="宋体" w:cs="宋体"/>
                <w:color w:val="000000"/>
                <w:kern w:val="0"/>
                <w:sz w:val="22"/>
              </w:rPr>
              <w:t>可持续影响指标(10分)</w:t>
            </w:r>
          </w:p>
        </w:tc>
        <w:tc>
          <w:tcPr>
            <w:tcW w:w="2385" w:type="dxa"/>
            <w:tcBorders>
              <w:top w:val="nil"/>
              <w:left w:val="nil"/>
              <w:bottom w:val="single" w:color="auto" w:sz="4" w:space="0"/>
              <w:right w:val="single" w:color="auto" w:sz="4" w:space="0"/>
            </w:tcBorders>
            <w:shd w:val="clear" w:color="auto" w:fill="auto"/>
            <w:vAlign w:val="center"/>
          </w:tcPr>
          <w:p w14:paraId="757AEEF8">
            <w:pPr>
              <w:widowControl/>
              <w:jc w:val="left"/>
              <w:rPr>
                <w:rFonts w:ascii="宋体" w:hAnsi="宋体" w:cs="宋体"/>
                <w:color w:val="000000"/>
                <w:kern w:val="0"/>
                <w:sz w:val="22"/>
              </w:rPr>
            </w:pPr>
            <w:r>
              <w:rPr>
                <w:rFonts w:hint="eastAsia" w:ascii="宋体" w:hAnsi="宋体" w:cs="宋体"/>
                <w:color w:val="000000"/>
                <w:kern w:val="0"/>
                <w:sz w:val="22"/>
              </w:rPr>
              <w:t>可持续影响指标（10分）</w:t>
            </w:r>
          </w:p>
        </w:tc>
        <w:tc>
          <w:tcPr>
            <w:tcW w:w="4446" w:type="dxa"/>
            <w:tcBorders>
              <w:top w:val="nil"/>
              <w:left w:val="nil"/>
              <w:bottom w:val="single" w:color="auto" w:sz="4" w:space="0"/>
              <w:right w:val="single" w:color="auto" w:sz="4" w:space="0"/>
            </w:tcBorders>
            <w:shd w:val="clear" w:color="auto" w:fill="auto"/>
            <w:vAlign w:val="center"/>
          </w:tcPr>
          <w:p w14:paraId="015224B5">
            <w:pPr>
              <w:widowControl/>
              <w:jc w:val="left"/>
              <w:rPr>
                <w:rFonts w:ascii="宋体" w:hAnsi="宋体" w:cs="宋体"/>
                <w:color w:val="000000"/>
                <w:kern w:val="0"/>
                <w:sz w:val="22"/>
              </w:rPr>
            </w:pPr>
            <w:r>
              <w:rPr>
                <w:rFonts w:hint="eastAsia" w:ascii="宋体" w:hAnsi="宋体" w:cs="宋体"/>
                <w:color w:val="000000"/>
                <w:kern w:val="0"/>
                <w:sz w:val="22"/>
              </w:rPr>
              <w:t>持续发挥作用</w:t>
            </w:r>
          </w:p>
        </w:tc>
        <w:tc>
          <w:tcPr>
            <w:tcW w:w="4002" w:type="dxa"/>
            <w:tcBorders>
              <w:top w:val="nil"/>
              <w:left w:val="nil"/>
              <w:bottom w:val="single" w:color="auto" w:sz="4" w:space="0"/>
              <w:right w:val="single" w:color="auto" w:sz="4" w:space="0"/>
            </w:tcBorders>
            <w:shd w:val="clear" w:color="auto" w:fill="auto"/>
            <w:vAlign w:val="center"/>
          </w:tcPr>
          <w:p w14:paraId="20143533">
            <w:pPr>
              <w:widowControl/>
              <w:jc w:val="left"/>
              <w:rPr>
                <w:rFonts w:ascii="宋体" w:hAnsi="宋体" w:cs="宋体"/>
                <w:color w:val="000000"/>
                <w:kern w:val="0"/>
                <w:sz w:val="22"/>
              </w:rPr>
            </w:pPr>
            <w:r>
              <w:rPr>
                <w:rFonts w:hint="eastAsia" w:ascii="宋体" w:hAnsi="宋体" w:cs="宋体"/>
                <w:color w:val="000000"/>
                <w:kern w:val="0"/>
                <w:sz w:val="22"/>
              </w:rPr>
              <w:t>项目美誉度较高，基层党员及群众希望基层活动及专题讲座能持续运行下去；项目增强了基层社区的凝聚力，在一定程度上确保了社会稳定，有利于建立良好的社会环境。</w:t>
            </w:r>
          </w:p>
        </w:tc>
        <w:tc>
          <w:tcPr>
            <w:tcW w:w="714" w:type="dxa"/>
            <w:tcBorders>
              <w:top w:val="nil"/>
              <w:left w:val="nil"/>
              <w:bottom w:val="single" w:color="auto" w:sz="4" w:space="0"/>
              <w:right w:val="single" w:color="auto" w:sz="12" w:space="0"/>
            </w:tcBorders>
            <w:shd w:val="clear" w:color="auto" w:fill="auto"/>
            <w:vAlign w:val="center"/>
          </w:tcPr>
          <w:p w14:paraId="15D1BD6D">
            <w:pPr>
              <w:widowControl/>
              <w:jc w:val="center"/>
              <w:rPr>
                <w:rFonts w:ascii="宋体" w:hAnsi="宋体" w:cs="宋体"/>
                <w:color w:val="000000"/>
                <w:kern w:val="0"/>
                <w:sz w:val="22"/>
              </w:rPr>
            </w:pPr>
            <w:r>
              <w:rPr>
                <w:rFonts w:hint="eastAsia" w:ascii="宋体" w:hAnsi="宋体" w:cs="宋体"/>
                <w:color w:val="000000"/>
                <w:kern w:val="0"/>
                <w:sz w:val="22"/>
              </w:rPr>
              <w:t>9</w:t>
            </w:r>
          </w:p>
        </w:tc>
      </w:tr>
      <w:tr w14:paraId="01615988">
        <w:tblPrEx>
          <w:tblCellMar>
            <w:top w:w="0" w:type="dxa"/>
            <w:left w:w="108" w:type="dxa"/>
            <w:bottom w:w="0" w:type="dxa"/>
            <w:right w:w="108" w:type="dxa"/>
          </w:tblCellMar>
        </w:tblPrEx>
        <w:trPr>
          <w:trHeight w:val="660" w:hRule="atLeast"/>
          <w:jc w:val="center"/>
        </w:trPr>
        <w:tc>
          <w:tcPr>
            <w:tcW w:w="1112" w:type="dxa"/>
            <w:vMerge w:val="continue"/>
            <w:tcBorders>
              <w:top w:val="nil"/>
              <w:left w:val="single" w:color="auto" w:sz="12" w:space="0"/>
              <w:bottom w:val="single" w:color="000000" w:sz="4" w:space="0"/>
              <w:right w:val="single" w:color="auto" w:sz="4" w:space="0"/>
            </w:tcBorders>
            <w:shd w:val="clear" w:color="auto" w:fill="auto"/>
            <w:vAlign w:val="center"/>
          </w:tcPr>
          <w:p w14:paraId="134FECDA">
            <w:pPr>
              <w:widowControl/>
              <w:jc w:val="left"/>
              <w:rPr>
                <w:rFonts w:ascii="宋体" w:hAnsi="宋体" w:cs="宋体"/>
                <w:color w:val="000000"/>
                <w:kern w:val="0"/>
                <w:sz w:val="22"/>
              </w:rPr>
            </w:pPr>
          </w:p>
        </w:tc>
        <w:tc>
          <w:tcPr>
            <w:tcW w:w="1328" w:type="dxa"/>
            <w:tcBorders>
              <w:top w:val="nil"/>
              <w:left w:val="nil"/>
              <w:bottom w:val="single" w:color="auto" w:sz="4" w:space="0"/>
              <w:right w:val="single" w:color="auto" w:sz="4" w:space="0"/>
            </w:tcBorders>
            <w:shd w:val="clear" w:color="auto" w:fill="auto"/>
            <w:vAlign w:val="center"/>
          </w:tcPr>
          <w:p w14:paraId="79BF710E">
            <w:pPr>
              <w:widowControl/>
              <w:jc w:val="center"/>
              <w:rPr>
                <w:rFonts w:ascii="宋体" w:hAnsi="宋体" w:cs="宋体"/>
                <w:color w:val="000000"/>
                <w:kern w:val="0"/>
                <w:sz w:val="22"/>
              </w:rPr>
            </w:pPr>
            <w:r>
              <w:rPr>
                <w:rFonts w:hint="eastAsia" w:ascii="宋体" w:hAnsi="宋体" w:cs="宋体"/>
                <w:color w:val="000000"/>
                <w:kern w:val="0"/>
                <w:sz w:val="22"/>
              </w:rPr>
              <w:t>服务对象满意度指标 （10分）</w:t>
            </w:r>
          </w:p>
        </w:tc>
        <w:tc>
          <w:tcPr>
            <w:tcW w:w="2385" w:type="dxa"/>
            <w:tcBorders>
              <w:top w:val="nil"/>
              <w:left w:val="nil"/>
              <w:bottom w:val="single" w:color="auto" w:sz="4" w:space="0"/>
              <w:right w:val="single" w:color="auto" w:sz="4" w:space="0"/>
            </w:tcBorders>
            <w:shd w:val="clear" w:color="auto" w:fill="auto"/>
            <w:vAlign w:val="center"/>
          </w:tcPr>
          <w:p w14:paraId="665AE02D">
            <w:pPr>
              <w:widowControl/>
              <w:jc w:val="left"/>
              <w:rPr>
                <w:rFonts w:ascii="宋体" w:hAnsi="宋体" w:cs="宋体"/>
                <w:color w:val="000000"/>
                <w:kern w:val="0"/>
                <w:sz w:val="22"/>
              </w:rPr>
            </w:pPr>
            <w:r>
              <w:rPr>
                <w:rFonts w:hint="eastAsia" w:ascii="宋体" w:hAnsi="宋体" w:cs="宋体"/>
                <w:color w:val="000000"/>
                <w:kern w:val="0"/>
                <w:sz w:val="22"/>
              </w:rPr>
              <w:t>社会公众或服务对象满意度指标（10分）</w:t>
            </w:r>
          </w:p>
        </w:tc>
        <w:tc>
          <w:tcPr>
            <w:tcW w:w="4446" w:type="dxa"/>
            <w:tcBorders>
              <w:top w:val="nil"/>
              <w:left w:val="nil"/>
              <w:bottom w:val="single" w:color="auto" w:sz="4" w:space="0"/>
              <w:right w:val="single" w:color="auto" w:sz="4" w:space="0"/>
            </w:tcBorders>
            <w:shd w:val="clear" w:color="auto" w:fill="auto"/>
            <w:vAlign w:val="center"/>
          </w:tcPr>
          <w:p w14:paraId="13841C0B">
            <w:pPr>
              <w:widowControl/>
              <w:jc w:val="left"/>
              <w:rPr>
                <w:rFonts w:ascii="宋体" w:hAnsi="宋体" w:cs="宋体"/>
                <w:color w:val="000000"/>
                <w:kern w:val="0"/>
                <w:sz w:val="22"/>
              </w:rPr>
            </w:pPr>
            <w:r>
              <w:rPr>
                <w:rFonts w:hint="eastAsia" w:ascii="宋体" w:hAnsi="宋体" w:cs="宋体"/>
                <w:color w:val="000000"/>
                <w:kern w:val="0"/>
                <w:sz w:val="22"/>
              </w:rPr>
              <w:t>基层党员及群众满意度95%</w:t>
            </w:r>
          </w:p>
        </w:tc>
        <w:tc>
          <w:tcPr>
            <w:tcW w:w="4002" w:type="dxa"/>
            <w:tcBorders>
              <w:top w:val="nil"/>
              <w:left w:val="nil"/>
              <w:bottom w:val="single" w:color="auto" w:sz="4" w:space="0"/>
              <w:right w:val="single" w:color="auto" w:sz="4" w:space="0"/>
            </w:tcBorders>
            <w:shd w:val="clear" w:color="auto" w:fill="auto"/>
            <w:vAlign w:val="center"/>
          </w:tcPr>
          <w:p w14:paraId="6A787B51">
            <w:pPr>
              <w:widowControl/>
              <w:rPr>
                <w:rFonts w:ascii="宋体" w:hAnsi="宋体" w:cs="宋体"/>
                <w:color w:val="000000"/>
                <w:kern w:val="0"/>
                <w:sz w:val="22"/>
              </w:rPr>
            </w:pPr>
            <w:r>
              <w:rPr>
                <w:rFonts w:hint="eastAsia" w:ascii="宋体" w:hAnsi="宋体" w:cs="宋体"/>
                <w:color w:val="000000"/>
                <w:kern w:val="0"/>
                <w:sz w:val="22"/>
              </w:rPr>
              <w:t>基层党员及群众满意度95%</w:t>
            </w:r>
          </w:p>
        </w:tc>
        <w:tc>
          <w:tcPr>
            <w:tcW w:w="714" w:type="dxa"/>
            <w:tcBorders>
              <w:top w:val="nil"/>
              <w:left w:val="nil"/>
              <w:bottom w:val="single" w:color="auto" w:sz="4" w:space="0"/>
              <w:right w:val="single" w:color="auto" w:sz="12" w:space="0"/>
            </w:tcBorders>
            <w:shd w:val="clear" w:color="auto" w:fill="auto"/>
            <w:vAlign w:val="center"/>
          </w:tcPr>
          <w:p w14:paraId="63629769">
            <w:pPr>
              <w:widowControl/>
              <w:jc w:val="center"/>
              <w:rPr>
                <w:rFonts w:ascii="宋体" w:hAnsi="宋体" w:cs="宋体"/>
                <w:color w:val="000000"/>
                <w:kern w:val="0"/>
                <w:sz w:val="22"/>
              </w:rPr>
            </w:pPr>
            <w:r>
              <w:rPr>
                <w:rFonts w:hint="eastAsia" w:ascii="宋体" w:hAnsi="宋体" w:cs="宋体"/>
                <w:color w:val="000000"/>
                <w:kern w:val="0"/>
                <w:sz w:val="22"/>
              </w:rPr>
              <w:t>10</w:t>
            </w:r>
          </w:p>
        </w:tc>
      </w:tr>
      <w:tr w14:paraId="4FAECAA9">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4" w:space="0"/>
              <w:right w:val="single" w:color="000000" w:sz="4" w:space="0"/>
            </w:tcBorders>
            <w:shd w:val="clear" w:color="auto" w:fill="auto"/>
            <w:vAlign w:val="center"/>
          </w:tcPr>
          <w:p w14:paraId="3B306FAD">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14" w:type="dxa"/>
            <w:tcBorders>
              <w:top w:val="nil"/>
              <w:left w:val="nil"/>
              <w:bottom w:val="single" w:color="auto" w:sz="4" w:space="0"/>
              <w:right w:val="single" w:color="auto" w:sz="12" w:space="0"/>
            </w:tcBorders>
            <w:shd w:val="clear" w:color="auto" w:fill="auto"/>
            <w:vAlign w:val="center"/>
          </w:tcPr>
          <w:p w14:paraId="20309B41">
            <w:pPr>
              <w:widowControl/>
              <w:jc w:val="center"/>
              <w:rPr>
                <w:rFonts w:ascii="宋体" w:hAnsi="宋体" w:cs="宋体"/>
                <w:b/>
                <w:bCs/>
                <w:color w:val="000000"/>
                <w:kern w:val="0"/>
                <w:sz w:val="22"/>
              </w:rPr>
            </w:pPr>
            <w:r>
              <w:rPr>
                <w:rFonts w:hint="eastAsia" w:ascii="宋体" w:hAnsi="宋体" w:cs="宋体"/>
                <w:b/>
                <w:bCs/>
                <w:color w:val="000000"/>
                <w:kern w:val="0"/>
                <w:sz w:val="22"/>
              </w:rPr>
              <w:t>28</w:t>
            </w:r>
          </w:p>
        </w:tc>
      </w:tr>
      <w:tr w14:paraId="574BB3D1">
        <w:tblPrEx>
          <w:tblCellMar>
            <w:top w:w="0" w:type="dxa"/>
            <w:left w:w="108" w:type="dxa"/>
            <w:bottom w:w="0" w:type="dxa"/>
            <w:right w:w="108" w:type="dxa"/>
          </w:tblCellMar>
        </w:tblPrEx>
        <w:trPr>
          <w:trHeight w:val="440" w:hRule="atLeast"/>
          <w:jc w:val="center"/>
        </w:trPr>
        <w:tc>
          <w:tcPr>
            <w:tcW w:w="13273" w:type="dxa"/>
            <w:gridSpan w:val="5"/>
            <w:tcBorders>
              <w:top w:val="single" w:color="auto" w:sz="4" w:space="0"/>
              <w:left w:val="single" w:color="auto" w:sz="12" w:space="0"/>
              <w:bottom w:val="single" w:color="auto" w:sz="12" w:space="0"/>
              <w:right w:val="single" w:color="000000" w:sz="4" w:space="0"/>
            </w:tcBorders>
            <w:shd w:val="clear" w:color="auto" w:fill="auto"/>
            <w:vAlign w:val="center"/>
          </w:tcPr>
          <w:p w14:paraId="6755AC1D">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14" w:type="dxa"/>
            <w:tcBorders>
              <w:top w:val="nil"/>
              <w:left w:val="nil"/>
              <w:bottom w:val="single" w:color="auto" w:sz="12" w:space="0"/>
              <w:right w:val="single" w:color="auto" w:sz="12" w:space="0"/>
            </w:tcBorders>
            <w:shd w:val="clear" w:color="auto" w:fill="auto"/>
            <w:vAlign w:val="center"/>
          </w:tcPr>
          <w:p w14:paraId="31E8AB4D">
            <w:pPr>
              <w:widowControl/>
              <w:jc w:val="center"/>
              <w:rPr>
                <w:rFonts w:ascii="宋体" w:hAnsi="宋体" w:cs="宋体"/>
                <w:b/>
                <w:bCs/>
                <w:color w:val="000000"/>
                <w:kern w:val="0"/>
                <w:sz w:val="22"/>
              </w:rPr>
            </w:pPr>
            <w:r>
              <w:rPr>
                <w:rFonts w:hint="eastAsia" w:ascii="宋体" w:hAnsi="宋体" w:cs="宋体"/>
                <w:b/>
                <w:bCs/>
                <w:color w:val="000000"/>
                <w:kern w:val="0"/>
                <w:sz w:val="22"/>
              </w:rPr>
              <w:t>89.0</w:t>
            </w:r>
          </w:p>
        </w:tc>
      </w:tr>
    </w:tbl>
    <w:p w14:paraId="1FF8594B">
      <w:pPr>
        <w:spacing w:line="360" w:lineRule="auto"/>
        <w:ind w:firstLine="560" w:firstLineChars="200"/>
        <w:rPr>
          <w:rFonts w:hint="eastAsia" w:ascii="宋体" w:hAnsi="宋体"/>
          <w:sz w:val="28"/>
        </w:rPr>
      </w:pPr>
    </w:p>
    <w:p w14:paraId="415DA81B">
      <w:pPr>
        <w:widowControl/>
        <w:spacing w:line="600" w:lineRule="exact"/>
        <w:ind w:firstLine="640"/>
        <w:jc w:val="left"/>
        <w:rPr>
          <w:rFonts w:ascii="宋体" w:hAnsi="宋体" w:cs="宋体"/>
          <w:sz w:val="28"/>
          <w:szCs w:val="28"/>
        </w:rPr>
        <w:sectPr>
          <w:pgSz w:w="16838" w:h="11906" w:orient="landscape"/>
          <w:pgMar w:top="1800" w:right="1440" w:bottom="1800" w:left="1440" w:header="851" w:footer="992" w:gutter="0"/>
          <w:cols w:space="425" w:num="1"/>
          <w:docGrid w:type="lines" w:linePitch="312" w:charSpace="0"/>
        </w:sectPr>
      </w:pPr>
    </w:p>
    <w:p w14:paraId="3904ABE0">
      <w:pPr>
        <w:widowControl/>
        <w:spacing w:line="600" w:lineRule="exact"/>
        <w:ind w:firstLine="640"/>
        <w:jc w:val="left"/>
        <w:rPr>
          <w:rFonts w:ascii="宋体" w:hAnsi="宋体" w:cs="宋体"/>
          <w:sz w:val="28"/>
          <w:szCs w:val="28"/>
        </w:rPr>
      </w:pPr>
      <w:r>
        <w:rPr>
          <w:rFonts w:hint="eastAsia" w:ascii="宋体" w:hAnsi="宋体" w:cs="宋体"/>
          <w:sz w:val="28"/>
          <w:szCs w:val="28"/>
        </w:rPr>
        <w:t>根据上表，分析如下：</w:t>
      </w:r>
    </w:p>
    <w:p w14:paraId="51B0F910">
      <w:pPr>
        <w:widowControl/>
        <w:spacing w:line="600" w:lineRule="exact"/>
        <w:ind w:firstLine="641"/>
        <w:jc w:val="left"/>
        <w:outlineLvl w:val="2"/>
        <w:rPr>
          <w:rFonts w:ascii="宋体" w:hAnsi="宋体" w:cs="宋体"/>
          <w:sz w:val="28"/>
          <w:szCs w:val="28"/>
        </w:rPr>
      </w:pPr>
      <w:r>
        <w:rPr>
          <w:rFonts w:hint="eastAsia" w:ascii="宋体" w:hAnsi="宋体" w:cs="宋体"/>
          <w:sz w:val="28"/>
          <w:szCs w:val="28"/>
        </w:rPr>
        <w:t>1、产出目标</w:t>
      </w:r>
    </w:p>
    <w:p w14:paraId="4056AB95">
      <w:pPr>
        <w:widowControl/>
        <w:spacing w:line="600" w:lineRule="exact"/>
        <w:ind w:firstLine="640"/>
        <w:jc w:val="left"/>
        <w:rPr>
          <w:rFonts w:ascii="宋体" w:hAnsi="宋体" w:cs="宋体"/>
          <w:sz w:val="28"/>
          <w:szCs w:val="28"/>
        </w:rPr>
      </w:pPr>
      <w:r>
        <w:rPr>
          <w:rFonts w:hint="eastAsia" w:ascii="宋体" w:hAnsi="宋体" w:cs="宋体"/>
          <w:sz w:val="28"/>
          <w:szCs w:val="28"/>
        </w:rPr>
        <w:t>（1）数量指标</w:t>
      </w:r>
    </w:p>
    <w:p w14:paraId="4064D5A5">
      <w:pPr>
        <w:widowControl/>
        <w:spacing w:line="600" w:lineRule="exact"/>
        <w:ind w:firstLine="640"/>
        <w:jc w:val="left"/>
        <w:rPr>
          <w:rFonts w:ascii="宋体" w:hAnsi="宋体" w:cs="宋体"/>
          <w:sz w:val="28"/>
          <w:szCs w:val="28"/>
        </w:rPr>
      </w:pPr>
      <w:r>
        <w:rPr>
          <w:rFonts w:hint="eastAsia" w:ascii="宋体" w:hAnsi="宋体" w:cs="宋体"/>
          <w:sz w:val="28"/>
          <w:szCs w:val="28"/>
        </w:rPr>
        <w:t>如上表所示，数量指标中各基层组织项目资金使用率为72.53%，未完成目标项目资金使率100.00%的指标，其主要原因为预算编制的不科学性。开展基层活动18次、基层团组织活动建设6个青少年空间及人大代表年度座谈总结会1次。</w:t>
      </w:r>
    </w:p>
    <w:p w14:paraId="45D6186A">
      <w:pPr>
        <w:widowControl/>
        <w:spacing w:line="600" w:lineRule="exact"/>
        <w:ind w:firstLine="640"/>
        <w:jc w:val="left"/>
        <w:rPr>
          <w:rFonts w:ascii="宋体" w:hAnsi="宋体" w:cs="宋体"/>
          <w:sz w:val="28"/>
          <w:szCs w:val="28"/>
        </w:rPr>
      </w:pPr>
      <w:r>
        <w:rPr>
          <w:rFonts w:hint="eastAsia" w:ascii="宋体" w:hAnsi="宋体" w:cs="宋体"/>
          <w:sz w:val="28"/>
          <w:szCs w:val="28"/>
        </w:rPr>
        <w:t>（2）质量指标</w:t>
      </w:r>
    </w:p>
    <w:p w14:paraId="204B76FC">
      <w:pPr>
        <w:widowControl/>
        <w:spacing w:line="600" w:lineRule="exact"/>
        <w:ind w:firstLine="640"/>
        <w:jc w:val="left"/>
        <w:rPr>
          <w:rFonts w:ascii="宋体" w:hAnsi="宋体" w:cs="宋体"/>
          <w:sz w:val="28"/>
          <w:szCs w:val="28"/>
        </w:rPr>
      </w:pPr>
      <w:r>
        <w:rPr>
          <w:rFonts w:hint="eastAsia" w:ascii="宋体" w:hAnsi="宋体" w:cs="宋体"/>
          <w:sz w:val="28"/>
          <w:szCs w:val="28"/>
        </w:rPr>
        <w:t>基层活动覆盖率100.00%。从业务记录及现场抽查情况来看，基层活动活动及专题讲座质量较高，基层党员及群众反响较好，美誉度高。从访问的基层党员及群众的反馈情况来看，希望基层组织继续沿袭这一制度的基层党员及群众数量较多，这也侧面印证了活动的举办是成功的。此外，基层党员及群众在参与此活动的过程中增进了邻里关系，加深了对邻里的了解，利于社区的团结与稳固。</w:t>
      </w:r>
    </w:p>
    <w:p w14:paraId="6935933A">
      <w:pPr>
        <w:widowControl/>
        <w:spacing w:line="600" w:lineRule="exact"/>
        <w:ind w:firstLine="640"/>
        <w:jc w:val="left"/>
        <w:rPr>
          <w:rFonts w:ascii="宋体" w:hAnsi="宋体" w:cs="宋体"/>
          <w:sz w:val="28"/>
          <w:szCs w:val="28"/>
        </w:rPr>
      </w:pPr>
      <w:r>
        <w:rPr>
          <w:rFonts w:hint="eastAsia" w:ascii="宋体" w:hAnsi="宋体" w:cs="宋体"/>
          <w:sz w:val="28"/>
          <w:szCs w:val="28"/>
        </w:rPr>
        <w:t>（3）时效指标</w:t>
      </w:r>
    </w:p>
    <w:p w14:paraId="20C060D4">
      <w:pPr>
        <w:widowControl/>
        <w:spacing w:line="600" w:lineRule="exact"/>
        <w:ind w:firstLine="640"/>
        <w:jc w:val="left"/>
        <w:rPr>
          <w:rFonts w:ascii="宋体" w:hAnsi="宋体" w:cs="宋体"/>
          <w:sz w:val="28"/>
          <w:szCs w:val="28"/>
        </w:rPr>
      </w:pPr>
      <w:r>
        <w:rPr>
          <w:rFonts w:hint="eastAsia" w:ascii="宋体" w:hAnsi="宋体" w:cs="宋体"/>
          <w:sz w:val="28"/>
          <w:szCs w:val="28"/>
        </w:rPr>
        <w:t>通过查看活动举办记录，访谈部分居民，基层活动频次较均匀，项目完成及时性达到100%。</w:t>
      </w:r>
    </w:p>
    <w:p w14:paraId="1813CE64">
      <w:pPr>
        <w:widowControl/>
        <w:spacing w:line="600" w:lineRule="exact"/>
        <w:ind w:firstLine="640"/>
        <w:jc w:val="left"/>
        <w:rPr>
          <w:rFonts w:ascii="宋体" w:hAnsi="宋体" w:cs="宋体"/>
          <w:sz w:val="28"/>
          <w:szCs w:val="28"/>
        </w:rPr>
      </w:pPr>
      <w:r>
        <w:rPr>
          <w:rFonts w:hint="eastAsia" w:ascii="宋体" w:hAnsi="宋体" w:cs="宋体"/>
          <w:sz w:val="28"/>
          <w:szCs w:val="28"/>
        </w:rPr>
        <w:t>2、效果目标</w:t>
      </w:r>
    </w:p>
    <w:p w14:paraId="494D56DB">
      <w:pPr>
        <w:widowControl/>
        <w:spacing w:line="600" w:lineRule="exact"/>
        <w:ind w:firstLine="640"/>
        <w:jc w:val="left"/>
        <w:rPr>
          <w:rFonts w:ascii="宋体" w:hAnsi="宋体" w:cs="宋体"/>
          <w:sz w:val="28"/>
          <w:szCs w:val="28"/>
        </w:rPr>
      </w:pPr>
      <w:r>
        <w:rPr>
          <w:rFonts w:hint="eastAsia" w:ascii="宋体" w:hAnsi="宋体" w:cs="宋体"/>
          <w:sz w:val="28"/>
          <w:szCs w:val="28"/>
        </w:rPr>
        <w:t>（1）社会效益指标</w:t>
      </w:r>
    </w:p>
    <w:p w14:paraId="5C46F107">
      <w:pPr>
        <w:widowControl/>
        <w:spacing w:line="600" w:lineRule="exact"/>
        <w:ind w:firstLine="640"/>
        <w:jc w:val="left"/>
        <w:rPr>
          <w:rFonts w:hint="eastAsia" w:ascii="宋体" w:hAnsi="宋体" w:cs="宋体"/>
          <w:sz w:val="28"/>
          <w:szCs w:val="28"/>
        </w:rPr>
      </w:pPr>
      <w:r>
        <w:rPr>
          <w:rFonts w:hint="eastAsia" w:ascii="宋体" w:hAnsi="宋体" w:cs="宋体"/>
          <w:sz w:val="28"/>
          <w:szCs w:val="28"/>
        </w:rPr>
        <w:t>项目产生了良好的社会效益，基层党员及群众生活内容丰富多彩，幸福满足感提高，增强了对基层社区的归属感；基层活动的举办增强了基层社区的文化氛围，有利于提升基层党员及群众的综合素质，为基层社区的长治久安打下坚实的基础。</w:t>
      </w:r>
    </w:p>
    <w:p w14:paraId="72064C39">
      <w:pPr>
        <w:pStyle w:val="14"/>
        <w:ind w:firstLine="560"/>
        <w:rPr>
          <w:rFonts w:ascii="宋体" w:hAnsi="宋体" w:cs="宋体"/>
          <w:sz w:val="28"/>
          <w:szCs w:val="28"/>
        </w:rPr>
      </w:pPr>
      <w:r>
        <w:rPr>
          <w:rFonts w:hint="eastAsia" w:ascii="宋体" w:hAnsi="宋体" w:cs="宋体"/>
          <w:sz w:val="28"/>
          <w:szCs w:val="28"/>
        </w:rPr>
        <w:t>（2）可持续影响指标</w:t>
      </w:r>
    </w:p>
    <w:p w14:paraId="50460309">
      <w:pPr>
        <w:widowControl/>
        <w:spacing w:line="600" w:lineRule="exact"/>
        <w:ind w:firstLine="640"/>
        <w:jc w:val="left"/>
        <w:rPr>
          <w:rFonts w:hint="eastAsia" w:ascii="宋体" w:hAnsi="宋体" w:cs="宋体"/>
          <w:sz w:val="28"/>
          <w:szCs w:val="28"/>
        </w:rPr>
      </w:pPr>
      <w:r>
        <w:rPr>
          <w:rFonts w:hint="eastAsia" w:ascii="宋体" w:hAnsi="宋体" w:cs="宋体"/>
          <w:sz w:val="28"/>
          <w:szCs w:val="28"/>
        </w:rPr>
        <w:t xml:space="preserve">从对群众的反馈情况来看，项目美誉度较高，基层党员及群众希望基层组织活动及专题讲座能持续运行下去；项目增强了基层社区的凝聚力，在一定程度上确保了社会稳定，有利于建立良好的社会环境。   </w:t>
      </w:r>
    </w:p>
    <w:p w14:paraId="5C29B20E">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（3）社会公众或服务对象满意度指标</w:t>
      </w:r>
    </w:p>
    <w:p w14:paraId="54DD9B76">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社会公众或服务对象满意度为95%，绝大多数基层党员及群众能从基层组织活动及专题讲座中得到一定的收获，并希望以后继续参与其中，少数基层党员及群众对活动反响平平，参与积极性不高。</w:t>
      </w:r>
    </w:p>
    <w:p w14:paraId="45E7B58E">
      <w:pPr>
        <w:spacing w:line="360" w:lineRule="auto"/>
        <w:ind w:firstLine="562" w:firstLineChars="200"/>
        <w:rPr>
          <w:rFonts w:hint="eastAsia" w:ascii="宋体" w:hAnsi="宋体"/>
          <w:b/>
          <w:sz w:val="28"/>
          <w:szCs w:val="28"/>
        </w:rPr>
      </w:pPr>
      <w:r>
        <w:rPr>
          <w:rFonts w:hint="eastAsia" w:ascii="宋体" w:hAnsi="宋体"/>
          <w:b/>
          <w:sz w:val="28"/>
          <w:szCs w:val="28"/>
        </w:rPr>
        <w:t>三、自评结论</w:t>
      </w:r>
    </w:p>
    <w:p w14:paraId="72DAC639">
      <w:pPr>
        <w:spacing w:line="360" w:lineRule="auto"/>
        <w:ind w:firstLine="560" w:firstLineChars="200"/>
        <w:rPr>
          <w:rFonts w:ascii="宋体" w:hAnsi="宋体"/>
          <w:sz w:val="28"/>
          <w:szCs w:val="28"/>
        </w:rPr>
      </w:pPr>
      <w:r>
        <w:rPr>
          <w:rFonts w:hint="eastAsia" w:ascii="宋体" w:hAnsi="宋体"/>
          <w:sz w:val="28"/>
          <w:szCs w:val="28"/>
        </w:rPr>
        <w:t>（一）自评结论</w:t>
      </w:r>
    </w:p>
    <w:p w14:paraId="7ECE9A0B">
      <w:pPr>
        <w:widowControl/>
        <w:spacing w:line="600" w:lineRule="exact"/>
        <w:ind w:firstLine="640"/>
        <w:jc w:val="left"/>
        <w:rPr>
          <w:rFonts w:ascii="宋体" w:hAnsi="宋体" w:cs="宋体"/>
          <w:sz w:val="28"/>
          <w:szCs w:val="28"/>
        </w:rPr>
      </w:pPr>
      <w:r>
        <w:rPr>
          <w:rFonts w:hint="eastAsia" w:ascii="宋体" w:hAnsi="宋体" w:cs="宋体"/>
          <w:sz w:val="28"/>
          <w:szCs w:val="28"/>
        </w:rPr>
        <w:t>经上述分析评价，我们认为：</w:t>
      </w:r>
    </w:p>
    <w:p w14:paraId="34B0D2D2">
      <w:pPr>
        <w:widowControl/>
        <w:spacing w:line="600" w:lineRule="exact"/>
        <w:ind w:firstLine="640"/>
        <w:jc w:val="left"/>
        <w:rPr>
          <w:rFonts w:ascii="宋体" w:hAnsi="宋体" w:cs="宋体"/>
          <w:sz w:val="28"/>
          <w:szCs w:val="28"/>
        </w:rPr>
      </w:pPr>
      <w:r>
        <w:rPr>
          <w:rFonts w:hint="eastAsia" w:ascii="宋体" w:hAnsi="宋体" w:cs="宋体"/>
          <w:sz w:val="28"/>
          <w:szCs w:val="28"/>
        </w:rPr>
        <w:t>2017年度“基层组织经费”项目立项依据较为充分，可行性研究到位，必要性突出，决策规范、高效。</w:t>
      </w:r>
    </w:p>
    <w:p w14:paraId="27C8D53A">
      <w:pPr>
        <w:widowControl/>
        <w:spacing w:line="600" w:lineRule="exact"/>
        <w:ind w:firstLine="640"/>
        <w:jc w:val="left"/>
        <w:rPr>
          <w:rFonts w:ascii="宋体" w:hAnsi="宋体" w:cs="宋体"/>
          <w:sz w:val="28"/>
          <w:szCs w:val="28"/>
        </w:rPr>
      </w:pPr>
      <w:r>
        <w:rPr>
          <w:rFonts w:hint="eastAsia" w:ascii="宋体" w:hAnsi="宋体" w:cs="宋体"/>
          <w:sz w:val="28"/>
          <w:szCs w:val="28"/>
        </w:rPr>
        <w:t>项目严格设计了工作机制和工作流程，有效实施，并通过检查监督进一步确保落实，形成了良好的管理、执行氛围。</w:t>
      </w:r>
    </w:p>
    <w:p w14:paraId="093636F1">
      <w:pPr>
        <w:widowControl/>
        <w:spacing w:line="600" w:lineRule="exact"/>
        <w:ind w:firstLine="640"/>
        <w:jc w:val="left"/>
        <w:rPr>
          <w:rFonts w:ascii="宋体" w:hAnsi="宋体" w:cs="宋体"/>
          <w:sz w:val="28"/>
          <w:szCs w:val="28"/>
        </w:rPr>
      </w:pPr>
      <w:r>
        <w:rPr>
          <w:rFonts w:hint="eastAsia" w:ascii="宋体" w:hAnsi="宋体" w:cs="宋体"/>
          <w:sz w:val="28"/>
          <w:szCs w:val="28"/>
        </w:rPr>
        <w:t>从产出和效果上来看，较好的完成了年初制订的各项项目工作内容，实现了预期效果，取得了很高的用户满意度。但存在少数基层党员及群众活动参与积极性不高的现象。</w:t>
      </w:r>
    </w:p>
    <w:p w14:paraId="74F96837">
      <w:pPr>
        <w:widowControl/>
        <w:spacing w:line="600" w:lineRule="exact"/>
        <w:ind w:firstLine="640"/>
        <w:jc w:val="left"/>
        <w:rPr>
          <w:rFonts w:ascii="宋体" w:hAnsi="宋体" w:cs="宋体"/>
          <w:sz w:val="28"/>
          <w:szCs w:val="28"/>
        </w:rPr>
      </w:pPr>
      <w:r>
        <w:rPr>
          <w:rFonts w:hint="eastAsia" w:ascii="宋体" w:hAnsi="宋体" w:cs="宋体"/>
          <w:sz w:val="28"/>
          <w:szCs w:val="28"/>
        </w:rPr>
        <w:t>综上，项目绩效评价得分89.00分，评价结果为良。</w:t>
      </w:r>
    </w:p>
    <w:p w14:paraId="49BC7942">
      <w:pPr>
        <w:spacing w:line="360" w:lineRule="auto"/>
        <w:ind w:firstLine="560" w:firstLineChars="200"/>
        <w:rPr>
          <w:rFonts w:ascii="宋体" w:hAnsi="宋体"/>
          <w:sz w:val="28"/>
          <w:szCs w:val="28"/>
        </w:rPr>
      </w:pPr>
      <w:r>
        <w:rPr>
          <w:rFonts w:hint="eastAsia" w:ascii="宋体" w:hAnsi="宋体"/>
          <w:sz w:val="28"/>
          <w:szCs w:val="28"/>
        </w:rPr>
        <w:t>（二）主要经验，存在的问题和改进措施</w:t>
      </w:r>
    </w:p>
    <w:p w14:paraId="23360E75">
      <w:pPr>
        <w:widowControl/>
        <w:numPr>
          <w:ilvl w:val="0"/>
          <w:numId w:val="11"/>
        </w:numPr>
        <w:spacing w:line="600" w:lineRule="exact"/>
        <w:ind w:firstLine="640"/>
        <w:jc w:val="left"/>
        <w:rPr>
          <w:rFonts w:ascii="宋体" w:hAnsi="宋体"/>
          <w:sz w:val="28"/>
          <w:szCs w:val="28"/>
        </w:rPr>
      </w:pPr>
      <w:r>
        <w:rPr>
          <w:rFonts w:hint="eastAsia" w:ascii="宋体" w:hAnsi="宋体"/>
          <w:sz w:val="28"/>
          <w:szCs w:val="28"/>
        </w:rPr>
        <w:t>主要经验</w:t>
      </w:r>
    </w:p>
    <w:p w14:paraId="7B5C0E28">
      <w:pPr>
        <w:widowControl/>
        <w:spacing w:line="600" w:lineRule="exact"/>
        <w:ind w:firstLine="560" w:firstLineChars="200"/>
        <w:jc w:val="left"/>
        <w:rPr>
          <w:rFonts w:hint="eastAsia" w:ascii="宋体" w:hAnsi="宋体"/>
          <w:sz w:val="28"/>
          <w:szCs w:val="28"/>
        </w:rPr>
      </w:pPr>
      <w:r>
        <w:rPr>
          <w:rFonts w:hint="eastAsia" w:ascii="宋体" w:hAnsi="宋体"/>
          <w:sz w:val="28"/>
          <w:szCs w:val="28"/>
        </w:rPr>
        <w:t>（1）以服务型基层党组织创建为抓手，以党的群众路线教育实践活动为契机，整合党建资源，深化党建内涵，激发村级活力，构建起了党员争先锋、支部创先进的良好格局。</w:t>
      </w:r>
    </w:p>
    <w:p w14:paraId="1FA06A38">
      <w:pPr>
        <w:widowControl/>
        <w:spacing w:line="600" w:lineRule="exact"/>
        <w:ind w:firstLine="560" w:firstLineChars="200"/>
        <w:jc w:val="left"/>
        <w:rPr>
          <w:rFonts w:hint="eastAsia" w:ascii="宋体" w:hAnsi="宋体"/>
          <w:sz w:val="28"/>
          <w:szCs w:val="28"/>
        </w:rPr>
      </w:pPr>
      <w:r>
        <w:rPr>
          <w:rFonts w:hint="eastAsia" w:ascii="宋体" w:hAnsi="宋体"/>
          <w:sz w:val="28"/>
          <w:szCs w:val="28"/>
        </w:rPr>
        <w:t>（2）</w:t>
      </w:r>
      <w:r>
        <w:rPr>
          <w:rFonts w:ascii="宋体" w:hAnsi="宋体"/>
          <w:sz w:val="28"/>
          <w:szCs w:val="28"/>
        </w:rPr>
        <w:t>广泛吸收优秀党员到村任职，使一大批想干事、能干事、干成事的人才脱颖而出，充实和优化了村级组织机构</w:t>
      </w:r>
      <w:r>
        <w:rPr>
          <w:rFonts w:hint="eastAsia" w:ascii="宋体" w:hAnsi="宋体"/>
          <w:sz w:val="28"/>
          <w:szCs w:val="28"/>
        </w:rPr>
        <w:t>。</w:t>
      </w:r>
    </w:p>
    <w:p w14:paraId="58144197">
      <w:pPr>
        <w:widowControl/>
        <w:spacing w:line="600" w:lineRule="exact"/>
        <w:ind w:firstLine="560" w:firstLineChars="200"/>
        <w:jc w:val="left"/>
        <w:rPr>
          <w:rFonts w:hint="eastAsia" w:ascii="宋体" w:hAnsi="宋体"/>
          <w:sz w:val="28"/>
          <w:szCs w:val="28"/>
        </w:rPr>
      </w:pPr>
      <w:r>
        <w:rPr>
          <w:rFonts w:hint="eastAsia" w:ascii="宋体" w:hAnsi="宋体"/>
          <w:sz w:val="28"/>
          <w:szCs w:val="28"/>
        </w:rPr>
        <w:t>（3）</w:t>
      </w:r>
      <w:r>
        <w:rPr>
          <w:rFonts w:ascii="宋体" w:hAnsi="宋体"/>
          <w:sz w:val="28"/>
          <w:szCs w:val="28"/>
        </w:rPr>
        <w:t>增进班子团结，着眼“促”字。针对部分村级班子成员工作欠配合的问题，采取组织纪律教育、真情感化等方式，促进班子团结，形成工作合力，推动工作开</w:t>
      </w:r>
      <w:r>
        <w:rPr>
          <w:rFonts w:hint="eastAsia" w:ascii="宋体" w:hAnsi="宋体"/>
          <w:sz w:val="28"/>
          <w:szCs w:val="28"/>
        </w:rPr>
        <w:t>展。</w:t>
      </w:r>
    </w:p>
    <w:p w14:paraId="6D7CE82B">
      <w:pPr>
        <w:widowControl/>
        <w:spacing w:line="600" w:lineRule="exact"/>
        <w:ind w:firstLine="640"/>
        <w:jc w:val="left"/>
        <w:rPr>
          <w:rFonts w:ascii="宋体" w:hAnsi="宋体"/>
          <w:sz w:val="28"/>
          <w:szCs w:val="28"/>
        </w:rPr>
      </w:pPr>
      <w:r>
        <w:rPr>
          <w:rFonts w:hint="eastAsia" w:ascii="宋体" w:hAnsi="宋体"/>
          <w:sz w:val="28"/>
          <w:szCs w:val="28"/>
        </w:rPr>
        <w:t>（4）根据群众反馈情况不断调整活动类型，力求以人民群众为重心，为人民群众办事。</w:t>
      </w:r>
    </w:p>
    <w:p w14:paraId="3F625332">
      <w:pPr>
        <w:widowControl/>
        <w:spacing w:line="600" w:lineRule="exact"/>
        <w:ind w:firstLine="570"/>
        <w:jc w:val="left"/>
        <w:rPr>
          <w:rFonts w:hint="eastAsia" w:ascii="宋体" w:hAnsi="宋体"/>
          <w:sz w:val="28"/>
          <w:szCs w:val="28"/>
        </w:rPr>
      </w:pPr>
      <w:r>
        <w:rPr>
          <w:rFonts w:hint="eastAsia" w:ascii="宋体" w:hAnsi="宋体"/>
          <w:sz w:val="28"/>
          <w:szCs w:val="28"/>
        </w:rPr>
        <w:t>2、存在的问题</w:t>
      </w:r>
    </w:p>
    <w:p w14:paraId="01C6487A">
      <w:pPr>
        <w:widowControl/>
        <w:spacing w:line="600" w:lineRule="exact"/>
        <w:ind w:firstLine="570"/>
        <w:jc w:val="left"/>
        <w:rPr>
          <w:rFonts w:ascii="宋体" w:hAnsi="宋体"/>
          <w:sz w:val="28"/>
          <w:szCs w:val="28"/>
        </w:rPr>
      </w:pPr>
      <w:r>
        <w:rPr>
          <w:rFonts w:hint="eastAsia" w:ascii="宋体" w:hAnsi="宋体"/>
          <w:sz w:val="28"/>
          <w:szCs w:val="28"/>
        </w:rPr>
        <w:t>（1）实际支出与预算存在一定差异，超支幅度较大，各项支出不均衡。</w:t>
      </w:r>
    </w:p>
    <w:p w14:paraId="76BA24B1">
      <w:pPr>
        <w:widowControl/>
        <w:spacing w:line="600" w:lineRule="exact"/>
        <w:ind w:firstLine="570"/>
        <w:jc w:val="left"/>
        <w:rPr>
          <w:rFonts w:hint="eastAsia" w:ascii="宋体" w:hAnsi="宋体"/>
          <w:sz w:val="28"/>
          <w:szCs w:val="28"/>
        </w:rPr>
      </w:pPr>
      <w:r>
        <w:rPr>
          <w:rFonts w:hint="eastAsia" w:ascii="宋体" w:hAnsi="宋体"/>
          <w:sz w:val="28"/>
          <w:szCs w:val="28"/>
        </w:rPr>
        <w:t>（2）华</w:t>
      </w:r>
      <w:r>
        <w:rPr>
          <w:rFonts w:ascii="宋体" w:hAnsi="宋体"/>
          <w:sz w:val="28"/>
          <w:szCs w:val="28"/>
        </w:rPr>
        <w:t>诚里社区党员群众服务中心建设选址</w:t>
      </w:r>
      <w:r>
        <w:rPr>
          <w:rFonts w:hint="eastAsia" w:ascii="宋体" w:hAnsi="宋体"/>
          <w:sz w:val="28"/>
          <w:szCs w:val="28"/>
        </w:rPr>
        <w:t>。</w:t>
      </w:r>
      <w:r>
        <w:rPr>
          <w:rFonts w:ascii="宋体" w:hAnsi="宋体"/>
          <w:sz w:val="28"/>
          <w:szCs w:val="28"/>
        </w:rPr>
        <w:t>因</w:t>
      </w:r>
      <w:r>
        <w:rPr>
          <w:rFonts w:hint="eastAsia" w:ascii="宋体" w:hAnsi="宋体"/>
          <w:sz w:val="28"/>
          <w:szCs w:val="28"/>
        </w:rPr>
        <w:t>辖区各</w:t>
      </w:r>
      <w:r>
        <w:rPr>
          <w:rFonts w:ascii="宋体" w:hAnsi="宋体"/>
          <w:sz w:val="28"/>
          <w:szCs w:val="28"/>
        </w:rPr>
        <w:t>商业楼盘预留社区用房</w:t>
      </w:r>
      <w:r>
        <w:rPr>
          <w:rFonts w:hint="eastAsia" w:ascii="宋体" w:hAnsi="宋体"/>
          <w:sz w:val="28"/>
          <w:szCs w:val="28"/>
        </w:rPr>
        <w:t>地理</w:t>
      </w:r>
      <w:r>
        <w:rPr>
          <w:rFonts w:ascii="宋体" w:hAnsi="宋体"/>
          <w:sz w:val="28"/>
          <w:szCs w:val="28"/>
        </w:rPr>
        <w:t>位置</w:t>
      </w:r>
      <w:r>
        <w:rPr>
          <w:rFonts w:hint="eastAsia" w:ascii="宋体" w:hAnsi="宋体"/>
          <w:sz w:val="28"/>
          <w:szCs w:val="28"/>
        </w:rPr>
        <w:t>闭塞</w:t>
      </w:r>
      <w:r>
        <w:rPr>
          <w:rFonts w:ascii="宋体" w:hAnsi="宋体"/>
          <w:sz w:val="28"/>
          <w:szCs w:val="28"/>
        </w:rPr>
        <w:t>，</w:t>
      </w:r>
      <w:r>
        <w:rPr>
          <w:rFonts w:hint="eastAsia" w:ascii="宋体" w:hAnsi="宋体"/>
          <w:sz w:val="28"/>
          <w:szCs w:val="28"/>
        </w:rPr>
        <w:t>面积不</w:t>
      </w:r>
      <w:r>
        <w:rPr>
          <w:rFonts w:ascii="宋体" w:hAnsi="宋体"/>
          <w:sz w:val="28"/>
          <w:szCs w:val="28"/>
        </w:rPr>
        <w:t>达标，房屋结构</w:t>
      </w:r>
      <w:r>
        <w:rPr>
          <w:rFonts w:hint="eastAsia" w:ascii="宋体" w:hAnsi="宋体"/>
          <w:sz w:val="28"/>
          <w:szCs w:val="28"/>
        </w:rPr>
        <w:t>异形等原因</w:t>
      </w:r>
      <w:r>
        <w:rPr>
          <w:rFonts w:ascii="宋体" w:hAnsi="宋体"/>
          <w:sz w:val="28"/>
          <w:szCs w:val="28"/>
        </w:rPr>
        <w:t>，不适合建设党员群众</w:t>
      </w:r>
      <w:r>
        <w:rPr>
          <w:rFonts w:hint="eastAsia" w:ascii="宋体" w:hAnsi="宋体"/>
          <w:sz w:val="28"/>
          <w:szCs w:val="28"/>
        </w:rPr>
        <w:t>服务</w:t>
      </w:r>
      <w:r>
        <w:rPr>
          <w:rFonts w:ascii="宋体" w:hAnsi="宋体"/>
          <w:sz w:val="28"/>
          <w:szCs w:val="28"/>
        </w:rPr>
        <w:t>中心，需要</w:t>
      </w:r>
      <w:r>
        <w:rPr>
          <w:rFonts w:hint="eastAsia" w:ascii="宋体" w:hAnsi="宋体"/>
          <w:sz w:val="28"/>
          <w:szCs w:val="28"/>
        </w:rPr>
        <w:t>采取</w:t>
      </w:r>
      <w:r>
        <w:rPr>
          <w:rFonts w:ascii="宋体" w:hAnsi="宋体"/>
          <w:sz w:val="28"/>
          <w:szCs w:val="28"/>
        </w:rPr>
        <w:t>置换</w:t>
      </w:r>
      <w:r>
        <w:rPr>
          <w:rFonts w:hint="eastAsia" w:ascii="宋体" w:hAnsi="宋体"/>
          <w:sz w:val="28"/>
          <w:szCs w:val="28"/>
        </w:rPr>
        <w:t>、整合、</w:t>
      </w:r>
      <w:r>
        <w:rPr>
          <w:rFonts w:ascii="宋体" w:hAnsi="宋体"/>
          <w:sz w:val="28"/>
          <w:szCs w:val="28"/>
        </w:rPr>
        <w:t>重置等方式，落实选址问题</w:t>
      </w:r>
      <w:r>
        <w:rPr>
          <w:rFonts w:hint="eastAsia" w:ascii="宋体" w:hAnsi="宋体"/>
          <w:sz w:val="28"/>
          <w:szCs w:val="28"/>
        </w:rPr>
        <w:t>。</w:t>
      </w:r>
    </w:p>
    <w:p w14:paraId="0EA39CF9">
      <w:pPr>
        <w:widowControl/>
        <w:spacing w:line="600" w:lineRule="exact"/>
        <w:ind w:firstLine="570"/>
        <w:jc w:val="left"/>
        <w:rPr>
          <w:rFonts w:hint="eastAsia" w:ascii="宋体" w:hAnsi="宋体"/>
          <w:sz w:val="28"/>
          <w:szCs w:val="28"/>
        </w:rPr>
      </w:pPr>
      <w:r>
        <w:rPr>
          <w:rFonts w:hint="eastAsia" w:ascii="宋体" w:hAnsi="宋体"/>
          <w:sz w:val="28"/>
          <w:szCs w:val="28"/>
        </w:rPr>
        <w:t>（3）个别</w:t>
      </w:r>
      <w:r>
        <w:rPr>
          <w:rFonts w:ascii="宋体" w:hAnsi="宋体"/>
          <w:sz w:val="28"/>
          <w:szCs w:val="28"/>
        </w:rPr>
        <w:t>党组织管理松散</w:t>
      </w:r>
      <w:r>
        <w:rPr>
          <w:rFonts w:hint="eastAsia" w:ascii="宋体" w:hAnsi="宋体"/>
          <w:sz w:val="28"/>
          <w:szCs w:val="28"/>
        </w:rPr>
        <w:t>，</w:t>
      </w:r>
      <w:r>
        <w:rPr>
          <w:rFonts w:ascii="宋体" w:hAnsi="宋体"/>
          <w:sz w:val="28"/>
          <w:szCs w:val="28"/>
        </w:rPr>
        <w:t>“</w:t>
      </w:r>
      <w:r>
        <w:rPr>
          <w:rFonts w:hint="eastAsia" w:ascii="宋体" w:hAnsi="宋体"/>
          <w:sz w:val="28"/>
          <w:szCs w:val="28"/>
        </w:rPr>
        <w:t>三会一课</w:t>
      </w:r>
      <w:r>
        <w:rPr>
          <w:rFonts w:ascii="宋体" w:hAnsi="宋体"/>
          <w:sz w:val="28"/>
          <w:szCs w:val="28"/>
        </w:rPr>
        <w:t>”</w:t>
      </w:r>
      <w:r>
        <w:rPr>
          <w:rFonts w:hint="eastAsia" w:ascii="宋体" w:hAnsi="宋体"/>
          <w:sz w:val="28"/>
          <w:szCs w:val="28"/>
        </w:rPr>
        <w:t>及每月</w:t>
      </w:r>
      <w:r>
        <w:rPr>
          <w:rFonts w:ascii="宋体" w:hAnsi="宋体"/>
          <w:sz w:val="28"/>
          <w:szCs w:val="28"/>
        </w:rPr>
        <w:t>“</w:t>
      </w:r>
      <w:r>
        <w:rPr>
          <w:rFonts w:hint="eastAsia" w:ascii="宋体" w:hAnsi="宋体"/>
          <w:sz w:val="28"/>
          <w:szCs w:val="28"/>
        </w:rPr>
        <w:t>两学</w:t>
      </w:r>
      <w:r>
        <w:rPr>
          <w:rFonts w:ascii="宋体" w:hAnsi="宋体"/>
          <w:sz w:val="28"/>
          <w:szCs w:val="28"/>
        </w:rPr>
        <w:t>一做”主题党</w:t>
      </w:r>
      <w:r>
        <w:rPr>
          <w:rFonts w:hint="eastAsia" w:ascii="宋体" w:hAnsi="宋体"/>
          <w:sz w:val="28"/>
          <w:szCs w:val="28"/>
        </w:rPr>
        <w:t>日</w:t>
      </w:r>
      <w:r>
        <w:rPr>
          <w:rFonts w:ascii="宋体" w:hAnsi="宋体"/>
          <w:sz w:val="28"/>
          <w:szCs w:val="28"/>
        </w:rPr>
        <w:t>活动</w:t>
      </w:r>
      <w:r>
        <w:rPr>
          <w:rFonts w:hint="eastAsia" w:ascii="宋体" w:hAnsi="宋体"/>
          <w:sz w:val="28"/>
          <w:szCs w:val="28"/>
        </w:rPr>
        <w:t>坚持</w:t>
      </w:r>
      <w:r>
        <w:rPr>
          <w:rFonts w:ascii="宋体" w:hAnsi="宋体"/>
          <w:sz w:val="28"/>
          <w:szCs w:val="28"/>
        </w:rPr>
        <w:t>的</w:t>
      </w:r>
      <w:r>
        <w:rPr>
          <w:rFonts w:hint="eastAsia" w:ascii="宋体" w:hAnsi="宋体"/>
          <w:sz w:val="28"/>
          <w:szCs w:val="28"/>
        </w:rPr>
        <w:t>不</w:t>
      </w:r>
      <w:r>
        <w:rPr>
          <w:rFonts w:ascii="宋体" w:hAnsi="宋体"/>
          <w:sz w:val="28"/>
          <w:szCs w:val="28"/>
        </w:rPr>
        <w:t>够好。</w:t>
      </w:r>
    </w:p>
    <w:p w14:paraId="6D05F64D">
      <w:pPr>
        <w:widowControl/>
        <w:spacing w:line="600" w:lineRule="exact"/>
        <w:ind w:firstLine="560" w:firstLineChars="200"/>
        <w:jc w:val="left"/>
        <w:rPr>
          <w:rFonts w:ascii="宋体" w:hAnsi="宋体"/>
          <w:sz w:val="28"/>
          <w:szCs w:val="28"/>
        </w:rPr>
      </w:pPr>
      <w:r>
        <w:rPr>
          <w:rFonts w:hint="eastAsia" w:ascii="宋体" w:hAnsi="宋体"/>
          <w:sz w:val="28"/>
          <w:szCs w:val="28"/>
        </w:rPr>
        <w:t>（4）部分基层党员及群众参与积极性不高。</w:t>
      </w:r>
    </w:p>
    <w:p w14:paraId="2AC71C75">
      <w:pPr>
        <w:widowControl/>
        <w:numPr>
          <w:ilvl w:val="0"/>
          <w:numId w:val="12"/>
        </w:numPr>
        <w:spacing w:line="600" w:lineRule="exact"/>
        <w:ind w:firstLine="640"/>
        <w:jc w:val="left"/>
        <w:rPr>
          <w:rFonts w:ascii="宋体" w:hAnsi="宋体" w:cs="宋体"/>
          <w:sz w:val="28"/>
          <w:szCs w:val="28"/>
        </w:rPr>
      </w:pPr>
      <w:r>
        <w:rPr>
          <w:rFonts w:hint="eastAsia" w:ascii="宋体" w:hAnsi="宋体" w:cs="宋体"/>
          <w:sz w:val="28"/>
          <w:szCs w:val="28"/>
        </w:rPr>
        <w:t>改进措施</w:t>
      </w:r>
    </w:p>
    <w:p w14:paraId="7FDDBAFE">
      <w:pPr>
        <w:widowControl/>
        <w:spacing w:line="600" w:lineRule="exact"/>
        <w:ind w:firstLine="560" w:firstLineChars="200"/>
        <w:jc w:val="left"/>
        <w:rPr>
          <w:rFonts w:ascii="宋体" w:hAnsi="宋体" w:cs="宋体"/>
          <w:sz w:val="28"/>
          <w:szCs w:val="28"/>
        </w:rPr>
      </w:pPr>
      <w:r>
        <w:rPr>
          <w:rFonts w:hint="eastAsia" w:ascii="宋体" w:hAnsi="宋体" w:cs="宋体"/>
          <w:sz w:val="28"/>
          <w:szCs w:val="28"/>
        </w:rPr>
        <w:t>（1）加强预算编制的准确性，并做到精准实施。</w:t>
      </w:r>
    </w:p>
    <w:p w14:paraId="5DD96F26">
      <w:pPr>
        <w:widowControl/>
        <w:spacing w:line="600" w:lineRule="exact"/>
        <w:ind w:firstLine="560" w:firstLineChars="200"/>
        <w:jc w:val="left"/>
        <w:rPr>
          <w:rFonts w:hint="eastAsia" w:ascii="宋体" w:hAnsi="宋体"/>
          <w:sz w:val="28"/>
          <w:szCs w:val="28"/>
        </w:rPr>
      </w:pPr>
      <w:r>
        <w:rPr>
          <w:rFonts w:hint="eastAsia" w:ascii="宋体" w:hAnsi="宋体" w:cs="宋体"/>
          <w:sz w:val="28"/>
          <w:szCs w:val="28"/>
        </w:rPr>
        <w:t>（2）</w:t>
      </w:r>
      <w:r>
        <w:rPr>
          <w:rFonts w:hint="eastAsia" w:ascii="宋体" w:hAnsi="宋体"/>
          <w:sz w:val="28"/>
          <w:szCs w:val="28"/>
        </w:rPr>
        <w:t>开展</w:t>
      </w:r>
      <w:r>
        <w:rPr>
          <w:rFonts w:ascii="宋体" w:hAnsi="宋体"/>
          <w:sz w:val="28"/>
          <w:szCs w:val="28"/>
        </w:rPr>
        <w:t>仁尚里社区、华诚里社区</w:t>
      </w:r>
      <w:r>
        <w:rPr>
          <w:rFonts w:hint="eastAsia" w:ascii="宋体" w:hAnsi="宋体"/>
          <w:sz w:val="28"/>
          <w:szCs w:val="28"/>
        </w:rPr>
        <w:t>荣</w:t>
      </w:r>
      <w:r>
        <w:rPr>
          <w:rFonts w:ascii="宋体" w:hAnsi="宋体"/>
          <w:sz w:val="28"/>
          <w:szCs w:val="28"/>
        </w:rPr>
        <w:t>芳里社区两委会组建工作</w:t>
      </w:r>
      <w:r>
        <w:rPr>
          <w:rFonts w:hint="eastAsia" w:ascii="宋体" w:hAnsi="宋体"/>
          <w:sz w:val="28"/>
          <w:szCs w:val="28"/>
        </w:rPr>
        <w:t>。</w:t>
      </w:r>
    </w:p>
    <w:p w14:paraId="28302C1B">
      <w:pPr>
        <w:widowControl/>
        <w:spacing w:line="600" w:lineRule="exact"/>
        <w:ind w:firstLine="560" w:firstLineChars="200"/>
        <w:jc w:val="left"/>
        <w:rPr>
          <w:rFonts w:ascii="宋体" w:hAnsi="宋体"/>
          <w:sz w:val="28"/>
          <w:szCs w:val="28"/>
        </w:rPr>
      </w:pPr>
      <w:r>
        <w:rPr>
          <w:rFonts w:hint="eastAsia" w:ascii="宋体" w:hAnsi="宋体"/>
          <w:sz w:val="28"/>
          <w:szCs w:val="28"/>
        </w:rPr>
        <w:t>（3）</w:t>
      </w:r>
      <w:r>
        <w:rPr>
          <w:rFonts w:hint="eastAsia" w:ascii="宋体" w:hAnsi="宋体" w:cs="宋体"/>
          <w:sz w:val="28"/>
          <w:szCs w:val="28"/>
        </w:rPr>
        <w:t>增强活动的吸引力，发动部分积极性不高的基层党员及群众积极参与到活动中去。</w:t>
      </w:r>
    </w:p>
    <w:p w14:paraId="02AB3130">
      <w:pPr>
        <w:widowControl/>
        <w:spacing w:line="600" w:lineRule="exact"/>
        <w:ind w:firstLine="560" w:firstLineChars="200"/>
        <w:jc w:val="left"/>
        <w:rPr>
          <w:rFonts w:ascii="宋体" w:hAnsi="宋体"/>
          <w:sz w:val="28"/>
          <w:szCs w:val="28"/>
        </w:rPr>
      </w:pPr>
      <w:r>
        <w:rPr>
          <w:rFonts w:hint="eastAsia" w:ascii="宋体" w:hAnsi="宋体" w:cs="宋体"/>
          <w:sz w:val="28"/>
          <w:szCs w:val="28"/>
        </w:rPr>
        <w:t>（4）持续性的举办基层组织活动，在潜移默化中提升基层党员及群众综合素质。</w:t>
      </w:r>
    </w:p>
    <w:p w14:paraId="2126AC59">
      <w:pPr>
        <w:pStyle w:val="9"/>
        <w:widowControl w:val="0"/>
        <w:numPr>
          <w:ilvl w:val="0"/>
          <w:numId w:val="0"/>
        </w:numPr>
        <w:tabs>
          <w:tab w:val="left" w:pos="993"/>
          <w:tab w:val="left" w:pos="1418"/>
        </w:tabs>
        <w:spacing w:line="600" w:lineRule="exact"/>
        <w:jc w:val="left"/>
        <w:rPr>
          <w:rFonts w:hint="eastAsia"/>
          <w:sz w:val="28"/>
        </w:rPr>
      </w:pPr>
    </w:p>
    <w:p w14:paraId="501322AB">
      <w:pPr>
        <w:pStyle w:val="9"/>
        <w:widowControl w:val="0"/>
        <w:numPr>
          <w:ilvl w:val="0"/>
          <w:numId w:val="0"/>
        </w:numPr>
        <w:tabs>
          <w:tab w:val="left" w:pos="993"/>
          <w:tab w:val="left" w:pos="1418"/>
        </w:tabs>
        <w:spacing w:line="600" w:lineRule="exact"/>
        <w:jc w:val="left"/>
        <w:rPr>
          <w:rFonts w:hint="eastAsia"/>
          <w:sz w:val="28"/>
        </w:rPr>
      </w:pPr>
    </w:p>
    <w:p w14:paraId="75798A4E">
      <w:pPr>
        <w:pStyle w:val="9"/>
        <w:widowControl w:val="0"/>
        <w:numPr>
          <w:ilvl w:val="0"/>
          <w:numId w:val="0"/>
        </w:numPr>
        <w:tabs>
          <w:tab w:val="left" w:pos="993"/>
          <w:tab w:val="left" w:pos="1418"/>
        </w:tabs>
        <w:spacing w:line="600" w:lineRule="exact"/>
        <w:jc w:val="left"/>
        <w:rPr>
          <w:rFonts w:hint="eastAsia"/>
          <w:sz w:val="28"/>
        </w:rPr>
      </w:pPr>
    </w:p>
    <w:p w14:paraId="49E7312D">
      <w:pPr>
        <w:pStyle w:val="9"/>
        <w:widowControl w:val="0"/>
        <w:numPr>
          <w:ilvl w:val="0"/>
          <w:numId w:val="0"/>
        </w:numPr>
        <w:tabs>
          <w:tab w:val="left" w:pos="993"/>
          <w:tab w:val="left" w:pos="1418"/>
        </w:tabs>
        <w:spacing w:line="600" w:lineRule="exact"/>
        <w:jc w:val="left"/>
        <w:rPr>
          <w:rFonts w:hint="eastAsia"/>
          <w:sz w:val="28"/>
        </w:rPr>
      </w:pPr>
    </w:p>
    <w:p w14:paraId="60CCD908">
      <w:pPr>
        <w:pStyle w:val="9"/>
        <w:widowControl w:val="0"/>
        <w:numPr>
          <w:ilvl w:val="0"/>
          <w:numId w:val="0"/>
        </w:numPr>
        <w:tabs>
          <w:tab w:val="left" w:pos="993"/>
          <w:tab w:val="left" w:pos="1418"/>
        </w:tabs>
        <w:spacing w:line="600" w:lineRule="exact"/>
        <w:jc w:val="left"/>
        <w:rPr>
          <w:rFonts w:hint="eastAsia"/>
          <w:sz w:val="28"/>
        </w:rPr>
      </w:pPr>
    </w:p>
    <w:p w14:paraId="3D0CB9A7">
      <w:pPr>
        <w:pStyle w:val="9"/>
        <w:widowControl w:val="0"/>
        <w:numPr>
          <w:ilvl w:val="0"/>
          <w:numId w:val="0"/>
        </w:numPr>
        <w:tabs>
          <w:tab w:val="left" w:pos="993"/>
          <w:tab w:val="left" w:pos="1418"/>
        </w:tabs>
        <w:spacing w:line="600" w:lineRule="exact"/>
        <w:jc w:val="left"/>
        <w:rPr>
          <w:rFonts w:hint="eastAsia"/>
          <w:sz w:val="28"/>
        </w:rPr>
      </w:pPr>
    </w:p>
    <w:p w14:paraId="6199E4D2">
      <w:pPr>
        <w:pStyle w:val="9"/>
        <w:widowControl w:val="0"/>
        <w:numPr>
          <w:ilvl w:val="0"/>
          <w:numId w:val="0"/>
        </w:numPr>
        <w:tabs>
          <w:tab w:val="left" w:pos="993"/>
          <w:tab w:val="left" w:pos="1418"/>
        </w:tabs>
        <w:spacing w:line="600" w:lineRule="exact"/>
        <w:jc w:val="left"/>
        <w:rPr>
          <w:rFonts w:hint="eastAsia"/>
          <w:sz w:val="28"/>
        </w:rPr>
      </w:pPr>
    </w:p>
    <w:p w14:paraId="7B490492">
      <w:pPr>
        <w:pStyle w:val="9"/>
        <w:widowControl w:val="0"/>
        <w:numPr>
          <w:ilvl w:val="0"/>
          <w:numId w:val="0"/>
        </w:numPr>
        <w:tabs>
          <w:tab w:val="left" w:pos="993"/>
          <w:tab w:val="left" w:pos="1418"/>
        </w:tabs>
        <w:spacing w:line="600" w:lineRule="exact"/>
        <w:jc w:val="left"/>
        <w:rPr>
          <w:rFonts w:hint="eastAsia"/>
          <w:sz w:val="28"/>
        </w:rPr>
      </w:pPr>
    </w:p>
    <w:p w14:paraId="6D68524C">
      <w:pPr>
        <w:pStyle w:val="9"/>
        <w:widowControl w:val="0"/>
        <w:numPr>
          <w:ilvl w:val="0"/>
          <w:numId w:val="0"/>
        </w:numPr>
        <w:tabs>
          <w:tab w:val="left" w:pos="993"/>
          <w:tab w:val="left" w:pos="1418"/>
        </w:tabs>
        <w:spacing w:line="600" w:lineRule="exact"/>
        <w:jc w:val="left"/>
        <w:rPr>
          <w:rFonts w:hint="eastAsia"/>
          <w:sz w:val="28"/>
        </w:rPr>
      </w:pPr>
    </w:p>
    <w:p w14:paraId="2EAC3699">
      <w:pPr>
        <w:pStyle w:val="9"/>
        <w:widowControl w:val="0"/>
        <w:numPr>
          <w:ilvl w:val="0"/>
          <w:numId w:val="0"/>
        </w:numPr>
        <w:tabs>
          <w:tab w:val="left" w:pos="993"/>
          <w:tab w:val="left" w:pos="1418"/>
        </w:tabs>
        <w:spacing w:line="600" w:lineRule="exact"/>
        <w:jc w:val="left"/>
        <w:rPr>
          <w:rFonts w:hint="eastAsia"/>
          <w:sz w:val="28"/>
        </w:rPr>
      </w:pPr>
    </w:p>
    <w:p w14:paraId="2C45AA9C">
      <w:pPr>
        <w:pStyle w:val="9"/>
        <w:widowControl w:val="0"/>
        <w:numPr>
          <w:ilvl w:val="0"/>
          <w:numId w:val="0"/>
        </w:numPr>
        <w:tabs>
          <w:tab w:val="left" w:pos="993"/>
          <w:tab w:val="left" w:pos="1418"/>
        </w:tabs>
        <w:spacing w:line="600" w:lineRule="exact"/>
        <w:jc w:val="left"/>
        <w:rPr>
          <w:rFonts w:hint="eastAsia"/>
          <w:sz w:val="28"/>
        </w:rPr>
      </w:pPr>
    </w:p>
    <w:p w14:paraId="1D4FB369">
      <w:pPr>
        <w:pStyle w:val="9"/>
        <w:widowControl w:val="0"/>
        <w:numPr>
          <w:ilvl w:val="0"/>
          <w:numId w:val="0"/>
        </w:numPr>
        <w:tabs>
          <w:tab w:val="left" w:pos="993"/>
          <w:tab w:val="left" w:pos="1418"/>
        </w:tabs>
        <w:spacing w:line="600" w:lineRule="exact"/>
        <w:jc w:val="left"/>
        <w:rPr>
          <w:rFonts w:hint="eastAsia"/>
          <w:sz w:val="28"/>
        </w:rPr>
      </w:pPr>
    </w:p>
    <w:p w14:paraId="29796856">
      <w:pPr>
        <w:pStyle w:val="9"/>
        <w:widowControl w:val="0"/>
        <w:numPr>
          <w:ilvl w:val="0"/>
          <w:numId w:val="0"/>
        </w:numPr>
        <w:tabs>
          <w:tab w:val="left" w:pos="993"/>
          <w:tab w:val="left" w:pos="1418"/>
        </w:tabs>
        <w:spacing w:line="600" w:lineRule="exact"/>
        <w:jc w:val="left"/>
        <w:rPr>
          <w:rFonts w:hint="eastAsia"/>
          <w:sz w:val="28"/>
        </w:rPr>
      </w:pPr>
    </w:p>
    <w:p w14:paraId="5F303483">
      <w:pPr>
        <w:pStyle w:val="9"/>
        <w:widowControl w:val="0"/>
        <w:numPr>
          <w:ilvl w:val="0"/>
          <w:numId w:val="0"/>
        </w:numPr>
        <w:tabs>
          <w:tab w:val="left" w:pos="993"/>
          <w:tab w:val="left" w:pos="1418"/>
        </w:tabs>
        <w:spacing w:line="600" w:lineRule="exact"/>
        <w:jc w:val="left"/>
        <w:rPr>
          <w:rFonts w:hint="eastAsia"/>
          <w:sz w:val="28"/>
        </w:rPr>
      </w:pPr>
    </w:p>
    <w:p w14:paraId="1B8F8CA8">
      <w:pPr>
        <w:pStyle w:val="9"/>
        <w:widowControl w:val="0"/>
        <w:numPr>
          <w:ilvl w:val="0"/>
          <w:numId w:val="0"/>
        </w:numPr>
        <w:tabs>
          <w:tab w:val="left" w:pos="993"/>
          <w:tab w:val="left" w:pos="1418"/>
        </w:tabs>
        <w:spacing w:line="600" w:lineRule="exact"/>
        <w:jc w:val="left"/>
        <w:rPr>
          <w:rFonts w:hint="eastAsia"/>
          <w:sz w:val="28"/>
        </w:rPr>
      </w:pPr>
    </w:p>
    <w:p w14:paraId="41D69201">
      <w:pPr>
        <w:pStyle w:val="9"/>
        <w:widowControl w:val="0"/>
        <w:numPr>
          <w:ilvl w:val="0"/>
          <w:numId w:val="0"/>
        </w:numPr>
        <w:tabs>
          <w:tab w:val="left" w:pos="993"/>
          <w:tab w:val="left" w:pos="1418"/>
        </w:tabs>
        <w:spacing w:line="600" w:lineRule="exact"/>
        <w:jc w:val="left"/>
        <w:rPr>
          <w:rFonts w:hint="eastAsia"/>
          <w:sz w:val="28"/>
        </w:rPr>
      </w:pPr>
    </w:p>
    <w:p w14:paraId="42C1392C">
      <w:pPr>
        <w:pStyle w:val="9"/>
        <w:widowControl w:val="0"/>
        <w:numPr>
          <w:ilvl w:val="0"/>
          <w:numId w:val="0"/>
        </w:numPr>
        <w:tabs>
          <w:tab w:val="left" w:pos="993"/>
          <w:tab w:val="left" w:pos="1418"/>
        </w:tabs>
        <w:spacing w:line="600" w:lineRule="exact"/>
        <w:jc w:val="left"/>
        <w:rPr>
          <w:rFonts w:hint="eastAsia"/>
          <w:sz w:val="28"/>
        </w:rPr>
      </w:pPr>
    </w:p>
    <w:p w14:paraId="71ADE694">
      <w:pPr>
        <w:pStyle w:val="9"/>
        <w:widowControl w:val="0"/>
        <w:numPr>
          <w:ilvl w:val="0"/>
          <w:numId w:val="0"/>
        </w:numPr>
        <w:tabs>
          <w:tab w:val="left" w:pos="993"/>
          <w:tab w:val="left" w:pos="1418"/>
        </w:tabs>
        <w:spacing w:line="600" w:lineRule="exact"/>
        <w:jc w:val="left"/>
        <w:rPr>
          <w:rFonts w:hint="eastAsia"/>
          <w:sz w:val="28"/>
        </w:rPr>
      </w:pPr>
    </w:p>
    <w:p w14:paraId="78D7C228">
      <w:pPr>
        <w:pStyle w:val="9"/>
        <w:widowControl w:val="0"/>
        <w:numPr>
          <w:ilvl w:val="0"/>
          <w:numId w:val="0"/>
        </w:numPr>
        <w:tabs>
          <w:tab w:val="left" w:pos="993"/>
          <w:tab w:val="left" w:pos="1418"/>
        </w:tabs>
        <w:spacing w:line="600" w:lineRule="exact"/>
        <w:jc w:val="left"/>
        <w:rPr>
          <w:rFonts w:hint="eastAsia"/>
          <w:sz w:val="28"/>
        </w:rPr>
      </w:pPr>
    </w:p>
    <w:p w14:paraId="3B40921C">
      <w:pPr>
        <w:jc w:val="center"/>
        <w:rPr>
          <w:rFonts w:hint="eastAsia" w:ascii="方正小标宋_GBK" w:eastAsia="方正小标宋_GBK"/>
          <w:sz w:val="56"/>
          <w:szCs w:val="56"/>
        </w:rPr>
      </w:pPr>
      <w:r>
        <w:rPr>
          <w:rFonts w:hint="eastAsia" w:ascii="方正小标宋_GBK" w:eastAsia="方正小标宋_GBK"/>
          <w:sz w:val="56"/>
          <w:szCs w:val="56"/>
        </w:rPr>
        <w:t>武汉东湖新技术开发区预算项目</w:t>
      </w:r>
    </w:p>
    <w:p w14:paraId="0B6C534C">
      <w:pPr>
        <w:jc w:val="center"/>
        <w:rPr>
          <w:rFonts w:hint="eastAsia" w:ascii="方正小标宋_GBK" w:eastAsia="方正小标宋_GBK"/>
          <w:sz w:val="56"/>
          <w:szCs w:val="56"/>
        </w:rPr>
      </w:pPr>
      <w:r>
        <w:rPr>
          <w:rFonts w:hint="eastAsia" w:ascii="方正小标宋_GBK" w:eastAsia="方正小标宋_GBK"/>
          <w:sz w:val="56"/>
          <w:szCs w:val="56"/>
        </w:rPr>
        <w:t>绩效自评报告</w:t>
      </w:r>
    </w:p>
    <w:p w14:paraId="5AE62D05">
      <w:pPr>
        <w:rPr>
          <w:rFonts w:hint="eastAsia"/>
          <w:sz w:val="32"/>
          <w:szCs w:val="32"/>
        </w:rPr>
      </w:pPr>
    </w:p>
    <w:p w14:paraId="4C0EDFB3">
      <w:pPr>
        <w:rPr>
          <w:rFonts w:hint="eastAsia"/>
          <w:sz w:val="32"/>
          <w:szCs w:val="32"/>
        </w:rPr>
      </w:pPr>
    </w:p>
    <w:p w14:paraId="195553BA">
      <w:pPr>
        <w:rPr>
          <w:rFonts w:hint="eastAsia"/>
          <w:sz w:val="32"/>
          <w:szCs w:val="32"/>
        </w:rPr>
      </w:pPr>
    </w:p>
    <w:p w14:paraId="6FE80EA8">
      <w:pPr>
        <w:rPr>
          <w:rFonts w:hint="eastAsia"/>
          <w:sz w:val="32"/>
          <w:szCs w:val="32"/>
        </w:rPr>
      </w:pPr>
    </w:p>
    <w:p w14:paraId="0093B5D0">
      <w:pPr>
        <w:rPr>
          <w:sz w:val="32"/>
          <w:szCs w:val="32"/>
        </w:rPr>
      </w:pPr>
    </w:p>
    <w:p w14:paraId="024ED2ED">
      <w:pPr>
        <w:ind w:left="420" w:leftChars="200"/>
        <w:rPr>
          <w:rFonts w:hint="eastAsia"/>
          <w:sz w:val="32"/>
          <w:szCs w:val="32"/>
          <w:u w:val="single"/>
        </w:rPr>
      </w:pPr>
      <w:r>
        <w:rPr>
          <w:rFonts w:hint="eastAsia"/>
          <w:sz w:val="32"/>
          <w:szCs w:val="32"/>
        </w:rPr>
        <w:t>项目名称：</w:t>
      </w:r>
      <w:r>
        <w:rPr>
          <w:rFonts w:hint="eastAsia"/>
          <w:sz w:val="32"/>
          <w:szCs w:val="32"/>
          <w:u w:val="single"/>
        </w:rPr>
        <w:t xml:space="preserve">其他经费                      </w:t>
      </w:r>
      <w:r>
        <w:rPr>
          <w:sz w:val="32"/>
          <w:szCs w:val="32"/>
          <w:u w:val="single"/>
        </w:rPr>
        <w:t xml:space="preserve"> </w:t>
      </w:r>
      <w:r>
        <w:rPr>
          <w:rFonts w:hint="eastAsia"/>
          <w:sz w:val="32"/>
          <w:szCs w:val="32"/>
          <w:u w:val="single"/>
        </w:rPr>
        <w:t xml:space="preserve">   </w:t>
      </w:r>
    </w:p>
    <w:p w14:paraId="1BE1145E">
      <w:pPr>
        <w:ind w:left="420" w:leftChars="200"/>
        <w:rPr>
          <w:rFonts w:hint="eastAsia"/>
          <w:sz w:val="32"/>
          <w:szCs w:val="32"/>
          <w:u w:val="single"/>
        </w:rPr>
      </w:pPr>
      <w:r>
        <w:rPr>
          <w:rFonts w:hint="eastAsia"/>
          <w:sz w:val="32"/>
          <w:szCs w:val="32"/>
        </w:rPr>
        <w:t>项目单位：</w:t>
      </w:r>
      <w:bookmarkStart w:id="5" w:name="_Hlk516055025"/>
      <w:r>
        <w:rPr>
          <w:rFonts w:hint="eastAsia"/>
          <w:sz w:val="32"/>
          <w:szCs w:val="32"/>
          <w:u w:val="single"/>
        </w:rPr>
        <w:t>武汉东湖新技术开发区九峰街道办事处</w:t>
      </w:r>
      <w:bookmarkEnd w:id="5"/>
    </w:p>
    <w:p w14:paraId="0A711E10">
      <w:pPr>
        <w:ind w:left="420" w:leftChars="200"/>
        <w:rPr>
          <w:sz w:val="32"/>
          <w:szCs w:val="32"/>
          <w:u w:val="single"/>
        </w:rPr>
      </w:pPr>
      <w:r>
        <w:rPr>
          <w:rFonts w:hint="eastAsia"/>
          <w:sz w:val="32"/>
          <w:szCs w:val="32"/>
        </w:rPr>
        <w:t>区财政局主管业务科室：</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1102C52">
      <w:pPr>
        <w:ind w:left="420" w:leftChars="200"/>
        <w:rPr>
          <w:rFonts w:hint="eastAsia"/>
          <w:sz w:val="32"/>
          <w:szCs w:val="32"/>
        </w:rPr>
      </w:pPr>
      <w:r>
        <w:rPr>
          <w:rFonts w:hint="eastAsia"/>
          <w:sz w:val="32"/>
          <w:szCs w:val="32"/>
        </w:rPr>
        <w:t>评价机构：</w:t>
      </w:r>
      <w:r>
        <w:rPr>
          <w:rFonts w:hint="eastAsia"/>
          <w:sz w:val="32"/>
          <w:szCs w:val="32"/>
          <w:u w:val="single"/>
        </w:rPr>
        <w:t xml:space="preserve">武汉康力会计师事务有限责任公司 </w:t>
      </w:r>
      <w:r>
        <w:rPr>
          <w:sz w:val="32"/>
          <w:szCs w:val="32"/>
          <w:u w:val="single"/>
        </w:rPr>
        <w:t xml:space="preserve">   </w:t>
      </w:r>
    </w:p>
    <w:p w14:paraId="3949C0F6">
      <w:pPr>
        <w:rPr>
          <w:sz w:val="32"/>
          <w:szCs w:val="32"/>
        </w:rPr>
      </w:pPr>
    </w:p>
    <w:p w14:paraId="7AC4E365">
      <w:pPr>
        <w:rPr>
          <w:rFonts w:hint="eastAsia"/>
          <w:sz w:val="32"/>
          <w:szCs w:val="32"/>
        </w:rPr>
      </w:pPr>
    </w:p>
    <w:p w14:paraId="7428CBA6">
      <w:pPr>
        <w:rPr>
          <w:rFonts w:hint="eastAsia"/>
          <w:sz w:val="32"/>
          <w:szCs w:val="32"/>
        </w:rPr>
      </w:pPr>
    </w:p>
    <w:p w14:paraId="25CEEC16">
      <w:pPr>
        <w:rPr>
          <w:rFonts w:hint="eastAsia"/>
          <w:sz w:val="32"/>
          <w:szCs w:val="32"/>
        </w:rPr>
      </w:pPr>
    </w:p>
    <w:p w14:paraId="3E06FE75">
      <w:pPr>
        <w:rPr>
          <w:sz w:val="32"/>
          <w:szCs w:val="32"/>
        </w:rPr>
      </w:pPr>
    </w:p>
    <w:p w14:paraId="20FAD150">
      <w:pPr>
        <w:rPr>
          <w:rFonts w:hint="eastAsia"/>
          <w:sz w:val="32"/>
          <w:szCs w:val="32"/>
        </w:rPr>
      </w:pPr>
    </w:p>
    <w:p w14:paraId="1541B0F0">
      <w:pPr>
        <w:spacing w:line="360" w:lineRule="auto"/>
        <w:ind w:left="640" w:hanging="640" w:hangingChars="200"/>
        <w:jc w:val="center"/>
        <w:rPr>
          <w:sz w:val="32"/>
          <w:szCs w:val="32"/>
        </w:rPr>
      </w:pPr>
      <w:r>
        <w:rPr>
          <w:rFonts w:hint="eastAsia"/>
          <w:sz w:val="32"/>
          <w:szCs w:val="32"/>
        </w:rPr>
        <w:t>二零一八年五月</w:t>
      </w:r>
    </w:p>
    <w:p w14:paraId="3FEAB048">
      <w:pPr>
        <w:spacing w:line="360" w:lineRule="auto"/>
        <w:ind w:left="640" w:hanging="640" w:hangingChars="200"/>
        <w:rPr>
          <w:rFonts w:hint="eastAsia"/>
          <w:sz w:val="32"/>
          <w:szCs w:val="32"/>
        </w:rPr>
      </w:pPr>
    </w:p>
    <w:p w14:paraId="1116166A">
      <w:pPr>
        <w:spacing w:line="360" w:lineRule="auto"/>
        <w:ind w:firstLine="640" w:firstLineChars="200"/>
        <w:rPr>
          <w:rFonts w:hint="eastAsia" w:ascii="黑体" w:hAnsi="黑体" w:eastAsia="黑体"/>
          <w:b/>
          <w:sz w:val="30"/>
          <w:szCs w:val="30"/>
        </w:rPr>
      </w:pPr>
      <w:r>
        <w:rPr>
          <w:sz w:val="32"/>
          <w:szCs w:val="32"/>
        </w:rPr>
        <w:br w:type="page"/>
      </w:r>
      <w:r>
        <w:rPr>
          <w:rFonts w:hint="eastAsia" w:ascii="黑体" w:hAnsi="黑体" w:eastAsia="黑体"/>
          <w:b/>
          <w:sz w:val="30"/>
          <w:szCs w:val="30"/>
        </w:rPr>
        <w:t>一、项目基本情况</w:t>
      </w:r>
    </w:p>
    <w:p w14:paraId="278EB2BB">
      <w:pPr>
        <w:spacing w:line="360" w:lineRule="auto"/>
        <w:ind w:firstLine="560" w:firstLineChars="200"/>
        <w:rPr>
          <w:rFonts w:hint="eastAsia"/>
          <w:sz w:val="28"/>
        </w:rPr>
      </w:pPr>
      <w:r>
        <w:rPr>
          <w:rFonts w:hint="eastAsia"/>
          <w:sz w:val="28"/>
        </w:rPr>
        <w:t>（一）项目概况</w:t>
      </w:r>
    </w:p>
    <w:p w14:paraId="778B342D">
      <w:pPr>
        <w:spacing w:line="360" w:lineRule="auto"/>
        <w:ind w:firstLine="560" w:firstLineChars="200"/>
        <w:rPr>
          <w:rFonts w:hint="eastAsia"/>
          <w:sz w:val="28"/>
        </w:rPr>
      </w:pPr>
      <w:r>
        <w:rPr>
          <w:rFonts w:hint="eastAsia"/>
          <w:sz w:val="28"/>
        </w:rPr>
        <w:t>九峰街道办事处其他经费由武汉东湖新技术开发区九峰街道办事处设立，项目为开展本街道其他项目工作，更好为街道居民服务。</w:t>
      </w:r>
    </w:p>
    <w:p w14:paraId="2DD06AF5">
      <w:pPr>
        <w:spacing w:line="360" w:lineRule="auto"/>
        <w:ind w:firstLine="560" w:firstLineChars="200"/>
        <w:rPr>
          <w:rFonts w:hint="eastAsia"/>
          <w:bCs/>
          <w:sz w:val="30"/>
          <w:szCs w:val="30"/>
        </w:rPr>
      </w:pPr>
      <w:r>
        <w:rPr>
          <w:rFonts w:hint="eastAsia"/>
          <w:sz w:val="28"/>
        </w:rPr>
        <w:t>项目经费预算</w:t>
      </w:r>
      <w:r>
        <w:rPr>
          <w:sz w:val="28"/>
        </w:rPr>
        <w:t>374.1</w:t>
      </w:r>
      <w:r>
        <w:rPr>
          <w:rFonts w:hint="eastAsia"/>
          <w:sz w:val="28"/>
        </w:rPr>
        <w:t>万元，</w:t>
      </w:r>
      <w:r>
        <w:rPr>
          <w:rFonts w:hint="eastAsia"/>
          <w:bCs/>
          <w:sz w:val="30"/>
          <w:szCs w:val="30"/>
        </w:rPr>
        <w:t xml:space="preserve"> 其中：</w:t>
      </w:r>
    </w:p>
    <w:p w14:paraId="7B46F938">
      <w:pPr>
        <w:spacing w:line="360" w:lineRule="auto"/>
        <w:ind w:firstLine="560" w:firstLineChars="200"/>
        <w:rPr>
          <w:rFonts w:hint="eastAsia"/>
          <w:sz w:val="28"/>
        </w:rPr>
      </w:pPr>
      <w:r>
        <w:rPr>
          <w:rFonts w:hint="eastAsia"/>
          <w:sz w:val="28"/>
        </w:rPr>
        <w:t>1、劳务费100.6万元，用于聘用人员10人工资、公积金、住房补贴、各项保险及绩效奖金等。</w:t>
      </w:r>
    </w:p>
    <w:p w14:paraId="23D19886">
      <w:pPr>
        <w:spacing w:line="360" w:lineRule="auto"/>
        <w:ind w:firstLine="560" w:firstLineChars="200"/>
        <w:rPr>
          <w:rFonts w:hint="eastAsia"/>
          <w:sz w:val="28"/>
        </w:rPr>
      </w:pPr>
      <w:r>
        <w:rPr>
          <w:rFonts w:hint="eastAsia"/>
          <w:sz w:val="28"/>
        </w:rPr>
        <w:t>2、农村财务管理经费20万元。用于结算行政村、社区年度例行审计费，以及行政村、社区委托代理记账费用，票据印制、文件装订、资料装订，办公用品、耗材等购置费等。</w:t>
      </w:r>
    </w:p>
    <w:p w14:paraId="3CB6306A">
      <w:pPr>
        <w:spacing w:line="360" w:lineRule="auto"/>
        <w:ind w:firstLine="560" w:firstLineChars="200"/>
        <w:rPr>
          <w:rFonts w:hint="eastAsia"/>
          <w:sz w:val="28"/>
        </w:rPr>
      </w:pPr>
      <w:r>
        <w:rPr>
          <w:rFonts w:hint="eastAsia"/>
          <w:sz w:val="28"/>
        </w:rPr>
        <w:t>3、森林保护区协调费122.40万元。用于森林保护绿化带租赁、维护和管理费用。</w:t>
      </w:r>
    </w:p>
    <w:p w14:paraId="5D0F753F">
      <w:pPr>
        <w:spacing w:line="360" w:lineRule="auto"/>
        <w:ind w:firstLine="560" w:firstLineChars="200"/>
        <w:rPr>
          <w:rFonts w:hint="eastAsia"/>
          <w:sz w:val="28"/>
        </w:rPr>
      </w:pPr>
      <w:r>
        <w:rPr>
          <w:rFonts w:hint="eastAsia"/>
          <w:sz w:val="28"/>
        </w:rPr>
        <w:t>4、历史遗留退休人员补贴73万元：事业退休12人25.74万元；其他退休58人47.26万元。</w:t>
      </w:r>
    </w:p>
    <w:p w14:paraId="70DE5F58">
      <w:pPr>
        <w:spacing w:line="360" w:lineRule="auto"/>
        <w:ind w:firstLine="560" w:firstLineChars="200"/>
        <w:rPr>
          <w:rFonts w:hint="eastAsia"/>
          <w:sz w:val="28"/>
        </w:rPr>
      </w:pPr>
      <w:r>
        <w:rPr>
          <w:rFonts w:hint="eastAsia"/>
          <w:sz w:val="28"/>
        </w:rPr>
        <w:t>5、基督教堂场馆维护费5万元。用于新建基督教堂场馆维护费3万元；困难少数民族人员、教会人员慰问费1万元；办公、协调、会务1万元。</w:t>
      </w:r>
    </w:p>
    <w:p w14:paraId="5F3CA4EB">
      <w:pPr>
        <w:spacing w:line="360" w:lineRule="auto"/>
        <w:ind w:firstLine="560" w:firstLineChars="200"/>
        <w:rPr>
          <w:rFonts w:hint="eastAsia"/>
          <w:sz w:val="28"/>
        </w:rPr>
      </w:pPr>
      <w:r>
        <w:rPr>
          <w:rFonts w:hint="eastAsia"/>
          <w:sz w:val="28"/>
        </w:rPr>
        <w:t>6、群众文化活动经费31.5万元。用于文化活动经费22万元，用于开展街道文明创建工作，组织群众文化活动，文艺团队训练，道具服装购置，活动彩排，活动表演等；体育活动经费9.5万元，用于组织群众开展体育运动，组织体育比赛、体育活动，购买体育用品以及体育器材。</w:t>
      </w:r>
    </w:p>
    <w:p w14:paraId="1B11B958">
      <w:pPr>
        <w:spacing w:line="360" w:lineRule="auto"/>
        <w:ind w:firstLine="560" w:firstLineChars="200"/>
        <w:rPr>
          <w:rFonts w:hint="eastAsia"/>
          <w:sz w:val="28"/>
        </w:rPr>
      </w:pPr>
      <w:r>
        <w:rPr>
          <w:rFonts w:hint="eastAsia"/>
          <w:sz w:val="28"/>
        </w:rPr>
        <w:t>7、政务分中心运转经费21.6万元。用于街道政务分中心办公、宣传、水电等维持日常运转经费</w:t>
      </w:r>
    </w:p>
    <w:p w14:paraId="3D8A0631">
      <w:pPr>
        <w:spacing w:line="360" w:lineRule="auto"/>
        <w:ind w:firstLine="560" w:firstLineChars="200"/>
        <w:rPr>
          <w:rFonts w:hint="eastAsia"/>
          <w:sz w:val="28"/>
        </w:rPr>
      </w:pPr>
      <w:r>
        <w:rPr>
          <w:rFonts w:hint="eastAsia"/>
          <w:sz w:val="28"/>
        </w:rPr>
        <w:t>截止2017年12月31日，经费实际支出363.15万元。其中，政务分中心运转经费21.59万元，聘用人员劳务费100.6万元，农村财务管理经费11.56万元，历史遗留人员经费73万元，文化体育与传媒支出34万元，森林保护区经费122.4万元。</w:t>
      </w:r>
    </w:p>
    <w:p w14:paraId="5505AC7A">
      <w:pPr>
        <w:spacing w:line="360" w:lineRule="auto"/>
        <w:ind w:firstLine="560" w:firstLineChars="200"/>
        <w:rPr>
          <w:rFonts w:hint="eastAsia"/>
          <w:sz w:val="28"/>
        </w:rPr>
      </w:pPr>
      <w:r>
        <w:rPr>
          <w:rFonts w:hint="eastAsia"/>
          <w:sz w:val="28"/>
        </w:rPr>
        <w:t>（二）项目预算绩效目标</w:t>
      </w:r>
    </w:p>
    <w:p w14:paraId="28F15999">
      <w:pPr>
        <w:spacing w:line="360" w:lineRule="auto"/>
        <w:ind w:firstLine="560" w:firstLineChars="200"/>
        <w:rPr>
          <w:sz w:val="28"/>
        </w:rPr>
      </w:pPr>
      <w:r>
        <w:rPr>
          <w:sz w:val="28"/>
        </w:rPr>
        <w:t>1</w:t>
      </w:r>
      <w:r>
        <w:rPr>
          <w:rFonts w:hint="eastAsia"/>
          <w:sz w:val="28"/>
        </w:rPr>
        <w:t>．产出目标</w:t>
      </w:r>
    </w:p>
    <w:p w14:paraId="2E770C3C">
      <w:pPr>
        <w:widowControl/>
        <w:spacing w:line="600" w:lineRule="exact"/>
        <w:ind w:firstLine="560" w:firstLineChars="200"/>
        <w:jc w:val="left"/>
        <w:rPr>
          <w:rFonts w:hint="eastAsia"/>
          <w:sz w:val="28"/>
        </w:rPr>
      </w:pPr>
      <w:r>
        <w:rPr>
          <w:rFonts w:hint="eastAsia"/>
          <w:sz w:val="28"/>
        </w:rPr>
        <w:t>产出目标包括数量指标、质量指标、时效指标和成本指标。</w:t>
      </w:r>
    </w:p>
    <w:p w14:paraId="4FAC8581">
      <w:pPr>
        <w:widowControl/>
        <w:spacing w:line="600" w:lineRule="exact"/>
        <w:ind w:firstLine="560" w:firstLineChars="200"/>
        <w:jc w:val="left"/>
        <w:rPr>
          <w:sz w:val="28"/>
        </w:rPr>
      </w:pPr>
      <w:r>
        <w:rPr>
          <w:rFonts w:hint="eastAsia"/>
          <w:sz w:val="28"/>
        </w:rPr>
        <w:t>（1）数量指标</w:t>
      </w:r>
    </w:p>
    <w:p w14:paraId="4D300115">
      <w:pPr>
        <w:widowControl/>
        <w:spacing w:line="600" w:lineRule="exact"/>
        <w:ind w:firstLine="560" w:firstLineChars="200"/>
        <w:jc w:val="left"/>
        <w:rPr>
          <w:rFonts w:hint="eastAsia"/>
          <w:sz w:val="28"/>
        </w:rPr>
      </w:pPr>
      <w:r>
        <w:rPr>
          <w:rFonts w:hint="eastAsia"/>
          <w:sz w:val="28"/>
        </w:rPr>
        <w:t>指标内容1：护林员巡视天数，指标值：100%；</w:t>
      </w:r>
    </w:p>
    <w:p w14:paraId="0AE43666">
      <w:pPr>
        <w:widowControl/>
        <w:spacing w:line="600" w:lineRule="exact"/>
        <w:ind w:firstLine="560" w:firstLineChars="200"/>
        <w:jc w:val="left"/>
        <w:rPr>
          <w:rFonts w:hint="eastAsia"/>
          <w:sz w:val="28"/>
        </w:rPr>
      </w:pPr>
      <w:r>
        <w:rPr>
          <w:rFonts w:hint="eastAsia"/>
          <w:sz w:val="28"/>
        </w:rPr>
        <w:t>指标内容2：绿化宣传活动次数，指标值：3次；</w:t>
      </w:r>
    </w:p>
    <w:p w14:paraId="0F6CEAD2">
      <w:pPr>
        <w:widowControl/>
        <w:spacing w:line="600" w:lineRule="exact"/>
        <w:ind w:firstLine="560" w:firstLineChars="200"/>
        <w:jc w:val="left"/>
        <w:rPr>
          <w:rFonts w:hint="eastAsia"/>
          <w:sz w:val="28"/>
        </w:rPr>
      </w:pPr>
      <w:r>
        <w:rPr>
          <w:rFonts w:hint="eastAsia"/>
          <w:sz w:val="28"/>
        </w:rPr>
        <w:t>指标内容3：砍伐防火隔离带及杂草面积，指标值：10000㎡；</w:t>
      </w:r>
    </w:p>
    <w:p w14:paraId="4BCCE034">
      <w:pPr>
        <w:widowControl/>
        <w:spacing w:line="600" w:lineRule="exact"/>
        <w:ind w:firstLine="560" w:firstLineChars="200"/>
        <w:jc w:val="left"/>
        <w:rPr>
          <w:rFonts w:hint="eastAsia"/>
          <w:sz w:val="28"/>
        </w:rPr>
      </w:pPr>
      <w:r>
        <w:rPr>
          <w:rFonts w:hint="eastAsia"/>
          <w:sz w:val="28"/>
        </w:rPr>
        <w:t>指标内容4：专业人员对森林病虫害普查次数，指标值：2次；</w:t>
      </w:r>
    </w:p>
    <w:p w14:paraId="2B0183E2">
      <w:pPr>
        <w:widowControl/>
        <w:spacing w:line="600" w:lineRule="exact"/>
        <w:ind w:firstLine="560" w:firstLineChars="200"/>
        <w:jc w:val="left"/>
        <w:rPr>
          <w:rFonts w:hint="eastAsia"/>
          <w:sz w:val="28"/>
        </w:rPr>
      </w:pPr>
      <w:r>
        <w:rPr>
          <w:rFonts w:hint="eastAsia"/>
          <w:sz w:val="28"/>
        </w:rPr>
        <w:t>指标内容5：无公害处置病虫害树木棵数，指标值：100棵；</w:t>
      </w:r>
    </w:p>
    <w:p w14:paraId="3C0A9AB1">
      <w:pPr>
        <w:widowControl/>
        <w:spacing w:line="600" w:lineRule="exact"/>
        <w:ind w:firstLine="560" w:firstLineChars="200"/>
        <w:jc w:val="left"/>
        <w:rPr>
          <w:rFonts w:hint="eastAsia"/>
          <w:sz w:val="28"/>
        </w:rPr>
      </w:pPr>
      <w:r>
        <w:rPr>
          <w:rFonts w:hint="eastAsia"/>
          <w:sz w:val="28"/>
        </w:rPr>
        <w:t>指标内容6：森林火灾过火面积，指标值：≤20亩/年/村</w:t>
      </w:r>
    </w:p>
    <w:p w14:paraId="69750957">
      <w:pPr>
        <w:widowControl/>
        <w:spacing w:line="600" w:lineRule="exact"/>
        <w:ind w:firstLine="560" w:firstLineChars="200"/>
        <w:jc w:val="left"/>
        <w:rPr>
          <w:sz w:val="28"/>
        </w:rPr>
      </w:pPr>
      <w:r>
        <w:rPr>
          <w:rFonts w:hint="eastAsia"/>
          <w:sz w:val="28"/>
        </w:rPr>
        <w:t>（2）质量指标：</w:t>
      </w:r>
    </w:p>
    <w:p w14:paraId="382E05E5">
      <w:pPr>
        <w:widowControl/>
        <w:spacing w:line="600" w:lineRule="exact"/>
        <w:ind w:firstLine="560" w:firstLineChars="200"/>
        <w:jc w:val="left"/>
        <w:rPr>
          <w:rFonts w:hint="eastAsia"/>
          <w:sz w:val="28"/>
        </w:rPr>
      </w:pPr>
      <w:r>
        <w:rPr>
          <w:rFonts w:hint="eastAsia"/>
          <w:sz w:val="28"/>
        </w:rPr>
        <w:t>指标内容1：发现及处置火灾率100%</w:t>
      </w:r>
    </w:p>
    <w:p w14:paraId="30568AB0">
      <w:pPr>
        <w:widowControl/>
        <w:spacing w:line="600" w:lineRule="exact"/>
        <w:ind w:firstLine="560" w:firstLineChars="200"/>
        <w:jc w:val="left"/>
        <w:rPr>
          <w:rFonts w:hint="eastAsia"/>
          <w:sz w:val="28"/>
        </w:rPr>
      </w:pPr>
      <w:r>
        <w:rPr>
          <w:rFonts w:hint="eastAsia"/>
          <w:sz w:val="28"/>
        </w:rPr>
        <w:t>指标内容2：森林病虫除害处理率95%</w:t>
      </w:r>
    </w:p>
    <w:p w14:paraId="70B0E309">
      <w:pPr>
        <w:widowControl/>
        <w:spacing w:line="600" w:lineRule="exact"/>
        <w:ind w:firstLine="560" w:firstLineChars="200"/>
        <w:jc w:val="left"/>
        <w:rPr>
          <w:rFonts w:hint="eastAsia"/>
          <w:sz w:val="28"/>
        </w:rPr>
      </w:pPr>
      <w:r>
        <w:rPr>
          <w:rFonts w:hint="eastAsia"/>
          <w:sz w:val="28"/>
        </w:rPr>
        <w:t>指标内容3：病虫害趋势报告及时率100%</w:t>
      </w:r>
    </w:p>
    <w:p w14:paraId="4A5F4583">
      <w:pPr>
        <w:widowControl/>
        <w:spacing w:line="600" w:lineRule="exact"/>
        <w:ind w:firstLine="560" w:firstLineChars="200"/>
        <w:jc w:val="left"/>
        <w:rPr>
          <w:sz w:val="28"/>
        </w:rPr>
      </w:pPr>
      <w:r>
        <w:rPr>
          <w:rFonts w:hint="eastAsia"/>
          <w:sz w:val="28"/>
        </w:rPr>
        <w:t>（3）时效指标</w:t>
      </w:r>
    </w:p>
    <w:p w14:paraId="10D0D8B2">
      <w:pPr>
        <w:widowControl/>
        <w:spacing w:line="600" w:lineRule="exact"/>
        <w:ind w:firstLine="560" w:firstLineChars="200"/>
        <w:jc w:val="left"/>
        <w:rPr>
          <w:rFonts w:hint="eastAsia"/>
          <w:sz w:val="28"/>
        </w:rPr>
      </w:pPr>
      <w:r>
        <w:rPr>
          <w:rFonts w:hint="eastAsia"/>
          <w:sz w:val="28"/>
        </w:rPr>
        <w:t>指标内容：项目计划进度完成率，指标值：90%。</w:t>
      </w:r>
    </w:p>
    <w:p w14:paraId="14095626">
      <w:pPr>
        <w:spacing w:line="360" w:lineRule="auto"/>
        <w:ind w:firstLine="560" w:firstLineChars="200"/>
        <w:rPr>
          <w:sz w:val="28"/>
        </w:rPr>
      </w:pPr>
      <w:r>
        <w:rPr>
          <w:rFonts w:hint="eastAsia"/>
          <w:sz w:val="28"/>
        </w:rPr>
        <w:t>2．效果目标</w:t>
      </w:r>
    </w:p>
    <w:p w14:paraId="12D027B8">
      <w:pPr>
        <w:spacing w:line="360" w:lineRule="auto"/>
        <w:ind w:firstLine="560" w:firstLineChars="200"/>
        <w:rPr>
          <w:rFonts w:hint="eastAsia"/>
          <w:sz w:val="28"/>
        </w:rPr>
      </w:pPr>
      <w:r>
        <w:rPr>
          <w:rFonts w:hint="eastAsia"/>
          <w:sz w:val="28"/>
        </w:rPr>
        <w:t>（1）经济效益指标：防止出现森林火灾；如出现能及时控制火情。</w:t>
      </w:r>
    </w:p>
    <w:p w14:paraId="686F58D8">
      <w:pPr>
        <w:spacing w:line="360" w:lineRule="auto"/>
        <w:ind w:firstLine="560" w:firstLineChars="200"/>
        <w:rPr>
          <w:rFonts w:hint="eastAsia"/>
          <w:sz w:val="28"/>
        </w:rPr>
      </w:pPr>
      <w:r>
        <w:rPr>
          <w:rFonts w:hint="eastAsia"/>
          <w:sz w:val="28"/>
        </w:rPr>
        <w:t>（2）社会效益指标：居民生活稳定</w:t>
      </w:r>
    </w:p>
    <w:p w14:paraId="38AAC10C">
      <w:pPr>
        <w:spacing w:line="360" w:lineRule="auto"/>
        <w:ind w:firstLine="560" w:firstLineChars="200"/>
        <w:rPr>
          <w:rFonts w:hint="eastAsia"/>
          <w:sz w:val="28"/>
        </w:rPr>
      </w:pPr>
      <w:r>
        <w:rPr>
          <w:rFonts w:hint="eastAsia"/>
          <w:sz w:val="28"/>
        </w:rPr>
        <w:t>（3）环境效益指标：为生物的生存提供安全的环境，有利于生态的稳定</w:t>
      </w:r>
    </w:p>
    <w:p w14:paraId="548DBFA9">
      <w:pPr>
        <w:spacing w:line="360" w:lineRule="auto"/>
        <w:ind w:firstLine="560" w:firstLineChars="200"/>
        <w:rPr>
          <w:rFonts w:hint="eastAsia"/>
          <w:sz w:val="28"/>
        </w:rPr>
      </w:pPr>
      <w:r>
        <w:rPr>
          <w:rFonts w:hint="eastAsia"/>
          <w:sz w:val="28"/>
        </w:rPr>
        <w:t>（4）可持续影响指标: 避免和减少灾情损失，有利于国家可持续发展</w:t>
      </w:r>
    </w:p>
    <w:p w14:paraId="7A2E2C40">
      <w:pPr>
        <w:spacing w:line="360" w:lineRule="auto"/>
        <w:ind w:firstLine="560" w:firstLineChars="200"/>
        <w:rPr>
          <w:rFonts w:hint="eastAsia"/>
          <w:sz w:val="28"/>
        </w:rPr>
      </w:pPr>
      <w:r>
        <w:rPr>
          <w:rFonts w:hint="eastAsia"/>
          <w:sz w:val="28"/>
        </w:rPr>
        <w:t>（5）社会公众或服务对象满意度指标：林业主管部门、林区民户满意度100%</w:t>
      </w:r>
    </w:p>
    <w:p w14:paraId="4FFF735F">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二、项目绩效分析</w:t>
      </w:r>
    </w:p>
    <w:p w14:paraId="49D341C1">
      <w:pPr>
        <w:spacing w:line="360" w:lineRule="auto"/>
        <w:ind w:firstLine="560" w:firstLineChars="200"/>
        <w:rPr>
          <w:rFonts w:hint="eastAsia"/>
          <w:sz w:val="28"/>
        </w:rPr>
      </w:pPr>
      <w:r>
        <w:rPr>
          <w:rFonts w:hint="eastAsia"/>
          <w:sz w:val="28"/>
        </w:rPr>
        <w:t>（一）项目管理情况</w:t>
      </w:r>
    </w:p>
    <w:p w14:paraId="41D58DFE">
      <w:pPr>
        <w:spacing w:line="360" w:lineRule="auto"/>
        <w:ind w:firstLine="560" w:firstLineChars="200"/>
        <w:rPr>
          <w:sz w:val="28"/>
        </w:rPr>
      </w:pPr>
      <w:r>
        <w:rPr>
          <w:rFonts w:hint="eastAsia"/>
          <w:sz w:val="28"/>
        </w:rPr>
        <w:t>l．业务管理情况</w:t>
      </w:r>
    </w:p>
    <w:p w14:paraId="7F88CB60">
      <w:pPr>
        <w:spacing w:line="360" w:lineRule="auto"/>
        <w:ind w:firstLine="560" w:firstLineChars="200"/>
        <w:rPr>
          <w:rFonts w:hint="eastAsia"/>
          <w:sz w:val="28"/>
        </w:rPr>
      </w:pPr>
      <w:r>
        <w:rPr>
          <w:rFonts w:hint="eastAsia"/>
          <w:sz w:val="28"/>
        </w:rPr>
        <w:t>（1）项目基础资料齐备</w:t>
      </w:r>
    </w:p>
    <w:p w14:paraId="229958E4">
      <w:pPr>
        <w:spacing w:line="360" w:lineRule="auto"/>
        <w:ind w:firstLine="560" w:firstLineChars="200"/>
        <w:rPr>
          <w:rFonts w:hint="eastAsia"/>
          <w:sz w:val="28"/>
        </w:rPr>
      </w:pPr>
      <w:r>
        <w:rPr>
          <w:rFonts w:hint="eastAsia"/>
          <w:sz w:val="28"/>
        </w:rPr>
        <w:t>项目各阶段、各环节资料均保存完好，包括预算计划资料、经费分配资料、资金划拨资料等，均妥善整理归档。</w:t>
      </w:r>
    </w:p>
    <w:p w14:paraId="0F0EF3AF">
      <w:pPr>
        <w:spacing w:line="360" w:lineRule="auto"/>
        <w:ind w:firstLine="560" w:firstLineChars="200"/>
        <w:rPr>
          <w:rFonts w:hint="eastAsia"/>
          <w:sz w:val="28"/>
        </w:rPr>
      </w:pPr>
      <w:r>
        <w:rPr>
          <w:rFonts w:hint="eastAsia"/>
          <w:sz w:val="28"/>
        </w:rPr>
        <w:t>（2）项目质量控制较为严格</w:t>
      </w:r>
    </w:p>
    <w:p w14:paraId="5394BB0D">
      <w:pPr>
        <w:spacing w:line="360" w:lineRule="auto"/>
        <w:ind w:firstLine="560" w:firstLineChars="200"/>
        <w:rPr>
          <w:rFonts w:hint="eastAsia"/>
          <w:sz w:val="28"/>
        </w:rPr>
      </w:pPr>
      <w:r>
        <w:rPr>
          <w:rFonts w:hint="eastAsia"/>
          <w:sz w:val="28"/>
        </w:rPr>
        <w:t>项目执行部门建立了良好的工作机制和工作流程并得以有效执行，确保公开、公平、公正，经费支出即保证正常工作需要，又不造成浪费，并形成有效记录和档案，便于追溯可查。</w:t>
      </w:r>
    </w:p>
    <w:p w14:paraId="12EE1081">
      <w:pPr>
        <w:spacing w:line="360" w:lineRule="auto"/>
        <w:ind w:firstLine="560" w:firstLineChars="200"/>
        <w:rPr>
          <w:rFonts w:hint="eastAsia"/>
          <w:sz w:val="28"/>
        </w:rPr>
      </w:pPr>
      <w:r>
        <w:rPr>
          <w:rFonts w:hint="eastAsia"/>
          <w:sz w:val="28"/>
        </w:rPr>
        <w:t>（3）建立项目监督和考核机制</w:t>
      </w:r>
    </w:p>
    <w:p w14:paraId="28140136">
      <w:pPr>
        <w:spacing w:line="360" w:lineRule="auto"/>
        <w:ind w:firstLine="560" w:firstLineChars="200"/>
        <w:rPr>
          <w:rFonts w:hint="eastAsia"/>
          <w:sz w:val="28"/>
        </w:rPr>
      </w:pPr>
      <w:r>
        <w:rPr>
          <w:rFonts w:hint="eastAsia"/>
          <w:sz w:val="28"/>
        </w:rPr>
        <w:t>街道建立了项目监督机制和项目考核机制，用于支撑项目顺利实施。</w:t>
      </w:r>
    </w:p>
    <w:p w14:paraId="27AC776D">
      <w:pPr>
        <w:spacing w:line="360" w:lineRule="auto"/>
        <w:ind w:firstLine="560" w:firstLineChars="200"/>
        <w:rPr>
          <w:sz w:val="28"/>
        </w:rPr>
      </w:pPr>
      <w:r>
        <w:rPr>
          <w:rFonts w:hint="eastAsia"/>
          <w:sz w:val="28"/>
        </w:rPr>
        <w:t>2．财务管理情况</w:t>
      </w:r>
    </w:p>
    <w:p w14:paraId="4B4B9A12">
      <w:pPr>
        <w:spacing w:line="360" w:lineRule="auto"/>
        <w:ind w:firstLine="560" w:firstLineChars="200"/>
        <w:rPr>
          <w:rFonts w:hint="eastAsia"/>
          <w:sz w:val="28"/>
        </w:rPr>
      </w:pPr>
      <w:r>
        <w:rPr>
          <w:rFonts w:hint="eastAsia"/>
          <w:sz w:val="28"/>
        </w:rPr>
        <w:t>（1）项目经费</w:t>
      </w:r>
    </w:p>
    <w:p w14:paraId="3933FB41">
      <w:pPr>
        <w:spacing w:line="360" w:lineRule="auto"/>
        <w:ind w:firstLine="560" w:firstLineChars="200"/>
        <w:rPr>
          <w:rFonts w:hint="eastAsia"/>
          <w:sz w:val="28"/>
        </w:rPr>
      </w:pPr>
      <w:r>
        <w:rPr>
          <w:rFonts w:hint="eastAsia"/>
          <w:sz w:val="28"/>
        </w:rPr>
        <w:t>项目经费预算</w:t>
      </w:r>
      <w:r>
        <w:rPr>
          <w:sz w:val="28"/>
        </w:rPr>
        <w:t>374.1</w:t>
      </w:r>
      <w:r>
        <w:rPr>
          <w:rFonts w:hint="eastAsia"/>
          <w:sz w:val="28"/>
        </w:rPr>
        <w:t>万元，</w:t>
      </w:r>
      <w:r>
        <w:rPr>
          <w:rFonts w:hint="eastAsia"/>
          <w:bCs/>
          <w:sz w:val="30"/>
          <w:szCs w:val="30"/>
        </w:rPr>
        <w:t xml:space="preserve"> 其中：</w:t>
      </w:r>
      <w:r>
        <w:rPr>
          <w:rFonts w:hint="eastAsia"/>
          <w:sz w:val="28"/>
        </w:rPr>
        <w:t>劳务费100.6万元，农村财务管理经费20万元，森林保护区协调费122.40万元，历史遗留退休人员补贴73万元，基督教堂场馆维护费5万元，群众文化活动经费31.5万元，政务分中心运转经费21.6万元。</w:t>
      </w:r>
    </w:p>
    <w:p w14:paraId="0A7B48BA">
      <w:pPr>
        <w:spacing w:line="360" w:lineRule="auto"/>
        <w:ind w:firstLine="560" w:firstLineChars="200"/>
        <w:rPr>
          <w:rFonts w:hint="eastAsia"/>
          <w:sz w:val="28"/>
        </w:rPr>
      </w:pPr>
      <w:r>
        <w:rPr>
          <w:rFonts w:hint="eastAsia"/>
          <w:sz w:val="28"/>
        </w:rPr>
        <w:t>截止2017年12月31日，经费实际支出363.15万元。其中，政务分中心运转经费21.59万元，聘用人员劳务费100.6万元，农村财务管理经费11.56万元，历史遗留人员经费73万元，文化体育与传媒支出34万元，森林保护区经费122.4万元。</w:t>
      </w:r>
    </w:p>
    <w:p w14:paraId="6523BBE4">
      <w:pPr>
        <w:spacing w:line="360" w:lineRule="auto"/>
        <w:ind w:firstLine="560" w:firstLineChars="200"/>
        <w:rPr>
          <w:rFonts w:hint="eastAsia"/>
          <w:sz w:val="28"/>
        </w:rPr>
      </w:pPr>
      <w:r>
        <w:rPr>
          <w:rFonts w:hint="eastAsia"/>
          <w:sz w:val="28"/>
        </w:rPr>
        <w:t>（2）财务管理</w:t>
      </w:r>
    </w:p>
    <w:p w14:paraId="2A6FA19F">
      <w:pPr>
        <w:spacing w:line="360" w:lineRule="auto"/>
        <w:ind w:firstLine="560" w:firstLineChars="200"/>
        <w:rPr>
          <w:rFonts w:hint="eastAsia"/>
          <w:sz w:val="28"/>
        </w:rPr>
      </w:pPr>
      <w:r>
        <w:rPr>
          <w:rFonts w:hint="eastAsia"/>
          <w:sz w:val="28"/>
        </w:rPr>
        <w:t>九峰街道办事处制订了严格的财务管理措施，对各项“其他经费”事项进行了严格的审核、签批流程。各项单据均有备案，从会计账簿中抽查部分重要支出事项的原始单据或记录来看，支出手续齐全，单证规范，标准相符，财务把关严格，会计核算准确、完整，未出现异常现象。</w:t>
      </w:r>
    </w:p>
    <w:p w14:paraId="38F7B23D">
      <w:pPr>
        <w:spacing w:line="360" w:lineRule="auto"/>
        <w:ind w:firstLine="560" w:firstLineChars="200"/>
        <w:rPr>
          <w:rFonts w:hint="eastAsia"/>
          <w:sz w:val="28"/>
        </w:rPr>
      </w:pPr>
      <w:r>
        <w:rPr>
          <w:rFonts w:hint="eastAsia"/>
          <w:sz w:val="28"/>
        </w:rPr>
        <w:t>（二）项目预算绩效目标的完成情况</w:t>
      </w:r>
    </w:p>
    <w:p w14:paraId="4C8F42A4">
      <w:pPr>
        <w:widowControl/>
        <w:ind w:firstLine="560" w:firstLineChars="200"/>
        <w:jc w:val="left"/>
        <w:rPr>
          <w:rFonts w:hint="eastAsia"/>
          <w:sz w:val="28"/>
        </w:rPr>
      </w:pPr>
      <w:r>
        <w:rPr>
          <w:rFonts w:hint="eastAsia"/>
          <w:sz w:val="28"/>
        </w:rPr>
        <w:t>依据年初“九峰街道办事处其他经费”《项目绩效目标编制说明》，结合2017年度项目实际实施情况，对部分绩效指标做出相应的调整，以期更准确、更有效地反映本项目的绩效情况，具体情况如下表《项目预算绩效评价表》。</w:t>
      </w:r>
    </w:p>
    <w:p w14:paraId="56B1A756">
      <w:pPr>
        <w:widowControl/>
        <w:ind w:firstLine="442" w:firstLineChars="200"/>
        <w:jc w:val="left"/>
        <w:rPr>
          <w:rFonts w:hint="eastAsia" w:ascii="宋体" w:hAnsi="宋体" w:cs="宋体"/>
          <w:b/>
          <w:bCs/>
          <w:color w:val="000000"/>
          <w:kern w:val="0"/>
          <w:sz w:val="22"/>
        </w:rPr>
      </w:pPr>
    </w:p>
    <w:tbl>
      <w:tblPr>
        <w:tblStyle w:val="5"/>
        <w:tblW w:w="9228" w:type="dxa"/>
        <w:jc w:val="center"/>
        <w:tblLayout w:type="fixed"/>
        <w:tblCellMar>
          <w:top w:w="0" w:type="dxa"/>
          <w:left w:w="108" w:type="dxa"/>
          <w:bottom w:w="0" w:type="dxa"/>
          <w:right w:w="108" w:type="dxa"/>
        </w:tblCellMar>
      </w:tblPr>
      <w:tblGrid>
        <w:gridCol w:w="700"/>
        <w:gridCol w:w="960"/>
        <w:gridCol w:w="1220"/>
        <w:gridCol w:w="2900"/>
        <w:gridCol w:w="2660"/>
        <w:gridCol w:w="788"/>
      </w:tblGrid>
      <w:tr w14:paraId="36237781">
        <w:tblPrEx>
          <w:tblCellMar>
            <w:top w:w="0" w:type="dxa"/>
            <w:left w:w="108" w:type="dxa"/>
            <w:bottom w:w="0" w:type="dxa"/>
            <w:right w:w="108" w:type="dxa"/>
          </w:tblCellMar>
        </w:tblPrEx>
        <w:trPr>
          <w:trHeight w:val="54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AB02704">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960" w:type="dxa"/>
            <w:tcBorders>
              <w:top w:val="single" w:color="auto" w:sz="4" w:space="0"/>
              <w:left w:val="nil"/>
              <w:bottom w:val="single" w:color="auto" w:sz="4" w:space="0"/>
              <w:right w:val="single" w:color="auto" w:sz="4" w:space="0"/>
            </w:tcBorders>
            <w:shd w:val="clear" w:color="auto" w:fill="auto"/>
            <w:vAlign w:val="center"/>
          </w:tcPr>
          <w:p w14:paraId="2AAB56D8">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6677B387">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900" w:type="dxa"/>
            <w:tcBorders>
              <w:top w:val="single" w:color="auto" w:sz="4" w:space="0"/>
              <w:left w:val="nil"/>
              <w:bottom w:val="single" w:color="auto" w:sz="4" w:space="0"/>
              <w:right w:val="single" w:color="auto" w:sz="4" w:space="0"/>
            </w:tcBorders>
            <w:shd w:val="clear" w:color="auto" w:fill="auto"/>
            <w:vAlign w:val="center"/>
          </w:tcPr>
          <w:p w14:paraId="2DFB5200">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660" w:type="dxa"/>
            <w:tcBorders>
              <w:top w:val="single" w:color="auto" w:sz="4" w:space="0"/>
              <w:left w:val="nil"/>
              <w:bottom w:val="single" w:color="auto" w:sz="4" w:space="0"/>
              <w:right w:val="single" w:color="auto" w:sz="4" w:space="0"/>
            </w:tcBorders>
            <w:shd w:val="clear" w:color="auto" w:fill="auto"/>
            <w:vAlign w:val="center"/>
          </w:tcPr>
          <w:p w14:paraId="40D636B1">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88" w:type="dxa"/>
            <w:tcBorders>
              <w:top w:val="single" w:color="auto" w:sz="4" w:space="0"/>
              <w:left w:val="nil"/>
              <w:bottom w:val="single" w:color="auto" w:sz="4" w:space="0"/>
              <w:right w:val="single" w:color="auto" w:sz="4" w:space="0"/>
            </w:tcBorders>
            <w:shd w:val="clear" w:color="auto" w:fill="auto"/>
            <w:vAlign w:val="center"/>
          </w:tcPr>
          <w:p w14:paraId="1D19468F">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7908ABC5">
        <w:tblPrEx>
          <w:tblCellMar>
            <w:top w:w="0" w:type="dxa"/>
            <w:left w:w="108" w:type="dxa"/>
            <w:bottom w:w="0" w:type="dxa"/>
            <w:right w:w="108" w:type="dxa"/>
          </w:tblCellMar>
        </w:tblPrEx>
        <w:trPr>
          <w:trHeight w:val="108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771A393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一、投入（20分）</w:t>
            </w: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22449C8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项目立项（10分）</w:t>
            </w:r>
          </w:p>
        </w:tc>
        <w:tc>
          <w:tcPr>
            <w:tcW w:w="1220" w:type="dxa"/>
            <w:tcBorders>
              <w:top w:val="nil"/>
              <w:left w:val="nil"/>
              <w:bottom w:val="single" w:color="auto" w:sz="4" w:space="0"/>
              <w:right w:val="single" w:color="auto" w:sz="4" w:space="0"/>
            </w:tcBorders>
            <w:shd w:val="clear" w:color="auto" w:fill="auto"/>
            <w:vAlign w:val="center"/>
          </w:tcPr>
          <w:p w14:paraId="1AE3106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项目立项规范性（5分）</w:t>
            </w:r>
          </w:p>
        </w:tc>
        <w:tc>
          <w:tcPr>
            <w:tcW w:w="2900" w:type="dxa"/>
            <w:tcBorders>
              <w:top w:val="nil"/>
              <w:left w:val="nil"/>
              <w:bottom w:val="single" w:color="auto" w:sz="4" w:space="0"/>
              <w:right w:val="single" w:color="auto" w:sz="4" w:space="0"/>
            </w:tcBorders>
            <w:shd w:val="clear" w:color="auto" w:fill="auto"/>
            <w:vAlign w:val="center"/>
          </w:tcPr>
          <w:p w14:paraId="5F09D7D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项目的申请、设立过程是否符合相关要求，用以反映和考核项目立项的规范情况。</w:t>
            </w:r>
          </w:p>
        </w:tc>
        <w:tc>
          <w:tcPr>
            <w:tcW w:w="2660" w:type="dxa"/>
            <w:tcBorders>
              <w:top w:val="nil"/>
              <w:left w:val="nil"/>
              <w:bottom w:val="single" w:color="auto" w:sz="4" w:space="0"/>
              <w:right w:val="single" w:color="auto" w:sz="4" w:space="0"/>
            </w:tcBorders>
            <w:shd w:val="clear" w:color="auto" w:fill="auto"/>
            <w:vAlign w:val="center"/>
          </w:tcPr>
          <w:p w14:paraId="5EEA7A5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本项目经费为持续性、常年性项目，项目立项规范，符合相关政策要求。</w:t>
            </w:r>
          </w:p>
        </w:tc>
        <w:tc>
          <w:tcPr>
            <w:tcW w:w="788" w:type="dxa"/>
            <w:tcBorders>
              <w:top w:val="nil"/>
              <w:left w:val="nil"/>
              <w:bottom w:val="single" w:color="auto" w:sz="4" w:space="0"/>
              <w:right w:val="single" w:color="auto" w:sz="4" w:space="0"/>
            </w:tcBorders>
            <w:shd w:val="clear" w:color="auto" w:fill="auto"/>
            <w:vAlign w:val="center"/>
          </w:tcPr>
          <w:p w14:paraId="17EB0F7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34D4FDF1">
        <w:tblPrEx>
          <w:tblCellMar>
            <w:top w:w="0" w:type="dxa"/>
            <w:left w:w="108" w:type="dxa"/>
            <w:bottom w:w="0" w:type="dxa"/>
            <w:right w:w="108" w:type="dxa"/>
          </w:tblCellMar>
        </w:tblPrEx>
        <w:trPr>
          <w:trHeight w:val="162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4AEF0229">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415B118B">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653445B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绩效目标合理性（5分）</w:t>
            </w:r>
          </w:p>
        </w:tc>
        <w:tc>
          <w:tcPr>
            <w:tcW w:w="2900" w:type="dxa"/>
            <w:tcBorders>
              <w:top w:val="nil"/>
              <w:left w:val="nil"/>
              <w:bottom w:val="single" w:color="auto" w:sz="4" w:space="0"/>
              <w:right w:val="single" w:color="auto" w:sz="4" w:space="0"/>
            </w:tcBorders>
            <w:shd w:val="clear" w:color="auto" w:fill="auto"/>
            <w:vAlign w:val="center"/>
          </w:tcPr>
          <w:p w14:paraId="1774FC26">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项目是否设定绩效目标和绩效指标，所设定的绩效目标和指标是否符合实际，用以反映和考核项目绩效目标与项目实施的相符情况。</w:t>
            </w:r>
          </w:p>
        </w:tc>
        <w:tc>
          <w:tcPr>
            <w:tcW w:w="2660" w:type="dxa"/>
            <w:tcBorders>
              <w:top w:val="nil"/>
              <w:left w:val="nil"/>
              <w:bottom w:val="single" w:color="auto" w:sz="4" w:space="0"/>
              <w:right w:val="single" w:color="auto" w:sz="4" w:space="0"/>
            </w:tcBorders>
            <w:shd w:val="clear" w:color="auto" w:fill="auto"/>
            <w:vAlign w:val="center"/>
          </w:tcPr>
          <w:p w14:paraId="6DC6579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项目设定了绩效目标和绩效指标，所设定的绩效目标和指标基本符合实际，但设立的指标较为单一，部分目标没有体现。</w:t>
            </w:r>
          </w:p>
        </w:tc>
        <w:tc>
          <w:tcPr>
            <w:tcW w:w="788" w:type="dxa"/>
            <w:tcBorders>
              <w:top w:val="nil"/>
              <w:left w:val="nil"/>
              <w:bottom w:val="single" w:color="auto" w:sz="4" w:space="0"/>
              <w:right w:val="single" w:color="auto" w:sz="4" w:space="0"/>
            </w:tcBorders>
            <w:shd w:val="clear" w:color="auto" w:fill="auto"/>
            <w:vAlign w:val="center"/>
          </w:tcPr>
          <w:p w14:paraId="46A843E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65F8B737">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2079C42C">
            <w:pPr>
              <w:widowControl/>
              <w:jc w:val="left"/>
              <w:rPr>
                <w:rFonts w:ascii="楷体_GB2312" w:hAnsi="宋体" w:eastAsia="楷体_GB2312" w:cs="宋体"/>
                <w:color w:val="000000"/>
                <w:kern w:val="0"/>
                <w:sz w:val="22"/>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4A15B31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资金落实（10分）</w:t>
            </w:r>
          </w:p>
        </w:tc>
        <w:tc>
          <w:tcPr>
            <w:tcW w:w="1220" w:type="dxa"/>
            <w:tcBorders>
              <w:top w:val="nil"/>
              <w:left w:val="nil"/>
              <w:bottom w:val="single" w:color="auto" w:sz="4" w:space="0"/>
              <w:right w:val="single" w:color="auto" w:sz="4" w:space="0"/>
            </w:tcBorders>
            <w:shd w:val="clear" w:color="auto" w:fill="auto"/>
            <w:vAlign w:val="center"/>
          </w:tcPr>
          <w:p w14:paraId="36B2D2B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资金到位率（5分）</w:t>
            </w:r>
          </w:p>
        </w:tc>
        <w:tc>
          <w:tcPr>
            <w:tcW w:w="2900" w:type="dxa"/>
            <w:tcBorders>
              <w:top w:val="nil"/>
              <w:left w:val="nil"/>
              <w:bottom w:val="single" w:color="auto" w:sz="4" w:space="0"/>
              <w:right w:val="single" w:color="auto" w:sz="4" w:space="0"/>
            </w:tcBorders>
            <w:shd w:val="clear" w:color="auto" w:fill="auto"/>
            <w:vAlign w:val="center"/>
          </w:tcPr>
          <w:p w14:paraId="60891BD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实际到位资金与计划投入资金的比率，用以反映和考核资金落实情况对项目实施的总体保障程度。</w:t>
            </w:r>
          </w:p>
        </w:tc>
        <w:tc>
          <w:tcPr>
            <w:tcW w:w="2660" w:type="dxa"/>
            <w:tcBorders>
              <w:top w:val="nil"/>
              <w:left w:val="nil"/>
              <w:bottom w:val="single" w:color="auto" w:sz="4" w:space="0"/>
              <w:right w:val="single" w:color="auto" w:sz="4" w:space="0"/>
            </w:tcBorders>
            <w:shd w:val="clear" w:color="auto" w:fill="auto"/>
            <w:vAlign w:val="center"/>
          </w:tcPr>
          <w:p w14:paraId="14EDD98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实际拨付363.15万元，资金到位率97.07%</w:t>
            </w:r>
          </w:p>
        </w:tc>
        <w:tc>
          <w:tcPr>
            <w:tcW w:w="788" w:type="dxa"/>
            <w:tcBorders>
              <w:top w:val="nil"/>
              <w:left w:val="nil"/>
              <w:bottom w:val="single" w:color="auto" w:sz="4" w:space="0"/>
              <w:right w:val="single" w:color="auto" w:sz="4" w:space="0"/>
            </w:tcBorders>
            <w:shd w:val="clear" w:color="auto" w:fill="auto"/>
            <w:vAlign w:val="center"/>
          </w:tcPr>
          <w:p w14:paraId="3DD7B86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494A3BEE">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7BA3DD66">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5BA39235">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4A405AF5">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到位及时率（5分）</w:t>
            </w:r>
          </w:p>
        </w:tc>
        <w:tc>
          <w:tcPr>
            <w:tcW w:w="2900" w:type="dxa"/>
            <w:tcBorders>
              <w:top w:val="nil"/>
              <w:left w:val="nil"/>
              <w:bottom w:val="single" w:color="auto" w:sz="4" w:space="0"/>
              <w:right w:val="single" w:color="auto" w:sz="4" w:space="0"/>
            </w:tcBorders>
            <w:shd w:val="clear" w:color="auto" w:fill="auto"/>
            <w:vAlign w:val="center"/>
          </w:tcPr>
          <w:p w14:paraId="770121D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及时到位资金与应到位资金的比率，用以反映和考核项目资金落实的及时性程度。</w:t>
            </w:r>
          </w:p>
        </w:tc>
        <w:tc>
          <w:tcPr>
            <w:tcW w:w="2660" w:type="dxa"/>
            <w:tcBorders>
              <w:top w:val="nil"/>
              <w:left w:val="nil"/>
              <w:bottom w:val="single" w:color="auto" w:sz="4" w:space="0"/>
              <w:right w:val="single" w:color="auto" w:sz="4" w:space="0"/>
            </w:tcBorders>
            <w:shd w:val="clear" w:color="auto" w:fill="auto"/>
            <w:vAlign w:val="center"/>
          </w:tcPr>
          <w:p w14:paraId="6790CFEE">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及时拨付各社区项目资金，资金到位及时率100%</w:t>
            </w:r>
          </w:p>
        </w:tc>
        <w:tc>
          <w:tcPr>
            <w:tcW w:w="788" w:type="dxa"/>
            <w:tcBorders>
              <w:top w:val="nil"/>
              <w:left w:val="nil"/>
              <w:bottom w:val="single" w:color="auto" w:sz="4" w:space="0"/>
              <w:right w:val="single" w:color="auto" w:sz="4" w:space="0"/>
            </w:tcBorders>
            <w:shd w:val="clear" w:color="auto" w:fill="auto"/>
            <w:vAlign w:val="center"/>
          </w:tcPr>
          <w:p w14:paraId="1C22D39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5</w:t>
            </w:r>
          </w:p>
        </w:tc>
      </w:tr>
      <w:tr w14:paraId="519CBC52">
        <w:tblPrEx>
          <w:tblCellMar>
            <w:top w:w="0" w:type="dxa"/>
            <w:left w:w="108" w:type="dxa"/>
            <w:bottom w:w="0" w:type="dxa"/>
            <w:right w:w="108" w:type="dxa"/>
          </w:tblCellMar>
        </w:tblPrEx>
        <w:trPr>
          <w:trHeight w:val="270" w:hRule="atLeast"/>
          <w:jc w:val="center"/>
        </w:trPr>
        <w:tc>
          <w:tcPr>
            <w:tcW w:w="8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D50186">
            <w:pPr>
              <w:widowControl/>
              <w:jc w:val="center"/>
              <w:rPr>
                <w:rFonts w:ascii="宋体" w:hAnsi="宋体" w:cs="宋体"/>
                <w:b/>
                <w:bCs/>
                <w:color w:val="000000"/>
                <w:kern w:val="0"/>
                <w:sz w:val="22"/>
              </w:rPr>
            </w:pPr>
            <w:r>
              <w:rPr>
                <w:rFonts w:hint="eastAsia" w:ascii="宋体" w:hAnsi="宋体" w:cs="宋体"/>
                <w:b/>
                <w:bCs/>
                <w:color w:val="000000"/>
                <w:kern w:val="0"/>
                <w:sz w:val="22"/>
              </w:rPr>
              <w:t>投入指标得分小计</w:t>
            </w:r>
          </w:p>
        </w:tc>
        <w:tc>
          <w:tcPr>
            <w:tcW w:w="788" w:type="dxa"/>
            <w:tcBorders>
              <w:top w:val="nil"/>
              <w:left w:val="nil"/>
              <w:bottom w:val="single" w:color="auto" w:sz="4" w:space="0"/>
              <w:right w:val="single" w:color="auto" w:sz="4" w:space="0"/>
            </w:tcBorders>
            <w:shd w:val="clear" w:color="auto" w:fill="auto"/>
            <w:vAlign w:val="center"/>
          </w:tcPr>
          <w:p w14:paraId="1A95533C">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17</w:t>
            </w:r>
          </w:p>
        </w:tc>
      </w:tr>
      <w:tr w14:paraId="3E3B1F29">
        <w:tblPrEx>
          <w:tblCellMar>
            <w:top w:w="0" w:type="dxa"/>
            <w:left w:w="108" w:type="dxa"/>
            <w:bottom w:w="0" w:type="dxa"/>
            <w:right w:w="108" w:type="dxa"/>
          </w:tblCellMar>
        </w:tblPrEx>
        <w:trPr>
          <w:trHeight w:val="108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10D8D5E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二、过程（20分）</w:t>
            </w: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CE3BE3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项目管理（10分）</w:t>
            </w:r>
          </w:p>
        </w:tc>
        <w:tc>
          <w:tcPr>
            <w:tcW w:w="1220" w:type="dxa"/>
            <w:tcBorders>
              <w:top w:val="nil"/>
              <w:left w:val="nil"/>
              <w:bottom w:val="single" w:color="auto" w:sz="4" w:space="0"/>
              <w:right w:val="single" w:color="auto" w:sz="4" w:space="0"/>
            </w:tcBorders>
            <w:shd w:val="clear" w:color="auto" w:fill="auto"/>
            <w:vAlign w:val="center"/>
          </w:tcPr>
          <w:p w14:paraId="67FCF03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管理制度健全性（5分）</w:t>
            </w:r>
          </w:p>
        </w:tc>
        <w:tc>
          <w:tcPr>
            <w:tcW w:w="2900" w:type="dxa"/>
            <w:tcBorders>
              <w:top w:val="nil"/>
              <w:left w:val="nil"/>
              <w:bottom w:val="single" w:color="auto" w:sz="4" w:space="0"/>
              <w:right w:val="single" w:color="auto" w:sz="4" w:space="0"/>
            </w:tcBorders>
            <w:shd w:val="clear" w:color="auto" w:fill="auto"/>
            <w:vAlign w:val="center"/>
          </w:tcPr>
          <w:p w14:paraId="0D6B04F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项目管理制度是否健全，用以反映和考核项目管理制度对项目顺利实施的保障情况。</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14:paraId="009CB75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建立了“其他”专项经费工作机制，基本执行到位。</w:t>
            </w:r>
          </w:p>
        </w:tc>
        <w:tc>
          <w:tcPr>
            <w:tcW w:w="788" w:type="dxa"/>
            <w:tcBorders>
              <w:top w:val="nil"/>
              <w:left w:val="nil"/>
              <w:bottom w:val="single" w:color="auto" w:sz="4" w:space="0"/>
              <w:right w:val="single" w:color="auto" w:sz="4" w:space="0"/>
            </w:tcBorders>
            <w:shd w:val="clear" w:color="auto" w:fill="auto"/>
            <w:vAlign w:val="center"/>
          </w:tcPr>
          <w:p w14:paraId="77A999B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63D84DAB">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CC02425">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74F439A8">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69FF6EF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管理制度执行有效性 （5分）</w:t>
            </w:r>
          </w:p>
        </w:tc>
        <w:tc>
          <w:tcPr>
            <w:tcW w:w="2900" w:type="dxa"/>
            <w:tcBorders>
              <w:top w:val="nil"/>
              <w:left w:val="nil"/>
              <w:bottom w:val="single" w:color="auto" w:sz="4" w:space="0"/>
              <w:right w:val="single" w:color="auto" w:sz="4" w:space="0"/>
            </w:tcBorders>
            <w:shd w:val="clear" w:color="auto" w:fill="auto"/>
            <w:vAlign w:val="center"/>
          </w:tcPr>
          <w:p w14:paraId="2658AA83">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项目实施是否符合相关项目管理规定，用以反映和考核项目管理制度的有效执行情况。</w:t>
            </w:r>
          </w:p>
        </w:tc>
        <w:tc>
          <w:tcPr>
            <w:tcW w:w="2660" w:type="dxa"/>
            <w:vMerge w:val="continue"/>
            <w:tcBorders>
              <w:top w:val="nil"/>
              <w:left w:val="single" w:color="auto" w:sz="4" w:space="0"/>
              <w:bottom w:val="single" w:color="auto" w:sz="4" w:space="0"/>
              <w:right w:val="single" w:color="auto" w:sz="4" w:space="0"/>
            </w:tcBorders>
            <w:shd w:val="clear" w:color="auto" w:fill="auto"/>
            <w:vAlign w:val="center"/>
          </w:tcPr>
          <w:p w14:paraId="600E8D70">
            <w:pPr>
              <w:widowControl/>
              <w:jc w:val="left"/>
              <w:rPr>
                <w:rFonts w:ascii="楷体_GB2312" w:hAnsi="宋体" w:eastAsia="楷体_GB2312" w:cs="宋体"/>
                <w:color w:val="000000"/>
                <w:kern w:val="0"/>
                <w:sz w:val="22"/>
              </w:rPr>
            </w:pPr>
          </w:p>
        </w:tc>
        <w:tc>
          <w:tcPr>
            <w:tcW w:w="788" w:type="dxa"/>
            <w:tcBorders>
              <w:top w:val="nil"/>
              <w:left w:val="nil"/>
              <w:bottom w:val="single" w:color="auto" w:sz="4" w:space="0"/>
              <w:right w:val="single" w:color="auto" w:sz="4" w:space="0"/>
            </w:tcBorders>
            <w:shd w:val="clear" w:color="auto" w:fill="auto"/>
            <w:vAlign w:val="center"/>
          </w:tcPr>
          <w:p w14:paraId="40404D8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C4EF487">
        <w:tblPrEx>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048F44FF">
            <w:pPr>
              <w:widowControl/>
              <w:jc w:val="left"/>
              <w:rPr>
                <w:rFonts w:ascii="楷体_GB2312" w:hAnsi="宋体" w:eastAsia="楷体_GB2312" w:cs="宋体"/>
                <w:color w:val="000000"/>
                <w:kern w:val="0"/>
                <w:sz w:val="22"/>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19FA7DF5">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财务管理（10分）</w:t>
            </w:r>
          </w:p>
        </w:tc>
        <w:tc>
          <w:tcPr>
            <w:tcW w:w="1220" w:type="dxa"/>
            <w:tcBorders>
              <w:top w:val="nil"/>
              <w:left w:val="nil"/>
              <w:bottom w:val="single" w:color="auto" w:sz="4" w:space="0"/>
              <w:right w:val="single" w:color="auto" w:sz="4" w:space="0"/>
            </w:tcBorders>
            <w:shd w:val="clear" w:color="auto" w:fill="auto"/>
            <w:vAlign w:val="center"/>
          </w:tcPr>
          <w:p w14:paraId="5E243F2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财务制度健全性（5分）</w:t>
            </w:r>
          </w:p>
        </w:tc>
        <w:tc>
          <w:tcPr>
            <w:tcW w:w="2900" w:type="dxa"/>
            <w:tcBorders>
              <w:top w:val="nil"/>
              <w:left w:val="nil"/>
              <w:bottom w:val="single" w:color="auto" w:sz="4" w:space="0"/>
              <w:right w:val="single" w:color="auto" w:sz="4" w:space="0"/>
            </w:tcBorders>
            <w:shd w:val="clear" w:color="auto" w:fill="auto"/>
            <w:vAlign w:val="center"/>
          </w:tcPr>
          <w:p w14:paraId="2F67300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项目实施单位的财务制度是否健全，用以反映和考核财务管理制度对资金规范、安全运行的保障情况。</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14:paraId="6B22EBE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制订了严格的财务管理措施，明确了授权和审核、签批流程，每项支出均有迹可循；会计账簿中重要支出事项原始单据或记录手续齐全，单证规范，标准相符，财务把关严格，会计核算准确、完整。</w:t>
            </w:r>
          </w:p>
        </w:tc>
        <w:tc>
          <w:tcPr>
            <w:tcW w:w="788" w:type="dxa"/>
            <w:tcBorders>
              <w:top w:val="nil"/>
              <w:left w:val="nil"/>
              <w:bottom w:val="single" w:color="auto" w:sz="4" w:space="0"/>
              <w:right w:val="single" w:color="auto" w:sz="4" w:space="0"/>
            </w:tcBorders>
            <w:shd w:val="clear" w:color="auto" w:fill="auto"/>
            <w:vAlign w:val="center"/>
          </w:tcPr>
          <w:p w14:paraId="314E0EC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0CD5B662">
        <w:tblPrEx>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75A349D">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5A44FAAB">
            <w:pPr>
              <w:widowControl/>
              <w:jc w:val="left"/>
              <w:rPr>
                <w:rFonts w:ascii="楷体_GB2312" w:hAnsi="宋体" w:eastAsia="楷体_GB2312" w:cs="宋体"/>
                <w:color w:val="000000"/>
                <w:kern w:val="0"/>
                <w:sz w:val="22"/>
              </w:rPr>
            </w:pPr>
          </w:p>
        </w:tc>
        <w:tc>
          <w:tcPr>
            <w:tcW w:w="1220" w:type="dxa"/>
            <w:tcBorders>
              <w:top w:val="nil"/>
              <w:left w:val="nil"/>
              <w:bottom w:val="single" w:color="auto" w:sz="4" w:space="0"/>
              <w:right w:val="single" w:color="auto" w:sz="4" w:space="0"/>
            </w:tcBorders>
            <w:shd w:val="clear" w:color="auto" w:fill="auto"/>
            <w:vAlign w:val="center"/>
          </w:tcPr>
          <w:p w14:paraId="0B2A1E5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财务制度执行有效性 （5分）</w:t>
            </w:r>
          </w:p>
        </w:tc>
        <w:tc>
          <w:tcPr>
            <w:tcW w:w="2900" w:type="dxa"/>
            <w:tcBorders>
              <w:top w:val="nil"/>
              <w:left w:val="nil"/>
              <w:bottom w:val="single" w:color="auto" w:sz="4" w:space="0"/>
              <w:right w:val="single" w:color="auto" w:sz="4" w:space="0"/>
            </w:tcBorders>
            <w:shd w:val="clear" w:color="auto" w:fill="auto"/>
            <w:vAlign w:val="center"/>
          </w:tcPr>
          <w:p w14:paraId="227FF21B">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项目资金使用和监管是否符合相关的财务管理制度规定，用以反映和考核项目资金的规范运行和安全保障情况。</w:t>
            </w:r>
          </w:p>
        </w:tc>
        <w:tc>
          <w:tcPr>
            <w:tcW w:w="2660" w:type="dxa"/>
            <w:vMerge w:val="continue"/>
            <w:tcBorders>
              <w:top w:val="nil"/>
              <w:left w:val="single" w:color="auto" w:sz="4" w:space="0"/>
              <w:bottom w:val="single" w:color="auto" w:sz="4" w:space="0"/>
              <w:right w:val="single" w:color="auto" w:sz="4" w:space="0"/>
            </w:tcBorders>
            <w:shd w:val="clear" w:color="auto" w:fill="auto"/>
            <w:vAlign w:val="center"/>
          </w:tcPr>
          <w:p w14:paraId="3C366BC2">
            <w:pPr>
              <w:widowControl/>
              <w:jc w:val="left"/>
              <w:rPr>
                <w:rFonts w:ascii="楷体_GB2312" w:hAnsi="宋体" w:eastAsia="楷体_GB2312" w:cs="宋体"/>
                <w:color w:val="000000"/>
                <w:kern w:val="0"/>
                <w:sz w:val="22"/>
              </w:rPr>
            </w:pPr>
          </w:p>
        </w:tc>
        <w:tc>
          <w:tcPr>
            <w:tcW w:w="788" w:type="dxa"/>
            <w:tcBorders>
              <w:top w:val="nil"/>
              <w:left w:val="nil"/>
              <w:bottom w:val="single" w:color="auto" w:sz="4" w:space="0"/>
              <w:right w:val="single" w:color="auto" w:sz="4" w:space="0"/>
            </w:tcBorders>
            <w:shd w:val="clear" w:color="auto" w:fill="auto"/>
            <w:vAlign w:val="center"/>
          </w:tcPr>
          <w:p w14:paraId="3C71DBA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4</w:t>
            </w:r>
          </w:p>
        </w:tc>
      </w:tr>
      <w:tr w14:paraId="36012315">
        <w:tblPrEx>
          <w:tblCellMar>
            <w:top w:w="0" w:type="dxa"/>
            <w:left w:w="108" w:type="dxa"/>
            <w:bottom w:w="0" w:type="dxa"/>
            <w:right w:w="108" w:type="dxa"/>
          </w:tblCellMar>
        </w:tblPrEx>
        <w:trPr>
          <w:trHeight w:val="270" w:hRule="atLeast"/>
          <w:jc w:val="center"/>
        </w:trPr>
        <w:tc>
          <w:tcPr>
            <w:tcW w:w="8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153237">
            <w:pPr>
              <w:widowControl/>
              <w:jc w:val="center"/>
              <w:rPr>
                <w:rFonts w:ascii="宋体" w:hAnsi="宋体" w:cs="宋体"/>
                <w:b/>
                <w:bCs/>
                <w:color w:val="000000"/>
                <w:kern w:val="0"/>
                <w:sz w:val="22"/>
              </w:rPr>
            </w:pPr>
            <w:r>
              <w:rPr>
                <w:rFonts w:hint="eastAsia" w:ascii="宋体" w:hAnsi="宋体" w:cs="宋体"/>
                <w:b/>
                <w:bCs/>
                <w:color w:val="000000"/>
                <w:kern w:val="0"/>
                <w:sz w:val="22"/>
              </w:rPr>
              <w:t>过程指标得分小计</w:t>
            </w:r>
          </w:p>
        </w:tc>
        <w:tc>
          <w:tcPr>
            <w:tcW w:w="788" w:type="dxa"/>
            <w:tcBorders>
              <w:top w:val="nil"/>
              <w:left w:val="nil"/>
              <w:bottom w:val="single" w:color="auto" w:sz="4" w:space="0"/>
              <w:right w:val="single" w:color="auto" w:sz="4" w:space="0"/>
            </w:tcBorders>
            <w:shd w:val="clear" w:color="auto" w:fill="auto"/>
            <w:vAlign w:val="center"/>
          </w:tcPr>
          <w:p w14:paraId="13C7B268">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16</w:t>
            </w:r>
          </w:p>
        </w:tc>
      </w:tr>
      <w:tr w14:paraId="7D6C3DC2">
        <w:tblPrEx>
          <w:tblCellMar>
            <w:top w:w="0" w:type="dxa"/>
            <w:left w:w="108" w:type="dxa"/>
            <w:bottom w:w="0" w:type="dxa"/>
            <w:right w:w="108" w:type="dxa"/>
          </w:tblCellMar>
        </w:tblPrEx>
        <w:trPr>
          <w:trHeight w:val="1901" w:hRule="atLeast"/>
          <w:jc w:val="center"/>
        </w:trPr>
        <w:tc>
          <w:tcPr>
            <w:tcW w:w="9228" w:type="dxa"/>
            <w:gridSpan w:val="6"/>
            <w:tcBorders>
              <w:top w:val="single" w:color="auto" w:sz="4" w:space="0"/>
            </w:tcBorders>
            <w:shd w:val="clear" w:color="auto" w:fill="auto"/>
            <w:vAlign w:val="center"/>
          </w:tcPr>
          <w:p w14:paraId="4D8C678E">
            <w:pPr>
              <w:widowControl/>
              <w:jc w:val="center"/>
              <w:rPr>
                <w:rFonts w:hint="eastAsia" w:ascii="宋体" w:hAnsi="宋体" w:cs="宋体"/>
                <w:b/>
                <w:bCs/>
                <w:color w:val="000000"/>
                <w:kern w:val="0"/>
                <w:sz w:val="22"/>
              </w:rPr>
            </w:pPr>
          </w:p>
          <w:p w14:paraId="26F06104">
            <w:pPr>
              <w:widowControl/>
              <w:jc w:val="center"/>
              <w:rPr>
                <w:rFonts w:hint="eastAsia" w:ascii="宋体" w:hAnsi="宋体" w:cs="宋体"/>
                <w:b/>
                <w:bCs/>
                <w:color w:val="000000"/>
                <w:kern w:val="0"/>
                <w:sz w:val="22"/>
              </w:rPr>
            </w:pPr>
          </w:p>
          <w:p w14:paraId="7E0B6623">
            <w:pPr>
              <w:widowControl/>
              <w:jc w:val="center"/>
              <w:rPr>
                <w:rFonts w:hint="eastAsia" w:ascii="宋体" w:hAnsi="宋体" w:cs="宋体"/>
                <w:b/>
                <w:bCs/>
                <w:color w:val="000000"/>
                <w:kern w:val="0"/>
                <w:sz w:val="22"/>
              </w:rPr>
            </w:pPr>
          </w:p>
          <w:p w14:paraId="7B0944E1">
            <w:pPr>
              <w:widowControl/>
              <w:jc w:val="center"/>
              <w:rPr>
                <w:rFonts w:hint="eastAsia" w:ascii="宋体" w:hAnsi="宋体" w:cs="宋体"/>
                <w:b/>
                <w:bCs/>
                <w:color w:val="000000"/>
                <w:kern w:val="0"/>
                <w:sz w:val="22"/>
              </w:rPr>
            </w:pPr>
          </w:p>
          <w:p w14:paraId="7D53F4E4">
            <w:pPr>
              <w:widowControl/>
              <w:jc w:val="center"/>
              <w:rPr>
                <w:rFonts w:hint="eastAsia" w:ascii="宋体" w:hAnsi="宋体" w:cs="宋体"/>
                <w:b/>
                <w:bCs/>
                <w:color w:val="000000"/>
                <w:kern w:val="0"/>
                <w:sz w:val="22"/>
              </w:rPr>
            </w:pPr>
          </w:p>
          <w:p w14:paraId="5BF20218">
            <w:pPr>
              <w:widowControl/>
              <w:jc w:val="center"/>
              <w:rPr>
                <w:rFonts w:hint="eastAsia" w:ascii="楷体_GB2312" w:hAnsi="宋体" w:eastAsia="楷体_GB2312" w:cs="宋体"/>
                <w:b/>
                <w:bCs/>
                <w:color w:val="000000"/>
                <w:kern w:val="0"/>
                <w:sz w:val="22"/>
              </w:rPr>
            </w:pPr>
          </w:p>
        </w:tc>
      </w:tr>
      <w:tr w14:paraId="7F23E0B4">
        <w:tblPrEx>
          <w:tblCellMar>
            <w:top w:w="0" w:type="dxa"/>
            <w:left w:w="108" w:type="dxa"/>
            <w:bottom w:w="0" w:type="dxa"/>
            <w:right w:w="108" w:type="dxa"/>
          </w:tblCellMar>
        </w:tblPrEx>
        <w:trPr>
          <w:trHeight w:val="309" w:hRule="atLeast"/>
          <w:jc w:val="center"/>
        </w:trPr>
        <w:tc>
          <w:tcPr>
            <w:tcW w:w="9228" w:type="dxa"/>
            <w:gridSpan w:val="6"/>
            <w:tcBorders>
              <w:bottom w:val="single" w:color="auto" w:sz="4" w:space="0"/>
            </w:tcBorders>
            <w:shd w:val="clear" w:color="auto" w:fill="auto"/>
            <w:vAlign w:val="center"/>
          </w:tcPr>
          <w:p w14:paraId="7BD5907E">
            <w:pPr>
              <w:widowControl/>
              <w:jc w:val="left"/>
              <w:rPr>
                <w:rFonts w:hint="eastAsia" w:ascii="楷体_GB2312" w:hAnsi="宋体" w:eastAsia="楷体_GB2312" w:cs="宋体"/>
                <w:b/>
                <w:bCs/>
                <w:color w:val="000000"/>
                <w:kern w:val="0"/>
                <w:sz w:val="22"/>
              </w:rPr>
            </w:pPr>
            <w:r>
              <w:rPr>
                <w:rFonts w:hint="eastAsia" w:ascii="宋体" w:hAnsi="宋体" w:cs="宋体"/>
                <w:b/>
                <w:bCs/>
                <w:color w:val="000000"/>
                <w:kern w:val="0"/>
                <w:sz w:val="22"/>
              </w:rPr>
              <w:t>续表：</w:t>
            </w:r>
          </w:p>
        </w:tc>
      </w:tr>
      <w:tr w14:paraId="69670B3A">
        <w:tblPrEx>
          <w:tblCellMar>
            <w:top w:w="0" w:type="dxa"/>
            <w:left w:w="108" w:type="dxa"/>
            <w:bottom w:w="0" w:type="dxa"/>
            <w:right w:w="108" w:type="dxa"/>
          </w:tblCellMar>
        </w:tblPrEx>
        <w:trPr>
          <w:trHeight w:val="54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DC54A1D">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960" w:type="dxa"/>
            <w:tcBorders>
              <w:top w:val="single" w:color="auto" w:sz="4" w:space="0"/>
              <w:left w:val="nil"/>
              <w:bottom w:val="single" w:color="auto" w:sz="4" w:space="0"/>
              <w:right w:val="single" w:color="auto" w:sz="4" w:space="0"/>
            </w:tcBorders>
            <w:shd w:val="clear" w:color="auto" w:fill="auto"/>
            <w:vAlign w:val="center"/>
          </w:tcPr>
          <w:p w14:paraId="1DC5AE80">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1220" w:type="dxa"/>
            <w:tcBorders>
              <w:top w:val="single" w:color="auto" w:sz="4" w:space="0"/>
              <w:left w:val="nil"/>
              <w:bottom w:val="single" w:color="auto" w:sz="4" w:space="0"/>
              <w:right w:val="single" w:color="auto" w:sz="4" w:space="0"/>
            </w:tcBorders>
            <w:shd w:val="clear" w:color="auto" w:fill="auto"/>
            <w:vAlign w:val="center"/>
          </w:tcPr>
          <w:p w14:paraId="45BB1CCC">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2900" w:type="dxa"/>
            <w:tcBorders>
              <w:top w:val="single" w:color="auto" w:sz="4" w:space="0"/>
              <w:left w:val="nil"/>
              <w:bottom w:val="single" w:color="auto" w:sz="4" w:space="0"/>
              <w:right w:val="single" w:color="auto" w:sz="4" w:space="0"/>
            </w:tcBorders>
            <w:shd w:val="clear" w:color="auto" w:fill="auto"/>
            <w:vAlign w:val="center"/>
          </w:tcPr>
          <w:p w14:paraId="22A12142">
            <w:pPr>
              <w:widowControl/>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660" w:type="dxa"/>
            <w:tcBorders>
              <w:top w:val="single" w:color="auto" w:sz="4" w:space="0"/>
              <w:left w:val="nil"/>
              <w:bottom w:val="single" w:color="auto" w:sz="4" w:space="0"/>
              <w:right w:val="single" w:color="auto" w:sz="4" w:space="0"/>
            </w:tcBorders>
            <w:shd w:val="clear" w:color="auto" w:fill="auto"/>
            <w:vAlign w:val="center"/>
          </w:tcPr>
          <w:p w14:paraId="25F9EDE3">
            <w:pPr>
              <w:widowControl/>
              <w:jc w:val="center"/>
              <w:rPr>
                <w:rFonts w:ascii="宋体" w:hAnsi="宋体" w:cs="宋体"/>
                <w:b/>
                <w:bCs/>
                <w:color w:val="000000"/>
                <w:kern w:val="0"/>
                <w:sz w:val="22"/>
              </w:rPr>
            </w:pPr>
            <w:r>
              <w:rPr>
                <w:rFonts w:hint="eastAsia" w:ascii="宋体" w:hAnsi="宋体" w:cs="宋体"/>
                <w:b/>
                <w:bCs/>
                <w:color w:val="000000"/>
                <w:kern w:val="0"/>
                <w:sz w:val="22"/>
              </w:rPr>
              <w:t>实际情况（实现值）</w:t>
            </w:r>
          </w:p>
        </w:tc>
        <w:tc>
          <w:tcPr>
            <w:tcW w:w="788" w:type="dxa"/>
            <w:tcBorders>
              <w:top w:val="single" w:color="auto" w:sz="4" w:space="0"/>
              <w:left w:val="nil"/>
              <w:bottom w:val="single" w:color="auto" w:sz="4" w:space="0"/>
              <w:right w:val="single" w:color="auto" w:sz="4" w:space="0"/>
            </w:tcBorders>
            <w:shd w:val="clear" w:color="auto" w:fill="auto"/>
            <w:vAlign w:val="center"/>
          </w:tcPr>
          <w:p w14:paraId="671568A9">
            <w:pPr>
              <w:widowControl/>
              <w:jc w:val="center"/>
              <w:rPr>
                <w:rFonts w:ascii="宋体" w:hAnsi="宋体" w:cs="宋体"/>
                <w:b/>
                <w:bCs/>
                <w:color w:val="000000"/>
                <w:kern w:val="0"/>
                <w:sz w:val="22"/>
              </w:rPr>
            </w:pPr>
            <w:r>
              <w:rPr>
                <w:rFonts w:hint="eastAsia" w:ascii="宋体" w:hAnsi="宋体" w:cs="宋体"/>
                <w:b/>
                <w:bCs/>
                <w:color w:val="000000"/>
                <w:kern w:val="0"/>
                <w:sz w:val="22"/>
              </w:rPr>
              <w:t>评价得分</w:t>
            </w:r>
          </w:p>
        </w:tc>
      </w:tr>
      <w:tr w14:paraId="4B8703B0">
        <w:tblPrEx>
          <w:tblCellMar>
            <w:top w:w="0" w:type="dxa"/>
            <w:left w:w="108" w:type="dxa"/>
            <w:bottom w:w="0" w:type="dxa"/>
            <w:right w:w="108" w:type="dxa"/>
          </w:tblCellMar>
        </w:tblPrEx>
        <w:trPr>
          <w:trHeight w:val="27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7828AAF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三、产出（30分）</w:t>
            </w:r>
          </w:p>
        </w:tc>
        <w:tc>
          <w:tcPr>
            <w:tcW w:w="960" w:type="dxa"/>
            <w:vMerge w:val="restart"/>
            <w:tcBorders>
              <w:top w:val="nil"/>
              <w:left w:val="single" w:color="auto" w:sz="4" w:space="0"/>
              <w:bottom w:val="nil"/>
              <w:right w:val="single" w:color="auto" w:sz="4" w:space="0"/>
            </w:tcBorders>
            <w:shd w:val="clear" w:color="auto" w:fill="auto"/>
            <w:vAlign w:val="center"/>
          </w:tcPr>
          <w:p w14:paraId="7690A5C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数量指标（18分）</w:t>
            </w:r>
          </w:p>
        </w:tc>
        <w:tc>
          <w:tcPr>
            <w:tcW w:w="1220" w:type="dxa"/>
            <w:vMerge w:val="restart"/>
            <w:tcBorders>
              <w:top w:val="nil"/>
              <w:left w:val="single" w:color="auto" w:sz="4" w:space="0"/>
              <w:bottom w:val="nil"/>
              <w:right w:val="single" w:color="auto" w:sz="4" w:space="0"/>
            </w:tcBorders>
            <w:shd w:val="clear" w:color="auto" w:fill="auto"/>
            <w:vAlign w:val="center"/>
          </w:tcPr>
          <w:p w14:paraId="1D5D6CA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进行保护区的绿化管理工作（18分）</w:t>
            </w:r>
          </w:p>
        </w:tc>
        <w:tc>
          <w:tcPr>
            <w:tcW w:w="2900" w:type="dxa"/>
            <w:tcBorders>
              <w:top w:val="nil"/>
              <w:left w:val="nil"/>
              <w:bottom w:val="single" w:color="auto" w:sz="4" w:space="0"/>
              <w:right w:val="single" w:color="auto" w:sz="4" w:space="0"/>
            </w:tcBorders>
            <w:shd w:val="clear" w:color="auto" w:fill="auto"/>
            <w:vAlign w:val="center"/>
          </w:tcPr>
          <w:p w14:paraId="4B69FFB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护林员巡视天数230天</w:t>
            </w:r>
          </w:p>
        </w:tc>
        <w:tc>
          <w:tcPr>
            <w:tcW w:w="2660" w:type="dxa"/>
            <w:tcBorders>
              <w:top w:val="nil"/>
              <w:left w:val="nil"/>
              <w:bottom w:val="single" w:color="auto" w:sz="4" w:space="0"/>
              <w:right w:val="single" w:color="auto" w:sz="4" w:space="0"/>
            </w:tcBorders>
            <w:shd w:val="clear" w:color="auto" w:fill="auto"/>
            <w:vAlign w:val="center"/>
          </w:tcPr>
          <w:p w14:paraId="395D1CA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88" w:type="dxa"/>
            <w:tcBorders>
              <w:top w:val="nil"/>
              <w:left w:val="nil"/>
              <w:bottom w:val="single" w:color="auto" w:sz="4" w:space="0"/>
              <w:right w:val="single" w:color="auto" w:sz="4" w:space="0"/>
            </w:tcBorders>
            <w:shd w:val="clear" w:color="auto" w:fill="auto"/>
            <w:vAlign w:val="center"/>
          </w:tcPr>
          <w:p w14:paraId="786B182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1AA3EB08">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4D456C34">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nil"/>
              <w:right w:val="single" w:color="auto" w:sz="4" w:space="0"/>
            </w:tcBorders>
            <w:shd w:val="clear" w:color="auto" w:fill="auto"/>
            <w:vAlign w:val="center"/>
          </w:tcPr>
          <w:p w14:paraId="49DDA1A1">
            <w:pPr>
              <w:widowControl/>
              <w:jc w:val="left"/>
              <w:rPr>
                <w:rFonts w:ascii="楷体_GB2312" w:hAnsi="宋体" w:eastAsia="楷体_GB2312" w:cs="宋体"/>
                <w:color w:val="000000"/>
                <w:kern w:val="0"/>
                <w:sz w:val="22"/>
              </w:rPr>
            </w:pPr>
          </w:p>
        </w:tc>
        <w:tc>
          <w:tcPr>
            <w:tcW w:w="1220" w:type="dxa"/>
            <w:vMerge w:val="continue"/>
            <w:tcBorders>
              <w:top w:val="nil"/>
              <w:left w:val="single" w:color="auto" w:sz="4" w:space="0"/>
              <w:bottom w:val="nil"/>
              <w:right w:val="single" w:color="auto" w:sz="4" w:space="0"/>
            </w:tcBorders>
            <w:shd w:val="clear" w:color="auto" w:fill="auto"/>
            <w:vAlign w:val="center"/>
          </w:tcPr>
          <w:p w14:paraId="74244AFF">
            <w:pPr>
              <w:widowControl/>
              <w:jc w:val="left"/>
              <w:rPr>
                <w:rFonts w:ascii="楷体_GB2312" w:hAnsi="宋体" w:eastAsia="楷体_GB2312" w:cs="宋体"/>
                <w:color w:val="000000"/>
                <w:kern w:val="0"/>
                <w:sz w:val="22"/>
              </w:rPr>
            </w:pPr>
          </w:p>
        </w:tc>
        <w:tc>
          <w:tcPr>
            <w:tcW w:w="2900" w:type="dxa"/>
            <w:tcBorders>
              <w:top w:val="nil"/>
              <w:left w:val="nil"/>
              <w:bottom w:val="single" w:color="auto" w:sz="4" w:space="0"/>
              <w:right w:val="single" w:color="auto" w:sz="4" w:space="0"/>
            </w:tcBorders>
            <w:shd w:val="clear" w:color="auto" w:fill="auto"/>
            <w:vAlign w:val="center"/>
          </w:tcPr>
          <w:p w14:paraId="3C1D88B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绿化宣传活动3次/年</w:t>
            </w:r>
          </w:p>
        </w:tc>
        <w:tc>
          <w:tcPr>
            <w:tcW w:w="2660" w:type="dxa"/>
            <w:tcBorders>
              <w:top w:val="nil"/>
              <w:left w:val="nil"/>
              <w:bottom w:val="single" w:color="auto" w:sz="4" w:space="0"/>
              <w:right w:val="single" w:color="auto" w:sz="4" w:space="0"/>
            </w:tcBorders>
            <w:shd w:val="clear" w:color="auto" w:fill="auto"/>
            <w:vAlign w:val="center"/>
          </w:tcPr>
          <w:p w14:paraId="4F935E1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3次</w:t>
            </w:r>
          </w:p>
        </w:tc>
        <w:tc>
          <w:tcPr>
            <w:tcW w:w="788" w:type="dxa"/>
            <w:tcBorders>
              <w:top w:val="nil"/>
              <w:left w:val="nil"/>
              <w:bottom w:val="single" w:color="auto" w:sz="4" w:space="0"/>
              <w:right w:val="single" w:color="auto" w:sz="4" w:space="0"/>
            </w:tcBorders>
            <w:shd w:val="clear" w:color="auto" w:fill="auto"/>
            <w:vAlign w:val="center"/>
          </w:tcPr>
          <w:p w14:paraId="6EFA134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3024B9C2">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6CDFD549">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nil"/>
              <w:right w:val="single" w:color="auto" w:sz="4" w:space="0"/>
            </w:tcBorders>
            <w:shd w:val="clear" w:color="auto" w:fill="auto"/>
            <w:vAlign w:val="center"/>
          </w:tcPr>
          <w:p w14:paraId="6844EEB7">
            <w:pPr>
              <w:widowControl/>
              <w:jc w:val="left"/>
              <w:rPr>
                <w:rFonts w:ascii="楷体_GB2312" w:hAnsi="宋体" w:eastAsia="楷体_GB2312" w:cs="宋体"/>
                <w:color w:val="000000"/>
                <w:kern w:val="0"/>
                <w:sz w:val="22"/>
              </w:rPr>
            </w:pPr>
          </w:p>
        </w:tc>
        <w:tc>
          <w:tcPr>
            <w:tcW w:w="1220" w:type="dxa"/>
            <w:vMerge w:val="continue"/>
            <w:tcBorders>
              <w:top w:val="nil"/>
              <w:left w:val="single" w:color="auto" w:sz="4" w:space="0"/>
              <w:bottom w:val="nil"/>
              <w:right w:val="single" w:color="auto" w:sz="4" w:space="0"/>
            </w:tcBorders>
            <w:shd w:val="clear" w:color="auto" w:fill="auto"/>
            <w:vAlign w:val="center"/>
          </w:tcPr>
          <w:p w14:paraId="1117F590">
            <w:pPr>
              <w:widowControl/>
              <w:jc w:val="left"/>
              <w:rPr>
                <w:rFonts w:ascii="楷体_GB2312" w:hAnsi="宋体" w:eastAsia="楷体_GB2312" w:cs="宋体"/>
                <w:color w:val="000000"/>
                <w:kern w:val="0"/>
                <w:sz w:val="22"/>
              </w:rPr>
            </w:pPr>
          </w:p>
        </w:tc>
        <w:tc>
          <w:tcPr>
            <w:tcW w:w="2900" w:type="dxa"/>
            <w:tcBorders>
              <w:top w:val="nil"/>
              <w:left w:val="nil"/>
              <w:bottom w:val="single" w:color="auto" w:sz="4" w:space="0"/>
              <w:right w:val="single" w:color="auto" w:sz="4" w:space="0"/>
            </w:tcBorders>
            <w:shd w:val="clear" w:color="auto" w:fill="auto"/>
            <w:vAlign w:val="center"/>
          </w:tcPr>
          <w:p w14:paraId="77CD68A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砍伐防火隔离带及杂草10000</w:t>
            </w:r>
            <w:r>
              <w:rPr>
                <w:rFonts w:hint="eastAsia" w:ascii="宋体" w:hAnsi="宋体" w:cs="宋体"/>
                <w:color w:val="000000"/>
                <w:kern w:val="0"/>
                <w:sz w:val="22"/>
              </w:rPr>
              <w:t>㎡</w:t>
            </w:r>
          </w:p>
        </w:tc>
        <w:tc>
          <w:tcPr>
            <w:tcW w:w="2660" w:type="dxa"/>
            <w:tcBorders>
              <w:top w:val="nil"/>
              <w:left w:val="nil"/>
              <w:bottom w:val="single" w:color="auto" w:sz="4" w:space="0"/>
              <w:right w:val="single" w:color="auto" w:sz="4" w:space="0"/>
            </w:tcBorders>
            <w:shd w:val="clear" w:color="auto" w:fill="auto"/>
            <w:vAlign w:val="center"/>
          </w:tcPr>
          <w:p w14:paraId="227606F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＞10000</w:t>
            </w:r>
            <w:r>
              <w:rPr>
                <w:rFonts w:hint="eastAsia" w:ascii="宋体" w:hAnsi="宋体" w:cs="宋体"/>
                <w:color w:val="000000"/>
                <w:kern w:val="0"/>
                <w:sz w:val="22"/>
              </w:rPr>
              <w:t>㎡</w:t>
            </w:r>
          </w:p>
        </w:tc>
        <w:tc>
          <w:tcPr>
            <w:tcW w:w="788" w:type="dxa"/>
            <w:tcBorders>
              <w:top w:val="nil"/>
              <w:left w:val="nil"/>
              <w:bottom w:val="single" w:color="auto" w:sz="4" w:space="0"/>
              <w:right w:val="single" w:color="auto" w:sz="4" w:space="0"/>
            </w:tcBorders>
            <w:shd w:val="clear" w:color="auto" w:fill="auto"/>
            <w:vAlign w:val="center"/>
          </w:tcPr>
          <w:p w14:paraId="0D02114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2FE93AEB">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41B5CC8E">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nil"/>
              <w:right w:val="single" w:color="auto" w:sz="4" w:space="0"/>
            </w:tcBorders>
            <w:shd w:val="clear" w:color="auto" w:fill="auto"/>
            <w:vAlign w:val="center"/>
          </w:tcPr>
          <w:p w14:paraId="016299C8">
            <w:pPr>
              <w:widowControl/>
              <w:jc w:val="left"/>
              <w:rPr>
                <w:rFonts w:ascii="楷体_GB2312" w:hAnsi="宋体" w:eastAsia="楷体_GB2312" w:cs="宋体"/>
                <w:color w:val="000000"/>
                <w:kern w:val="0"/>
                <w:sz w:val="22"/>
              </w:rPr>
            </w:pPr>
          </w:p>
        </w:tc>
        <w:tc>
          <w:tcPr>
            <w:tcW w:w="1220" w:type="dxa"/>
            <w:vMerge w:val="continue"/>
            <w:tcBorders>
              <w:top w:val="nil"/>
              <w:left w:val="single" w:color="auto" w:sz="4" w:space="0"/>
              <w:bottom w:val="nil"/>
              <w:right w:val="single" w:color="auto" w:sz="4" w:space="0"/>
            </w:tcBorders>
            <w:shd w:val="clear" w:color="auto" w:fill="auto"/>
            <w:vAlign w:val="center"/>
          </w:tcPr>
          <w:p w14:paraId="27657CAC">
            <w:pPr>
              <w:widowControl/>
              <w:jc w:val="left"/>
              <w:rPr>
                <w:rFonts w:ascii="楷体_GB2312" w:hAnsi="宋体" w:eastAsia="楷体_GB2312" w:cs="宋体"/>
                <w:color w:val="000000"/>
                <w:kern w:val="0"/>
                <w:sz w:val="22"/>
              </w:rPr>
            </w:pPr>
          </w:p>
        </w:tc>
        <w:tc>
          <w:tcPr>
            <w:tcW w:w="2900" w:type="dxa"/>
            <w:tcBorders>
              <w:top w:val="nil"/>
              <w:left w:val="nil"/>
              <w:bottom w:val="single" w:color="auto" w:sz="4" w:space="0"/>
              <w:right w:val="single" w:color="auto" w:sz="4" w:space="0"/>
            </w:tcBorders>
            <w:shd w:val="clear" w:color="auto" w:fill="auto"/>
            <w:vAlign w:val="center"/>
          </w:tcPr>
          <w:p w14:paraId="374F4BE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专业人员对森林病虫害普查2次/年</w:t>
            </w:r>
          </w:p>
        </w:tc>
        <w:tc>
          <w:tcPr>
            <w:tcW w:w="2660" w:type="dxa"/>
            <w:tcBorders>
              <w:top w:val="nil"/>
              <w:left w:val="nil"/>
              <w:bottom w:val="single" w:color="auto" w:sz="4" w:space="0"/>
              <w:right w:val="single" w:color="auto" w:sz="4" w:space="0"/>
            </w:tcBorders>
            <w:shd w:val="clear" w:color="auto" w:fill="auto"/>
            <w:vAlign w:val="center"/>
          </w:tcPr>
          <w:p w14:paraId="6607BF9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2次</w:t>
            </w:r>
          </w:p>
        </w:tc>
        <w:tc>
          <w:tcPr>
            <w:tcW w:w="788" w:type="dxa"/>
            <w:tcBorders>
              <w:top w:val="nil"/>
              <w:left w:val="nil"/>
              <w:bottom w:val="single" w:color="auto" w:sz="4" w:space="0"/>
              <w:right w:val="single" w:color="auto" w:sz="4" w:space="0"/>
            </w:tcBorders>
            <w:shd w:val="clear" w:color="auto" w:fill="auto"/>
            <w:vAlign w:val="center"/>
          </w:tcPr>
          <w:p w14:paraId="07A4CDD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6AF48386">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3F9E75CF">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nil"/>
              <w:right w:val="single" w:color="auto" w:sz="4" w:space="0"/>
            </w:tcBorders>
            <w:shd w:val="clear" w:color="auto" w:fill="auto"/>
            <w:vAlign w:val="center"/>
          </w:tcPr>
          <w:p w14:paraId="574AECCB">
            <w:pPr>
              <w:widowControl/>
              <w:jc w:val="left"/>
              <w:rPr>
                <w:rFonts w:ascii="楷体_GB2312" w:hAnsi="宋体" w:eastAsia="楷体_GB2312" w:cs="宋体"/>
                <w:color w:val="000000"/>
                <w:kern w:val="0"/>
                <w:sz w:val="22"/>
              </w:rPr>
            </w:pPr>
          </w:p>
        </w:tc>
        <w:tc>
          <w:tcPr>
            <w:tcW w:w="1220" w:type="dxa"/>
            <w:vMerge w:val="continue"/>
            <w:tcBorders>
              <w:top w:val="nil"/>
              <w:left w:val="single" w:color="auto" w:sz="4" w:space="0"/>
              <w:bottom w:val="nil"/>
              <w:right w:val="single" w:color="auto" w:sz="4" w:space="0"/>
            </w:tcBorders>
            <w:shd w:val="clear" w:color="auto" w:fill="auto"/>
            <w:vAlign w:val="center"/>
          </w:tcPr>
          <w:p w14:paraId="68A67694">
            <w:pPr>
              <w:widowControl/>
              <w:jc w:val="left"/>
              <w:rPr>
                <w:rFonts w:ascii="楷体_GB2312" w:hAnsi="宋体" w:eastAsia="楷体_GB2312" w:cs="宋体"/>
                <w:color w:val="000000"/>
                <w:kern w:val="0"/>
                <w:sz w:val="22"/>
              </w:rPr>
            </w:pPr>
          </w:p>
        </w:tc>
        <w:tc>
          <w:tcPr>
            <w:tcW w:w="2900" w:type="dxa"/>
            <w:tcBorders>
              <w:top w:val="nil"/>
              <w:left w:val="nil"/>
              <w:bottom w:val="single" w:color="auto" w:sz="4" w:space="0"/>
              <w:right w:val="single" w:color="auto" w:sz="4" w:space="0"/>
            </w:tcBorders>
            <w:shd w:val="clear" w:color="auto" w:fill="auto"/>
            <w:vAlign w:val="center"/>
          </w:tcPr>
          <w:p w14:paraId="6D9806A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无公害处置病虫害树木棵数100棵</w:t>
            </w:r>
          </w:p>
        </w:tc>
        <w:tc>
          <w:tcPr>
            <w:tcW w:w="2660" w:type="dxa"/>
            <w:tcBorders>
              <w:top w:val="nil"/>
              <w:left w:val="nil"/>
              <w:bottom w:val="single" w:color="auto" w:sz="4" w:space="0"/>
              <w:right w:val="single" w:color="auto" w:sz="4" w:space="0"/>
            </w:tcBorders>
            <w:shd w:val="clear" w:color="auto" w:fill="auto"/>
            <w:vAlign w:val="center"/>
          </w:tcPr>
          <w:p w14:paraId="3EA5E41A">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＞100棵</w:t>
            </w:r>
          </w:p>
        </w:tc>
        <w:tc>
          <w:tcPr>
            <w:tcW w:w="788" w:type="dxa"/>
            <w:tcBorders>
              <w:top w:val="nil"/>
              <w:left w:val="nil"/>
              <w:bottom w:val="single" w:color="auto" w:sz="4" w:space="0"/>
              <w:right w:val="single" w:color="auto" w:sz="4" w:space="0"/>
            </w:tcBorders>
            <w:shd w:val="clear" w:color="auto" w:fill="auto"/>
            <w:vAlign w:val="center"/>
          </w:tcPr>
          <w:p w14:paraId="0A85E18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0EFB6B67">
        <w:tblPrEx>
          <w:tblCellMar>
            <w:top w:w="0" w:type="dxa"/>
            <w:left w:w="108" w:type="dxa"/>
            <w:bottom w:w="0" w:type="dxa"/>
            <w:right w:w="108" w:type="dxa"/>
          </w:tblCellMar>
        </w:tblPrEx>
        <w:trPr>
          <w:trHeight w:val="54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309E2D49">
            <w:pPr>
              <w:widowControl/>
              <w:jc w:val="left"/>
              <w:rPr>
                <w:rFonts w:ascii="楷体_GB2312" w:hAnsi="宋体" w:eastAsia="楷体_GB2312" w:cs="宋体"/>
                <w:color w:val="000000"/>
                <w:kern w:val="0"/>
                <w:sz w:val="22"/>
              </w:rPr>
            </w:pPr>
          </w:p>
        </w:tc>
        <w:tc>
          <w:tcPr>
            <w:tcW w:w="960" w:type="dxa"/>
            <w:vMerge w:val="continue"/>
            <w:tcBorders>
              <w:top w:val="nil"/>
              <w:left w:val="single" w:color="auto" w:sz="4" w:space="0"/>
              <w:bottom w:val="nil"/>
              <w:right w:val="single" w:color="auto" w:sz="4" w:space="0"/>
            </w:tcBorders>
            <w:shd w:val="clear" w:color="auto" w:fill="auto"/>
            <w:vAlign w:val="center"/>
          </w:tcPr>
          <w:p w14:paraId="34A4D3D3">
            <w:pPr>
              <w:widowControl/>
              <w:jc w:val="left"/>
              <w:rPr>
                <w:rFonts w:ascii="楷体_GB2312" w:hAnsi="宋体" w:eastAsia="楷体_GB2312" w:cs="宋体"/>
                <w:color w:val="000000"/>
                <w:kern w:val="0"/>
                <w:sz w:val="22"/>
              </w:rPr>
            </w:pPr>
          </w:p>
        </w:tc>
        <w:tc>
          <w:tcPr>
            <w:tcW w:w="1220" w:type="dxa"/>
            <w:vMerge w:val="continue"/>
            <w:tcBorders>
              <w:top w:val="nil"/>
              <w:left w:val="single" w:color="auto" w:sz="4" w:space="0"/>
              <w:bottom w:val="nil"/>
              <w:right w:val="single" w:color="auto" w:sz="4" w:space="0"/>
            </w:tcBorders>
            <w:shd w:val="clear" w:color="auto" w:fill="auto"/>
            <w:vAlign w:val="center"/>
          </w:tcPr>
          <w:p w14:paraId="487A584B">
            <w:pPr>
              <w:widowControl/>
              <w:jc w:val="left"/>
              <w:rPr>
                <w:rFonts w:ascii="楷体_GB2312" w:hAnsi="宋体" w:eastAsia="楷体_GB2312" w:cs="宋体"/>
                <w:color w:val="000000"/>
                <w:kern w:val="0"/>
                <w:sz w:val="22"/>
              </w:rPr>
            </w:pPr>
          </w:p>
        </w:tc>
        <w:tc>
          <w:tcPr>
            <w:tcW w:w="2900" w:type="dxa"/>
            <w:tcBorders>
              <w:top w:val="nil"/>
              <w:left w:val="nil"/>
              <w:bottom w:val="single" w:color="auto" w:sz="4" w:space="0"/>
              <w:right w:val="single" w:color="auto" w:sz="4" w:space="0"/>
            </w:tcBorders>
            <w:shd w:val="clear" w:color="auto" w:fill="auto"/>
            <w:vAlign w:val="center"/>
          </w:tcPr>
          <w:p w14:paraId="7A57E27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森林火灾过火面积≤20亩/年/村</w:t>
            </w:r>
          </w:p>
        </w:tc>
        <w:tc>
          <w:tcPr>
            <w:tcW w:w="2660" w:type="dxa"/>
            <w:tcBorders>
              <w:top w:val="nil"/>
              <w:left w:val="nil"/>
              <w:bottom w:val="single" w:color="auto" w:sz="4" w:space="0"/>
              <w:right w:val="single" w:color="auto" w:sz="4" w:space="0"/>
            </w:tcBorders>
            <w:shd w:val="clear" w:color="auto" w:fill="auto"/>
            <w:vAlign w:val="center"/>
          </w:tcPr>
          <w:p w14:paraId="7738A234">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＜20亩</w:t>
            </w:r>
          </w:p>
        </w:tc>
        <w:tc>
          <w:tcPr>
            <w:tcW w:w="788" w:type="dxa"/>
            <w:tcBorders>
              <w:top w:val="nil"/>
              <w:left w:val="nil"/>
              <w:bottom w:val="single" w:color="auto" w:sz="4" w:space="0"/>
              <w:right w:val="single" w:color="auto" w:sz="4" w:space="0"/>
            </w:tcBorders>
            <w:shd w:val="clear" w:color="auto" w:fill="auto"/>
            <w:vAlign w:val="center"/>
          </w:tcPr>
          <w:p w14:paraId="4DA5332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37411D90">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008D0FC">
            <w:pPr>
              <w:widowControl/>
              <w:jc w:val="left"/>
              <w:rPr>
                <w:rFonts w:ascii="楷体_GB2312" w:hAnsi="宋体" w:eastAsia="楷体_GB2312" w:cs="宋体"/>
                <w:color w:val="000000"/>
                <w:kern w:val="0"/>
                <w:sz w:val="22"/>
              </w:rPr>
            </w:pPr>
          </w:p>
        </w:tc>
        <w:tc>
          <w:tcPr>
            <w:tcW w:w="960" w:type="dxa"/>
            <w:vMerge w:val="restart"/>
            <w:tcBorders>
              <w:top w:val="single" w:color="auto" w:sz="4" w:space="0"/>
              <w:left w:val="single" w:color="auto" w:sz="4" w:space="0"/>
              <w:bottom w:val="nil"/>
              <w:right w:val="single" w:color="auto" w:sz="4" w:space="0"/>
            </w:tcBorders>
            <w:shd w:val="clear" w:color="auto" w:fill="auto"/>
            <w:vAlign w:val="center"/>
          </w:tcPr>
          <w:p w14:paraId="5613D5A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质量指标（9分）</w:t>
            </w:r>
          </w:p>
        </w:tc>
        <w:tc>
          <w:tcPr>
            <w:tcW w:w="1220" w:type="dxa"/>
            <w:vMerge w:val="restart"/>
            <w:tcBorders>
              <w:top w:val="single" w:color="auto" w:sz="4" w:space="0"/>
              <w:left w:val="single" w:color="auto" w:sz="4" w:space="0"/>
              <w:bottom w:val="nil"/>
              <w:right w:val="single" w:color="auto" w:sz="4" w:space="0"/>
            </w:tcBorders>
            <w:shd w:val="clear" w:color="auto" w:fill="auto"/>
            <w:vAlign w:val="center"/>
          </w:tcPr>
          <w:p w14:paraId="6520CEAF">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覆盖九峰森林区域（9分）</w:t>
            </w:r>
          </w:p>
        </w:tc>
        <w:tc>
          <w:tcPr>
            <w:tcW w:w="2900" w:type="dxa"/>
            <w:tcBorders>
              <w:top w:val="nil"/>
              <w:left w:val="nil"/>
              <w:bottom w:val="single" w:color="auto" w:sz="4" w:space="0"/>
              <w:right w:val="single" w:color="auto" w:sz="4" w:space="0"/>
            </w:tcBorders>
            <w:shd w:val="clear" w:color="auto" w:fill="auto"/>
            <w:vAlign w:val="center"/>
          </w:tcPr>
          <w:p w14:paraId="43A14A5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发现及处置火灾率</w:t>
            </w:r>
          </w:p>
        </w:tc>
        <w:tc>
          <w:tcPr>
            <w:tcW w:w="2660" w:type="dxa"/>
            <w:tcBorders>
              <w:top w:val="nil"/>
              <w:left w:val="nil"/>
              <w:bottom w:val="single" w:color="auto" w:sz="4" w:space="0"/>
              <w:right w:val="single" w:color="auto" w:sz="4" w:space="0"/>
            </w:tcBorders>
            <w:shd w:val="clear" w:color="auto" w:fill="auto"/>
            <w:vAlign w:val="center"/>
          </w:tcPr>
          <w:p w14:paraId="1EE69AB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88" w:type="dxa"/>
            <w:tcBorders>
              <w:top w:val="nil"/>
              <w:left w:val="nil"/>
              <w:bottom w:val="single" w:color="auto" w:sz="4" w:space="0"/>
              <w:right w:val="single" w:color="auto" w:sz="4" w:space="0"/>
            </w:tcBorders>
            <w:shd w:val="clear" w:color="auto" w:fill="auto"/>
            <w:vAlign w:val="center"/>
          </w:tcPr>
          <w:p w14:paraId="642F7341">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42B474FA">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1869F119">
            <w:pPr>
              <w:widowControl/>
              <w:jc w:val="left"/>
              <w:rPr>
                <w:rFonts w:ascii="楷体_GB2312" w:hAnsi="宋体" w:eastAsia="楷体_GB2312" w:cs="宋体"/>
                <w:color w:val="000000"/>
                <w:kern w:val="0"/>
                <w:sz w:val="22"/>
              </w:rPr>
            </w:pPr>
          </w:p>
        </w:tc>
        <w:tc>
          <w:tcPr>
            <w:tcW w:w="960" w:type="dxa"/>
            <w:vMerge w:val="continue"/>
            <w:tcBorders>
              <w:top w:val="single" w:color="auto" w:sz="4" w:space="0"/>
              <w:left w:val="single" w:color="auto" w:sz="4" w:space="0"/>
              <w:bottom w:val="nil"/>
              <w:right w:val="single" w:color="auto" w:sz="4" w:space="0"/>
            </w:tcBorders>
            <w:shd w:val="clear" w:color="auto" w:fill="auto"/>
            <w:vAlign w:val="center"/>
          </w:tcPr>
          <w:p w14:paraId="63E794CB">
            <w:pPr>
              <w:widowControl/>
              <w:jc w:val="left"/>
              <w:rPr>
                <w:rFonts w:ascii="楷体_GB2312" w:hAnsi="宋体" w:eastAsia="楷体_GB2312" w:cs="宋体"/>
                <w:color w:val="000000"/>
                <w:kern w:val="0"/>
                <w:sz w:val="22"/>
              </w:rPr>
            </w:pPr>
          </w:p>
        </w:tc>
        <w:tc>
          <w:tcPr>
            <w:tcW w:w="1220" w:type="dxa"/>
            <w:vMerge w:val="continue"/>
            <w:tcBorders>
              <w:top w:val="single" w:color="auto" w:sz="4" w:space="0"/>
              <w:left w:val="single" w:color="auto" w:sz="4" w:space="0"/>
              <w:bottom w:val="nil"/>
              <w:right w:val="single" w:color="auto" w:sz="4" w:space="0"/>
            </w:tcBorders>
            <w:shd w:val="clear" w:color="auto" w:fill="auto"/>
            <w:vAlign w:val="center"/>
          </w:tcPr>
          <w:p w14:paraId="3AAB2E25">
            <w:pPr>
              <w:widowControl/>
              <w:jc w:val="left"/>
              <w:rPr>
                <w:rFonts w:ascii="楷体_GB2312" w:hAnsi="宋体" w:eastAsia="楷体_GB2312" w:cs="宋体"/>
                <w:color w:val="000000"/>
                <w:kern w:val="0"/>
                <w:sz w:val="22"/>
              </w:rPr>
            </w:pPr>
          </w:p>
        </w:tc>
        <w:tc>
          <w:tcPr>
            <w:tcW w:w="2900" w:type="dxa"/>
            <w:tcBorders>
              <w:top w:val="nil"/>
              <w:left w:val="nil"/>
              <w:bottom w:val="single" w:color="auto" w:sz="4" w:space="0"/>
              <w:right w:val="single" w:color="auto" w:sz="4" w:space="0"/>
            </w:tcBorders>
            <w:shd w:val="clear" w:color="auto" w:fill="auto"/>
            <w:vAlign w:val="center"/>
          </w:tcPr>
          <w:p w14:paraId="52A050C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森林病虫除害处理率</w:t>
            </w:r>
          </w:p>
        </w:tc>
        <w:tc>
          <w:tcPr>
            <w:tcW w:w="2660" w:type="dxa"/>
            <w:tcBorders>
              <w:top w:val="nil"/>
              <w:left w:val="nil"/>
              <w:bottom w:val="single" w:color="auto" w:sz="4" w:space="0"/>
              <w:right w:val="single" w:color="auto" w:sz="4" w:space="0"/>
            </w:tcBorders>
            <w:shd w:val="clear" w:color="auto" w:fill="auto"/>
            <w:vAlign w:val="center"/>
          </w:tcPr>
          <w:p w14:paraId="5D61A88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95%</w:t>
            </w:r>
          </w:p>
        </w:tc>
        <w:tc>
          <w:tcPr>
            <w:tcW w:w="788" w:type="dxa"/>
            <w:tcBorders>
              <w:top w:val="nil"/>
              <w:left w:val="nil"/>
              <w:bottom w:val="single" w:color="auto" w:sz="4" w:space="0"/>
              <w:right w:val="single" w:color="auto" w:sz="4" w:space="0"/>
            </w:tcBorders>
            <w:shd w:val="clear" w:color="auto" w:fill="auto"/>
            <w:vAlign w:val="center"/>
          </w:tcPr>
          <w:p w14:paraId="24E6DED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12018CC1">
        <w:tblPrEx>
          <w:tblCellMar>
            <w:top w:w="0" w:type="dxa"/>
            <w:left w:w="108" w:type="dxa"/>
            <w:bottom w:w="0" w:type="dxa"/>
            <w:right w:w="108" w:type="dxa"/>
          </w:tblCellMar>
        </w:tblPrEx>
        <w:trPr>
          <w:trHeight w:val="27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217493DE">
            <w:pPr>
              <w:widowControl/>
              <w:jc w:val="left"/>
              <w:rPr>
                <w:rFonts w:ascii="楷体_GB2312" w:hAnsi="宋体" w:eastAsia="楷体_GB2312" w:cs="宋体"/>
                <w:color w:val="000000"/>
                <w:kern w:val="0"/>
                <w:sz w:val="22"/>
              </w:rPr>
            </w:pPr>
          </w:p>
        </w:tc>
        <w:tc>
          <w:tcPr>
            <w:tcW w:w="960" w:type="dxa"/>
            <w:vMerge w:val="continue"/>
            <w:tcBorders>
              <w:top w:val="single" w:color="auto" w:sz="4" w:space="0"/>
              <w:left w:val="single" w:color="auto" w:sz="4" w:space="0"/>
              <w:bottom w:val="nil"/>
              <w:right w:val="single" w:color="auto" w:sz="4" w:space="0"/>
            </w:tcBorders>
            <w:shd w:val="clear" w:color="auto" w:fill="auto"/>
            <w:vAlign w:val="center"/>
          </w:tcPr>
          <w:p w14:paraId="2A8D803F">
            <w:pPr>
              <w:widowControl/>
              <w:jc w:val="left"/>
              <w:rPr>
                <w:rFonts w:ascii="楷体_GB2312" w:hAnsi="宋体" w:eastAsia="楷体_GB2312" w:cs="宋体"/>
                <w:color w:val="000000"/>
                <w:kern w:val="0"/>
                <w:sz w:val="22"/>
              </w:rPr>
            </w:pPr>
          </w:p>
        </w:tc>
        <w:tc>
          <w:tcPr>
            <w:tcW w:w="1220" w:type="dxa"/>
            <w:vMerge w:val="continue"/>
            <w:tcBorders>
              <w:top w:val="single" w:color="auto" w:sz="4" w:space="0"/>
              <w:left w:val="single" w:color="auto" w:sz="4" w:space="0"/>
              <w:bottom w:val="nil"/>
              <w:right w:val="single" w:color="auto" w:sz="4" w:space="0"/>
            </w:tcBorders>
            <w:shd w:val="clear" w:color="auto" w:fill="auto"/>
            <w:vAlign w:val="center"/>
          </w:tcPr>
          <w:p w14:paraId="4DAB5A52">
            <w:pPr>
              <w:widowControl/>
              <w:jc w:val="left"/>
              <w:rPr>
                <w:rFonts w:ascii="楷体_GB2312" w:hAnsi="宋体" w:eastAsia="楷体_GB2312" w:cs="宋体"/>
                <w:color w:val="000000"/>
                <w:kern w:val="0"/>
                <w:sz w:val="22"/>
              </w:rPr>
            </w:pPr>
          </w:p>
        </w:tc>
        <w:tc>
          <w:tcPr>
            <w:tcW w:w="2900" w:type="dxa"/>
            <w:tcBorders>
              <w:top w:val="nil"/>
              <w:left w:val="nil"/>
              <w:bottom w:val="single" w:color="auto" w:sz="4" w:space="0"/>
              <w:right w:val="single" w:color="auto" w:sz="4" w:space="0"/>
            </w:tcBorders>
            <w:shd w:val="clear" w:color="auto" w:fill="auto"/>
            <w:vAlign w:val="center"/>
          </w:tcPr>
          <w:p w14:paraId="1C64AF2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病虫害趋势报告及时率</w:t>
            </w:r>
          </w:p>
        </w:tc>
        <w:tc>
          <w:tcPr>
            <w:tcW w:w="2660" w:type="dxa"/>
            <w:tcBorders>
              <w:top w:val="nil"/>
              <w:left w:val="nil"/>
              <w:bottom w:val="single" w:color="auto" w:sz="4" w:space="0"/>
              <w:right w:val="single" w:color="auto" w:sz="4" w:space="0"/>
            </w:tcBorders>
            <w:shd w:val="clear" w:color="auto" w:fill="auto"/>
            <w:vAlign w:val="center"/>
          </w:tcPr>
          <w:p w14:paraId="53500B33">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88" w:type="dxa"/>
            <w:tcBorders>
              <w:top w:val="nil"/>
              <w:left w:val="nil"/>
              <w:bottom w:val="single" w:color="auto" w:sz="4" w:space="0"/>
              <w:right w:val="single" w:color="auto" w:sz="4" w:space="0"/>
            </w:tcBorders>
            <w:shd w:val="clear" w:color="auto" w:fill="auto"/>
            <w:vAlign w:val="center"/>
          </w:tcPr>
          <w:p w14:paraId="5B4491A9">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0D62D804">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6CFD57CC">
            <w:pPr>
              <w:widowControl/>
              <w:jc w:val="left"/>
              <w:rPr>
                <w:rFonts w:ascii="楷体_GB2312" w:hAnsi="宋体" w:eastAsia="楷体_GB2312" w:cs="宋体"/>
                <w:color w:val="000000"/>
                <w:kern w:val="0"/>
                <w:sz w:val="22"/>
              </w:rPr>
            </w:pPr>
          </w:p>
        </w:tc>
        <w:tc>
          <w:tcPr>
            <w:tcW w:w="960" w:type="dxa"/>
            <w:tcBorders>
              <w:top w:val="single" w:color="auto" w:sz="4" w:space="0"/>
              <w:left w:val="nil"/>
              <w:bottom w:val="single" w:color="auto" w:sz="4" w:space="0"/>
              <w:right w:val="single" w:color="auto" w:sz="4" w:space="0"/>
            </w:tcBorders>
            <w:shd w:val="clear" w:color="auto" w:fill="auto"/>
            <w:vAlign w:val="center"/>
          </w:tcPr>
          <w:p w14:paraId="44AF953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时效指标  （5分）</w:t>
            </w:r>
          </w:p>
        </w:tc>
        <w:tc>
          <w:tcPr>
            <w:tcW w:w="1220" w:type="dxa"/>
            <w:tcBorders>
              <w:top w:val="single" w:color="auto" w:sz="4" w:space="0"/>
              <w:left w:val="nil"/>
              <w:bottom w:val="single" w:color="auto" w:sz="4" w:space="0"/>
              <w:right w:val="single" w:color="auto" w:sz="4" w:space="0"/>
            </w:tcBorders>
            <w:shd w:val="clear" w:color="auto" w:fill="auto"/>
            <w:vAlign w:val="center"/>
          </w:tcPr>
          <w:p w14:paraId="40FFD2A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完成及时率（3分）</w:t>
            </w:r>
          </w:p>
        </w:tc>
        <w:tc>
          <w:tcPr>
            <w:tcW w:w="2900" w:type="dxa"/>
            <w:tcBorders>
              <w:top w:val="nil"/>
              <w:left w:val="nil"/>
              <w:bottom w:val="single" w:color="auto" w:sz="4" w:space="0"/>
              <w:right w:val="single" w:color="auto" w:sz="4" w:space="0"/>
            </w:tcBorders>
            <w:shd w:val="clear" w:color="auto" w:fill="auto"/>
            <w:vAlign w:val="center"/>
          </w:tcPr>
          <w:p w14:paraId="58A85D0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项目计划进度完成率</w:t>
            </w:r>
          </w:p>
        </w:tc>
        <w:tc>
          <w:tcPr>
            <w:tcW w:w="2660" w:type="dxa"/>
            <w:tcBorders>
              <w:top w:val="nil"/>
              <w:left w:val="nil"/>
              <w:bottom w:val="single" w:color="auto" w:sz="4" w:space="0"/>
              <w:right w:val="single" w:color="auto" w:sz="4" w:space="0"/>
            </w:tcBorders>
            <w:shd w:val="clear" w:color="auto" w:fill="auto"/>
            <w:vAlign w:val="center"/>
          </w:tcPr>
          <w:p w14:paraId="5818376C">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90%</w:t>
            </w:r>
          </w:p>
        </w:tc>
        <w:tc>
          <w:tcPr>
            <w:tcW w:w="788" w:type="dxa"/>
            <w:tcBorders>
              <w:top w:val="nil"/>
              <w:left w:val="nil"/>
              <w:bottom w:val="single" w:color="auto" w:sz="4" w:space="0"/>
              <w:right w:val="single" w:color="auto" w:sz="4" w:space="0"/>
            </w:tcBorders>
            <w:shd w:val="clear" w:color="auto" w:fill="auto"/>
            <w:vAlign w:val="center"/>
          </w:tcPr>
          <w:p w14:paraId="5637910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2</w:t>
            </w:r>
          </w:p>
        </w:tc>
      </w:tr>
      <w:tr w14:paraId="397A5A9A">
        <w:tblPrEx>
          <w:tblCellMar>
            <w:top w:w="0" w:type="dxa"/>
            <w:left w:w="108" w:type="dxa"/>
            <w:bottom w:w="0" w:type="dxa"/>
            <w:right w:w="108" w:type="dxa"/>
          </w:tblCellMar>
        </w:tblPrEx>
        <w:trPr>
          <w:trHeight w:val="270" w:hRule="atLeast"/>
          <w:jc w:val="center"/>
        </w:trPr>
        <w:tc>
          <w:tcPr>
            <w:tcW w:w="8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EBD615">
            <w:pPr>
              <w:widowControl/>
              <w:jc w:val="center"/>
              <w:rPr>
                <w:rFonts w:ascii="宋体" w:hAnsi="宋体" w:cs="宋体"/>
                <w:b/>
                <w:bCs/>
                <w:color w:val="000000"/>
                <w:kern w:val="0"/>
                <w:sz w:val="22"/>
              </w:rPr>
            </w:pPr>
            <w:r>
              <w:rPr>
                <w:rFonts w:hint="eastAsia" w:ascii="宋体" w:hAnsi="宋体" w:cs="宋体"/>
                <w:b/>
                <w:bCs/>
                <w:color w:val="000000"/>
                <w:kern w:val="0"/>
                <w:sz w:val="22"/>
              </w:rPr>
              <w:t>产出指标得分小计</w:t>
            </w:r>
          </w:p>
        </w:tc>
        <w:tc>
          <w:tcPr>
            <w:tcW w:w="788" w:type="dxa"/>
            <w:tcBorders>
              <w:top w:val="nil"/>
              <w:left w:val="nil"/>
              <w:bottom w:val="single" w:color="auto" w:sz="4" w:space="0"/>
              <w:right w:val="single" w:color="auto" w:sz="4" w:space="0"/>
            </w:tcBorders>
            <w:shd w:val="clear" w:color="auto" w:fill="auto"/>
            <w:vAlign w:val="center"/>
          </w:tcPr>
          <w:p w14:paraId="00EF4E27">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29</w:t>
            </w:r>
          </w:p>
        </w:tc>
      </w:tr>
      <w:tr w14:paraId="2F6B1325">
        <w:tblPrEx>
          <w:tblCellMar>
            <w:top w:w="0" w:type="dxa"/>
            <w:left w:w="108" w:type="dxa"/>
            <w:bottom w:w="0" w:type="dxa"/>
            <w:right w:w="108" w:type="dxa"/>
          </w:tblCellMar>
        </w:tblPrEx>
        <w:trPr>
          <w:trHeight w:val="1080"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66544F3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四、效果（30分）</w:t>
            </w:r>
          </w:p>
        </w:tc>
        <w:tc>
          <w:tcPr>
            <w:tcW w:w="960" w:type="dxa"/>
            <w:tcBorders>
              <w:top w:val="nil"/>
              <w:left w:val="nil"/>
              <w:bottom w:val="single" w:color="auto" w:sz="4" w:space="0"/>
              <w:right w:val="single" w:color="auto" w:sz="4" w:space="0"/>
            </w:tcBorders>
            <w:shd w:val="clear" w:color="auto" w:fill="auto"/>
            <w:vAlign w:val="center"/>
          </w:tcPr>
          <w:p w14:paraId="3D9CDA62">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经济效益指标 （6分）</w:t>
            </w:r>
          </w:p>
        </w:tc>
        <w:tc>
          <w:tcPr>
            <w:tcW w:w="1220" w:type="dxa"/>
            <w:tcBorders>
              <w:top w:val="nil"/>
              <w:left w:val="nil"/>
              <w:bottom w:val="single" w:color="auto" w:sz="4" w:space="0"/>
              <w:right w:val="single" w:color="auto" w:sz="4" w:space="0"/>
            </w:tcBorders>
            <w:shd w:val="clear" w:color="auto" w:fill="auto"/>
            <w:vAlign w:val="center"/>
          </w:tcPr>
          <w:p w14:paraId="7D823AA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保护森林资源，减少经济损失</w:t>
            </w:r>
          </w:p>
        </w:tc>
        <w:tc>
          <w:tcPr>
            <w:tcW w:w="2900" w:type="dxa"/>
            <w:tcBorders>
              <w:top w:val="nil"/>
              <w:left w:val="nil"/>
              <w:bottom w:val="single" w:color="auto" w:sz="4" w:space="0"/>
              <w:right w:val="single" w:color="auto" w:sz="4" w:space="0"/>
            </w:tcBorders>
            <w:shd w:val="clear" w:color="auto" w:fill="auto"/>
            <w:vAlign w:val="center"/>
          </w:tcPr>
          <w:p w14:paraId="7824D23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防止出现森林火灾；如出现能及时控制火情。</w:t>
            </w:r>
          </w:p>
        </w:tc>
        <w:tc>
          <w:tcPr>
            <w:tcW w:w="2660" w:type="dxa"/>
            <w:tcBorders>
              <w:top w:val="nil"/>
              <w:left w:val="nil"/>
              <w:bottom w:val="single" w:color="auto" w:sz="4" w:space="0"/>
              <w:right w:val="single" w:color="auto" w:sz="4" w:space="0"/>
            </w:tcBorders>
            <w:shd w:val="clear" w:color="auto" w:fill="auto"/>
            <w:vAlign w:val="center"/>
          </w:tcPr>
          <w:p w14:paraId="357D8AE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控制已发火情，直接挽回经济损失60%</w:t>
            </w:r>
          </w:p>
        </w:tc>
        <w:tc>
          <w:tcPr>
            <w:tcW w:w="788" w:type="dxa"/>
            <w:tcBorders>
              <w:top w:val="nil"/>
              <w:left w:val="nil"/>
              <w:bottom w:val="single" w:color="auto" w:sz="4" w:space="0"/>
              <w:right w:val="single" w:color="auto" w:sz="4" w:space="0"/>
            </w:tcBorders>
            <w:shd w:val="clear" w:color="auto" w:fill="auto"/>
            <w:vAlign w:val="center"/>
          </w:tcPr>
          <w:p w14:paraId="6611DDED">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3</w:t>
            </w:r>
          </w:p>
        </w:tc>
      </w:tr>
      <w:tr w14:paraId="5443935D">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081C8AE1">
            <w:pPr>
              <w:widowControl/>
              <w:jc w:val="left"/>
              <w:rPr>
                <w:rFonts w:ascii="楷体_GB2312" w:hAnsi="宋体" w:eastAsia="楷体_GB2312" w:cs="宋体"/>
                <w:color w:val="000000"/>
                <w:kern w:val="0"/>
                <w:sz w:val="22"/>
              </w:rPr>
            </w:pPr>
          </w:p>
        </w:tc>
        <w:tc>
          <w:tcPr>
            <w:tcW w:w="960" w:type="dxa"/>
            <w:tcBorders>
              <w:top w:val="nil"/>
              <w:left w:val="nil"/>
              <w:bottom w:val="single" w:color="auto" w:sz="4" w:space="0"/>
              <w:right w:val="single" w:color="auto" w:sz="4" w:space="0"/>
            </w:tcBorders>
            <w:shd w:val="clear" w:color="auto" w:fill="auto"/>
            <w:vAlign w:val="center"/>
          </w:tcPr>
          <w:p w14:paraId="7E8B83E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社会效益指标 （6分）</w:t>
            </w:r>
          </w:p>
        </w:tc>
        <w:tc>
          <w:tcPr>
            <w:tcW w:w="1220" w:type="dxa"/>
            <w:tcBorders>
              <w:top w:val="nil"/>
              <w:left w:val="nil"/>
              <w:bottom w:val="single" w:color="auto" w:sz="4" w:space="0"/>
              <w:right w:val="single" w:color="auto" w:sz="4" w:space="0"/>
            </w:tcBorders>
            <w:shd w:val="clear" w:color="auto" w:fill="auto"/>
            <w:vAlign w:val="center"/>
          </w:tcPr>
          <w:p w14:paraId="23D3D477">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社会稳定性</w:t>
            </w:r>
          </w:p>
        </w:tc>
        <w:tc>
          <w:tcPr>
            <w:tcW w:w="2900" w:type="dxa"/>
            <w:tcBorders>
              <w:top w:val="nil"/>
              <w:left w:val="nil"/>
              <w:bottom w:val="single" w:color="auto" w:sz="4" w:space="0"/>
              <w:right w:val="single" w:color="auto" w:sz="4" w:space="0"/>
            </w:tcBorders>
            <w:shd w:val="clear" w:color="auto" w:fill="auto"/>
            <w:vAlign w:val="center"/>
          </w:tcPr>
          <w:p w14:paraId="1CA8CF88">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居民生活稳定</w:t>
            </w:r>
          </w:p>
        </w:tc>
        <w:tc>
          <w:tcPr>
            <w:tcW w:w="2660" w:type="dxa"/>
            <w:tcBorders>
              <w:top w:val="nil"/>
              <w:left w:val="nil"/>
              <w:bottom w:val="single" w:color="auto" w:sz="4" w:space="0"/>
              <w:right w:val="single" w:color="auto" w:sz="4" w:space="0"/>
            </w:tcBorders>
            <w:shd w:val="clear" w:color="auto" w:fill="auto"/>
            <w:vAlign w:val="center"/>
          </w:tcPr>
          <w:p w14:paraId="3F5A076D">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居民生活稳定</w:t>
            </w:r>
          </w:p>
        </w:tc>
        <w:tc>
          <w:tcPr>
            <w:tcW w:w="788" w:type="dxa"/>
            <w:tcBorders>
              <w:top w:val="nil"/>
              <w:left w:val="nil"/>
              <w:bottom w:val="single" w:color="auto" w:sz="4" w:space="0"/>
              <w:right w:val="single" w:color="auto" w:sz="4" w:space="0"/>
            </w:tcBorders>
            <w:shd w:val="clear" w:color="auto" w:fill="auto"/>
            <w:vAlign w:val="center"/>
          </w:tcPr>
          <w:p w14:paraId="1FDFF21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6</w:t>
            </w:r>
          </w:p>
        </w:tc>
      </w:tr>
      <w:tr w14:paraId="6515B748">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1F2E2A78">
            <w:pPr>
              <w:widowControl/>
              <w:jc w:val="left"/>
              <w:rPr>
                <w:rFonts w:ascii="楷体_GB2312" w:hAnsi="宋体" w:eastAsia="楷体_GB2312" w:cs="宋体"/>
                <w:color w:val="000000"/>
                <w:kern w:val="0"/>
                <w:sz w:val="22"/>
              </w:rPr>
            </w:pPr>
          </w:p>
        </w:tc>
        <w:tc>
          <w:tcPr>
            <w:tcW w:w="960" w:type="dxa"/>
            <w:tcBorders>
              <w:top w:val="nil"/>
              <w:left w:val="nil"/>
              <w:bottom w:val="single" w:color="auto" w:sz="4" w:space="0"/>
              <w:right w:val="single" w:color="auto" w:sz="4" w:space="0"/>
            </w:tcBorders>
            <w:shd w:val="clear" w:color="auto" w:fill="auto"/>
            <w:vAlign w:val="center"/>
          </w:tcPr>
          <w:p w14:paraId="5B8351B7">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环境效益指标（6分）</w:t>
            </w:r>
          </w:p>
        </w:tc>
        <w:tc>
          <w:tcPr>
            <w:tcW w:w="1220" w:type="dxa"/>
            <w:tcBorders>
              <w:top w:val="nil"/>
              <w:left w:val="nil"/>
              <w:bottom w:val="single" w:color="auto" w:sz="4" w:space="0"/>
              <w:right w:val="single" w:color="auto" w:sz="4" w:space="0"/>
            </w:tcBorders>
            <w:shd w:val="clear" w:color="auto" w:fill="auto"/>
            <w:vAlign w:val="center"/>
          </w:tcPr>
          <w:p w14:paraId="708B551A">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对生态安全和保护生物多样性的作用</w:t>
            </w:r>
          </w:p>
        </w:tc>
        <w:tc>
          <w:tcPr>
            <w:tcW w:w="2900" w:type="dxa"/>
            <w:tcBorders>
              <w:top w:val="nil"/>
              <w:left w:val="nil"/>
              <w:bottom w:val="single" w:color="auto" w:sz="4" w:space="0"/>
              <w:right w:val="single" w:color="auto" w:sz="4" w:space="0"/>
            </w:tcBorders>
            <w:shd w:val="clear" w:color="auto" w:fill="auto"/>
            <w:vAlign w:val="center"/>
          </w:tcPr>
          <w:p w14:paraId="042FF024">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为生物的生存提供安全的环境，有利于生态的稳定</w:t>
            </w:r>
          </w:p>
        </w:tc>
        <w:tc>
          <w:tcPr>
            <w:tcW w:w="2660" w:type="dxa"/>
            <w:tcBorders>
              <w:top w:val="nil"/>
              <w:left w:val="nil"/>
              <w:bottom w:val="single" w:color="auto" w:sz="4" w:space="0"/>
              <w:right w:val="single" w:color="auto" w:sz="4" w:space="0"/>
            </w:tcBorders>
            <w:shd w:val="clear" w:color="auto" w:fill="auto"/>
            <w:vAlign w:val="center"/>
          </w:tcPr>
          <w:p w14:paraId="4CCA6EC1">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为生物的生存提供安全的环境，有利于生态的稳定</w:t>
            </w:r>
          </w:p>
        </w:tc>
        <w:tc>
          <w:tcPr>
            <w:tcW w:w="788" w:type="dxa"/>
            <w:tcBorders>
              <w:top w:val="nil"/>
              <w:left w:val="nil"/>
              <w:bottom w:val="single" w:color="auto" w:sz="4" w:space="0"/>
              <w:right w:val="single" w:color="auto" w:sz="4" w:space="0"/>
            </w:tcBorders>
            <w:shd w:val="clear" w:color="auto" w:fill="auto"/>
            <w:vAlign w:val="center"/>
          </w:tcPr>
          <w:p w14:paraId="629ACBAE">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6</w:t>
            </w:r>
          </w:p>
        </w:tc>
      </w:tr>
      <w:tr w14:paraId="0EED04F8">
        <w:tblPrEx>
          <w:tblCellMar>
            <w:top w:w="0" w:type="dxa"/>
            <w:left w:w="108" w:type="dxa"/>
            <w:bottom w:w="0" w:type="dxa"/>
            <w:right w:w="108" w:type="dxa"/>
          </w:tblCellMar>
        </w:tblPrEx>
        <w:trPr>
          <w:trHeight w:val="81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14A8FA6E">
            <w:pPr>
              <w:widowControl/>
              <w:jc w:val="left"/>
              <w:rPr>
                <w:rFonts w:ascii="楷体_GB2312" w:hAnsi="宋体" w:eastAsia="楷体_GB2312" w:cs="宋体"/>
                <w:color w:val="000000"/>
                <w:kern w:val="0"/>
                <w:sz w:val="22"/>
              </w:rPr>
            </w:pPr>
          </w:p>
        </w:tc>
        <w:tc>
          <w:tcPr>
            <w:tcW w:w="960" w:type="dxa"/>
            <w:tcBorders>
              <w:top w:val="nil"/>
              <w:left w:val="nil"/>
              <w:bottom w:val="single" w:color="auto" w:sz="4" w:space="0"/>
              <w:right w:val="single" w:color="auto" w:sz="4" w:space="0"/>
            </w:tcBorders>
            <w:shd w:val="clear" w:color="auto" w:fill="auto"/>
            <w:vAlign w:val="center"/>
          </w:tcPr>
          <w:p w14:paraId="40546EE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可持续影响指标(6分)</w:t>
            </w:r>
          </w:p>
        </w:tc>
        <w:tc>
          <w:tcPr>
            <w:tcW w:w="1220" w:type="dxa"/>
            <w:tcBorders>
              <w:top w:val="nil"/>
              <w:left w:val="nil"/>
              <w:bottom w:val="single" w:color="auto" w:sz="4" w:space="0"/>
              <w:right w:val="single" w:color="auto" w:sz="4" w:space="0"/>
            </w:tcBorders>
            <w:shd w:val="clear" w:color="auto" w:fill="auto"/>
            <w:vAlign w:val="center"/>
          </w:tcPr>
          <w:p w14:paraId="77B1ADEC">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对国家可持续发展的影响</w:t>
            </w:r>
          </w:p>
        </w:tc>
        <w:tc>
          <w:tcPr>
            <w:tcW w:w="2900" w:type="dxa"/>
            <w:tcBorders>
              <w:top w:val="nil"/>
              <w:left w:val="nil"/>
              <w:bottom w:val="single" w:color="auto" w:sz="4" w:space="0"/>
              <w:right w:val="single" w:color="auto" w:sz="4" w:space="0"/>
            </w:tcBorders>
            <w:shd w:val="clear" w:color="auto" w:fill="auto"/>
            <w:vAlign w:val="center"/>
          </w:tcPr>
          <w:p w14:paraId="39FBDBE2">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避免和减少灾情损失，有利于国家可持续发展</w:t>
            </w:r>
          </w:p>
        </w:tc>
        <w:tc>
          <w:tcPr>
            <w:tcW w:w="2660" w:type="dxa"/>
            <w:tcBorders>
              <w:top w:val="nil"/>
              <w:left w:val="nil"/>
              <w:bottom w:val="single" w:color="auto" w:sz="4" w:space="0"/>
              <w:right w:val="single" w:color="auto" w:sz="4" w:space="0"/>
            </w:tcBorders>
            <w:shd w:val="clear" w:color="auto" w:fill="auto"/>
            <w:vAlign w:val="center"/>
          </w:tcPr>
          <w:p w14:paraId="50F846AF">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避免和减少灾情损失，有利于国家可持续发展</w:t>
            </w:r>
          </w:p>
        </w:tc>
        <w:tc>
          <w:tcPr>
            <w:tcW w:w="788" w:type="dxa"/>
            <w:tcBorders>
              <w:top w:val="nil"/>
              <w:left w:val="nil"/>
              <w:bottom w:val="single" w:color="auto" w:sz="4" w:space="0"/>
              <w:right w:val="single" w:color="auto" w:sz="4" w:space="0"/>
            </w:tcBorders>
            <w:shd w:val="clear" w:color="auto" w:fill="auto"/>
            <w:vAlign w:val="center"/>
          </w:tcPr>
          <w:p w14:paraId="53B1FB88">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6</w:t>
            </w:r>
          </w:p>
        </w:tc>
      </w:tr>
      <w:tr w14:paraId="4C7FCD20">
        <w:tblPrEx>
          <w:tblCellMar>
            <w:top w:w="0" w:type="dxa"/>
            <w:left w:w="108" w:type="dxa"/>
            <w:bottom w:w="0" w:type="dxa"/>
            <w:right w:w="108" w:type="dxa"/>
          </w:tblCellMar>
        </w:tblPrEx>
        <w:trPr>
          <w:trHeight w:val="1080" w:hRule="atLeast"/>
          <w:jc w:val="center"/>
        </w:trPr>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0367F263">
            <w:pPr>
              <w:widowControl/>
              <w:jc w:val="left"/>
              <w:rPr>
                <w:rFonts w:ascii="楷体_GB2312" w:hAnsi="宋体" w:eastAsia="楷体_GB2312" w:cs="宋体"/>
                <w:color w:val="000000"/>
                <w:kern w:val="0"/>
                <w:sz w:val="22"/>
              </w:rPr>
            </w:pPr>
          </w:p>
        </w:tc>
        <w:tc>
          <w:tcPr>
            <w:tcW w:w="960" w:type="dxa"/>
            <w:tcBorders>
              <w:top w:val="nil"/>
              <w:left w:val="nil"/>
              <w:bottom w:val="single" w:color="auto" w:sz="4" w:space="0"/>
              <w:right w:val="single" w:color="auto" w:sz="4" w:space="0"/>
            </w:tcBorders>
            <w:shd w:val="clear" w:color="auto" w:fill="auto"/>
            <w:vAlign w:val="center"/>
          </w:tcPr>
          <w:p w14:paraId="28EE1F36">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服务对象满意度指标 （6分）</w:t>
            </w:r>
          </w:p>
        </w:tc>
        <w:tc>
          <w:tcPr>
            <w:tcW w:w="1220" w:type="dxa"/>
            <w:tcBorders>
              <w:top w:val="nil"/>
              <w:left w:val="nil"/>
              <w:bottom w:val="single" w:color="auto" w:sz="4" w:space="0"/>
              <w:right w:val="single" w:color="auto" w:sz="4" w:space="0"/>
            </w:tcBorders>
            <w:shd w:val="clear" w:color="auto" w:fill="auto"/>
            <w:vAlign w:val="center"/>
          </w:tcPr>
          <w:p w14:paraId="7F6E1480">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林业主管部门、林区民户满意度</w:t>
            </w:r>
          </w:p>
        </w:tc>
        <w:tc>
          <w:tcPr>
            <w:tcW w:w="2900" w:type="dxa"/>
            <w:tcBorders>
              <w:top w:val="nil"/>
              <w:left w:val="nil"/>
              <w:bottom w:val="single" w:color="auto" w:sz="4" w:space="0"/>
              <w:right w:val="single" w:color="auto" w:sz="4" w:space="0"/>
            </w:tcBorders>
            <w:shd w:val="clear" w:color="auto" w:fill="auto"/>
            <w:vAlign w:val="center"/>
          </w:tcPr>
          <w:p w14:paraId="2CC26279">
            <w:pPr>
              <w:widowControl/>
              <w:jc w:val="left"/>
              <w:rPr>
                <w:rFonts w:ascii="楷体_GB2312" w:hAnsi="宋体" w:eastAsia="楷体_GB2312" w:cs="宋体"/>
                <w:color w:val="000000"/>
                <w:kern w:val="0"/>
                <w:sz w:val="22"/>
              </w:rPr>
            </w:pPr>
            <w:r>
              <w:rPr>
                <w:rFonts w:hint="eastAsia" w:ascii="楷体_GB2312" w:hAnsi="宋体" w:eastAsia="楷体_GB2312" w:cs="宋体"/>
                <w:color w:val="000000"/>
                <w:kern w:val="0"/>
                <w:sz w:val="22"/>
              </w:rPr>
              <w:t>调查满意度为100%</w:t>
            </w:r>
          </w:p>
        </w:tc>
        <w:tc>
          <w:tcPr>
            <w:tcW w:w="2660" w:type="dxa"/>
            <w:tcBorders>
              <w:top w:val="nil"/>
              <w:left w:val="nil"/>
              <w:bottom w:val="single" w:color="auto" w:sz="4" w:space="0"/>
              <w:right w:val="single" w:color="auto" w:sz="4" w:space="0"/>
            </w:tcBorders>
            <w:shd w:val="clear" w:color="auto" w:fill="auto"/>
            <w:vAlign w:val="center"/>
          </w:tcPr>
          <w:p w14:paraId="2583A10B">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100%</w:t>
            </w:r>
          </w:p>
        </w:tc>
        <w:tc>
          <w:tcPr>
            <w:tcW w:w="788" w:type="dxa"/>
            <w:tcBorders>
              <w:top w:val="nil"/>
              <w:left w:val="nil"/>
              <w:bottom w:val="single" w:color="auto" w:sz="4" w:space="0"/>
              <w:right w:val="single" w:color="auto" w:sz="4" w:space="0"/>
            </w:tcBorders>
            <w:shd w:val="clear" w:color="auto" w:fill="auto"/>
            <w:vAlign w:val="center"/>
          </w:tcPr>
          <w:p w14:paraId="5D8D9510">
            <w:pPr>
              <w:widowControl/>
              <w:jc w:val="center"/>
              <w:rPr>
                <w:rFonts w:ascii="楷体_GB2312" w:hAnsi="宋体" w:eastAsia="楷体_GB2312" w:cs="宋体"/>
                <w:color w:val="000000"/>
                <w:kern w:val="0"/>
                <w:sz w:val="22"/>
              </w:rPr>
            </w:pPr>
            <w:r>
              <w:rPr>
                <w:rFonts w:hint="eastAsia" w:ascii="楷体_GB2312" w:hAnsi="宋体" w:eastAsia="楷体_GB2312" w:cs="宋体"/>
                <w:color w:val="000000"/>
                <w:kern w:val="0"/>
                <w:sz w:val="22"/>
              </w:rPr>
              <w:t>6</w:t>
            </w:r>
          </w:p>
        </w:tc>
      </w:tr>
      <w:tr w14:paraId="4A4A7213">
        <w:tblPrEx>
          <w:tblCellMar>
            <w:top w:w="0" w:type="dxa"/>
            <w:left w:w="108" w:type="dxa"/>
            <w:bottom w:w="0" w:type="dxa"/>
            <w:right w:w="108" w:type="dxa"/>
          </w:tblCellMar>
        </w:tblPrEx>
        <w:trPr>
          <w:trHeight w:val="270" w:hRule="atLeast"/>
          <w:jc w:val="center"/>
        </w:trPr>
        <w:tc>
          <w:tcPr>
            <w:tcW w:w="8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AA2FE2">
            <w:pPr>
              <w:widowControl/>
              <w:jc w:val="center"/>
              <w:rPr>
                <w:rFonts w:ascii="宋体" w:hAnsi="宋体" w:cs="宋体"/>
                <w:b/>
                <w:bCs/>
                <w:color w:val="000000"/>
                <w:kern w:val="0"/>
                <w:sz w:val="22"/>
              </w:rPr>
            </w:pPr>
            <w:r>
              <w:rPr>
                <w:rFonts w:hint="eastAsia" w:ascii="宋体" w:hAnsi="宋体" w:cs="宋体"/>
                <w:b/>
                <w:bCs/>
                <w:color w:val="000000"/>
                <w:kern w:val="0"/>
                <w:sz w:val="22"/>
              </w:rPr>
              <w:t>效果指标得分小计</w:t>
            </w:r>
          </w:p>
        </w:tc>
        <w:tc>
          <w:tcPr>
            <w:tcW w:w="788" w:type="dxa"/>
            <w:tcBorders>
              <w:top w:val="nil"/>
              <w:left w:val="nil"/>
              <w:bottom w:val="single" w:color="auto" w:sz="4" w:space="0"/>
              <w:right w:val="single" w:color="auto" w:sz="4" w:space="0"/>
            </w:tcBorders>
            <w:shd w:val="clear" w:color="auto" w:fill="auto"/>
            <w:vAlign w:val="center"/>
          </w:tcPr>
          <w:p w14:paraId="626A35A4">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27</w:t>
            </w:r>
          </w:p>
        </w:tc>
      </w:tr>
      <w:tr w14:paraId="4A3FC8C8">
        <w:tblPrEx>
          <w:tblCellMar>
            <w:top w:w="0" w:type="dxa"/>
            <w:left w:w="108" w:type="dxa"/>
            <w:bottom w:w="0" w:type="dxa"/>
            <w:right w:w="108" w:type="dxa"/>
          </w:tblCellMar>
        </w:tblPrEx>
        <w:trPr>
          <w:trHeight w:val="270" w:hRule="atLeast"/>
          <w:jc w:val="center"/>
        </w:trPr>
        <w:tc>
          <w:tcPr>
            <w:tcW w:w="84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75D061">
            <w:pPr>
              <w:widowControl/>
              <w:jc w:val="center"/>
              <w:rPr>
                <w:rFonts w:ascii="宋体" w:hAnsi="宋体" w:cs="宋体"/>
                <w:b/>
                <w:bCs/>
                <w:color w:val="000000"/>
                <w:kern w:val="0"/>
                <w:sz w:val="22"/>
              </w:rPr>
            </w:pPr>
            <w:r>
              <w:rPr>
                <w:rFonts w:hint="eastAsia" w:ascii="宋体" w:hAnsi="宋体" w:cs="宋体"/>
                <w:b/>
                <w:bCs/>
                <w:color w:val="000000"/>
                <w:kern w:val="0"/>
                <w:sz w:val="22"/>
              </w:rPr>
              <w:t>绩效评价总得分</w:t>
            </w:r>
          </w:p>
        </w:tc>
        <w:tc>
          <w:tcPr>
            <w:tcW w:w="788" w:type="dxa"/>
            <w:tcBorders>
              <w:top w:val="nil"/>
              <w:left w:val="nil"/>
              <w:bottom w:val="single" w:color="auto" w:sz="4" w:space="0"/>
              <w:right w:val="single" w:color="auto" w:sz="4" w:space="0"/>
            </w:tcBorders>
            <w:shd w:val="clear" w:color="auto" w:fill="auto"/>
            <w:vAlign w:val="center"/>
          </w:tcPr>
          <w:p w14:paraId="6628E3CC">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89</w:t>
            </w:r>
          </w:p>
        </w:tc>
      </w:tr>
    </w:tbl>
    <w:p w14:paraId="58D2D1B1">
      <w:pPr>
        <w:spacing w:line="360" w:lineRule="auto"/>
        <w:ind w:firstLine="560" w:firstLineChars="200"/>
        <w:rPr>
          <w:rFonts w:hint="eastAsia"/>
          <w:sz w:val="28"/>
        </w:rPr>
      </w:pPr>
    </w:p>
    <w:p w14:paraId="30A18706">
      <w:pPr>
        <w:spacing w:line="360" w:lineRule="auto"/>
        <w:ind w:firstLine="560" w:firstLineChars="200"/>
        <w:rPr>
          <w:rFonts w:hint="eastAsia"/>
          <w:sz w:val="28"/>
        </w:rPr>
      </w:pPr>
      <w:r>
        <w:rPr>
          <w:rFonts w:hint="eastAsia"/>
          <w:sz w:val="28"/>
        </w:rPr>
        <w:t>根据上表，分析如下：</w:t>
      </w:r>
    </w:p>
    <w:p w14:paraId="72BE9545">
      <w:pPr>
        <w:widowControl/>
        <w:spacing w:line="600" w:lineRule="exact"/>
        <w:ind w:firstLine="560" w:firstLineChars="200"/>
        <w:jc w:val="left"/>
        <w:rPr>
          <w:sz w:val="28"/>
        </w:rPr>
      </w:pPr>
      <w:r>
        <w:rPr>
          <w:rFonts w:hint="eastAsia"/>
          <w:sz w:val="28"/>
        </w:rPr>
        <w:t>（1）数量指标</w:t>
      </w:r>
    </w:p>
    <w:p w14:paraId="465A9BB4">
      <w:pPr>
        <w:widowControl/>
        <w:spacing w:line="600" w:lineRule="exact"/>
        <w:ind w:firstLine="560" w:firstLineChars="200"/>
        <w:jc w:val="left"/>
        <w:rPr>
          <w:rFonts w:hint="eastAsia"/>
          <w:sz w:val="28"/>
        </w:rPr>
      </w:pPr>
      <w:r>
        <w:rPr>
          <w:rFonts w:hint="eastAsia"/>
          <w:sz w:val="28"/>
        </w:rPr>
        <w:t>指标内容1：护林员巡视天数超过230天；</w:t>
      </w:r>
    </w:p>
    <w:p w14:paraId="3DE68AA6">
      <w:pPr>
        <w:widowControl/>
        <w:spacing w:line="600" w:lineRule="exact"/>
        <w:ind w:firstLine="560" w:firstLineChars="200"/>
        <w:jc w:val="left"/>
        <w:rPr>
          <w:rFonts w:hint="eastAsia"/>
          <w:sz w:val="28"/>
        </w:rPr>
      </w:pPr>
      <w:r>
        <w:rPr>
          <w:rFonts w:hint="eastAsia"/>
          <w:sz w:val="28"/>
        </w:rPr>
        <w:t>指标内容2：绿化宣传活动3次；</w:t>
      </w:r>
    </w:p>
    <w:p w14:paraId="184B107E">
      <w:pPr>
        <w:widowControl/>
        <w:spacing w:line="600" w:lineRule="exact"/>
        <w:ind w:firstLine="560" w:firstLineChars="200"/>
        <w:jc w:val="left"/>
        <w:rPr>
          <w:rFonts w:hint="eastAsia"/>
          <w:sz w:val="28"/>
        </w:rPr>
      </w:pPr>
      <w:r>
        <w:rPr>
          <w:rFonts w:hint="eastAsia"/>
          <w:sz w:val="28"/>
        </w:rPr>
        <w:t>指标内容3：砍伐防火隔离带及杂草面积超过10000㎡；</w:t>
      </w:r>
    </w:p>
    <w:p w14:paraId="3AD10A81">
      <w:pPr>
        <w:widowControl/>
        <w:spacing w:line="600" w:lineRule="exact"/>
        <w:ind w:firstLine="560" w:firstLineChars="200"/>
        <w:jc w:val="left"/>
        <w:rPr>
          <w:rFonts w:hint="eastAsia"/>
          <w:sz w:val="28"/>
        </w:rPr>
      </w:pPr>
      <w:r>
        <w:rPr>
          <w:rFonts w:hint="eastAsia"/>
          <w:sz w:val="28"/>
        </w:rPr>
        <w:t>指标内容4：专业人员对森林病虫害普查2次；</w:t>
      </w:r>
    </w:p>
    <w:p w14:paraId="7EDC7F06">
      <w:pPr>
        <w:widowControl/>
        <w:spacing w:line="600" w:lineRule="exact"/>
        <w:ind w:firstLine="560" w:firstLineChars="200"/>
        <w:jc w:val="left"/>
        <w:rPr>
          <w:rFonts w:hint="eastAsia"/>
          <w:sz w:val="28"/>
        </w:rPr>
      </w:pPr>
      <w:r>
        <w:rPr>
          <w:rFonts w:hint="eastAsia"/>
          <w:sz w:val="28"/>
        </w:rPr>
        <w:t>指标内容5：无公害处置病虫害树木棵数大于100棵；</w:t>
      </w:r>
    </w:p>
    <w:p w14:paraId="2A7F78CC">
      <w:pPr>
        <w:widowControl/>
        <w:spacing w:line="600" w:lineRule="exact"/>
        <w:ind w:firstLine="560" w:firstLineChars="200"/>
        <w:jc w:val="left"/>
        <w:rPr>
          <w:rFonts w:hint="eastAsia"/>
          <w:sz w:val="28"/>
        </w:rPr>
      </w:pPr>
      <w:r>
        <w:rPr>
          <w:rFonts w:hint="eastAsia"/>
          <w:sz w:val="28"/>
        </w:rPr>
        <w:t>指标内容6：森林火灾过火面积≤20亩/年/村</w:t>
      </w:r>
    </w:p>
    <w:p w14:paraId="35946D91">
      <w:pPr>
        <w:widowControl/>
        <w:spacing w:line="600" w:lineRule="exact"/>
        <w:ind w:firstLine="560" w:firstLineChars="200"/>
        <w:jc w:val="left"/>
        <w:rPr>
          <w:sz w:val="28"/>
        </w:rPr>
      </w:pPr>
      <w:r>
        <w:rPr>
          <w:rFonts w:hint="eastAsia"/>
          <w:sz w:val="28"/>
        </w:rPr>
        <w:t>（2）质量指标：</w:t>
      </w:r>
    </w:p>
    <w:p w14:paraId="608B899A">
      <w:pPr>
        <w:widowControl/>
        <w:spacing w:line="600" w:lineRule="exact"/>
        <w:ind w:firstLine="560" w:firstLineChars="200"/>
        <w:jc w:val="left"/>
        <w:rPr>
          <w:rFonts w:hint="eastAsia"/>
          <w:sz w:val="28"/>
        </w:rPr>
      </w:pPr>
      <w:r>
        <w:rPr>
          <w:rFonts w:hint="eastAsia"/>
          <w:sz w:val="28"/>
        </w:rPr>
        <w:t>指标内容1：发现及处置火灾率100%</w:t>
      </w:r>
    </w:p>
    <w:p w14:paraId="49065032">
      <w:pPr>
        <w:widowControl/>
        <w:spacing w:line="600" w:lineRule="exact"/>
        <w:ind w:firstLine="560" w:firstLineChars="200"/>
        <w:jc w:val="left"/>
        <w:rPr>
          <w:rFonts w:hint="eastAsia"/>
          <w:sz w:val="28"/>
        </w:rPr>
      </w:pPr>
      <w:r>
        <w:rPr>
          <w:rFonts w:hint="eastAsia"/>
          <w:sz w:val="28"/>
        </w:rPr>
        <w:t>指标内容2：森林病虫除害处理率95%</w:t>
      </w:r>
    </w:p>
    <w:p w14:paraId="0D47CB5C">
      <w:pPr>
        <w:widowControl/>
        <w:spacing w:line="600" w:lineRule="exact"/>
        <w:ind w:firstLine="560" w:firstLineChars="200"/>
        <w:jc w:val="left"/>
        <w:rPr>
          <w:rFonts w:hint="eastAsia"/>
          <w:sz w:val="28"/>
        </w:rPr>
      </w:pPr>
      <w:r>
        <w:rPr>
          <w:rFonts w:hint="eastAsia"/>
          <w:sz w:val="28"/>
        </w:rPr>
        <w:t>指标内容3：病虫害趋势报告及时率100%</w:t>
      </w:r>
    </w:p>
    <w:p w14:paraId="37BE6B4C">
      <w:pPr>
        <w:widowControl/>
        <w:spacing w:line="600" w:lineRule="exact"/>
        <w:ind w:firstLine="560" w:firstLineChars="200"/>
        <w:jc w:val="left"/>
        <w:rPr>
          <w:sz w:val="28"/>
        </w:rPr>
      </w:pPr>
      <w:r>
        <w:rPr>
          <w:rFonts w:hint="eastAsia"/>
          <w:sz w:val="28"/>
        </w:rPr>
        <w:t>（3）时效指标</w:t>
      </w:r>
    </w:p>
    <w:p w14:paraId="635469BF">
      <w:pPr>
        <w:widowControl/>
        <w:spacing w:line="600" w:lineRule="exact"/>
        <w:ind w:firstLine="560" w:firstLineChars="200"/>
        <w:jc w:val="left"/>
        <w:rPr>
          <w:rFonts w:hint="eastAsia"/>
          <w:sz w:val="28"/>
        </w:rPr>
      </w:pPr>
      <w:r>
        <w:rPr>
          <w:rFonts w:hint="eastAsia"/>
          <w:sz w:val="28"/>
        </w:rPr>
        <w:t>指标内容：项目计划进度完成率90%。</w:t>
      </w:r>
    </w:p>
    <w:p w14:paraId="07F62C29">
      <w:pPr>
        <w:spacing w:line="360" w:lineRule="auto"/>
        <w:ind w:firstLine="560" w:firstLineChars="200"/>
        <w:rPr>
          <w:sz w:val="28"/>
        </w:rPr>
      </w:pPr>
      <w:r>
        <w:rPr>
          <w:rFonts w:hint="eastAsia"/>
          <w:sz w:val="28"/>
        </w:rPr>
        <w:t>2．效果目标</w:t>
      </w:r>
    </w:p>
    <w:p w14:paraId="79032DFE">
      <w:pPr>
        <w:spacing w:line="360" w:lineRule="auto"/>
        <w:ind w:firstLine="560" w:firstLineChars="200"/>
        <w:rPr>
          <w:rFonts w:hint="eastAsia"/>
          <w:sz w:val="28"/>
        </w:rPr>
      </w:pPr>
      <w:r>
        <w:rPr>
          <w:rFonts w:hint="eastAsia"/>
          <w:sz w:val="28"/>
        </w:rPr>
        <w:t>（1）经济效益指标：控制已发火情，直接挽回经济损失60%。</w:t>
      </w:r>
    </w:p>
    <w:p w14:paraId="7D098935">
      <w:pPr>
        <w:spacing w:line="360" w:lineRule="auto"/>
        <w:ind w:firstLine="560" w:firstLineChars="200"/>
        <w:rPr>
          <w:rFonts w:hint="eastAsia"/>
          <w:sz w:val="28"/>
        </w:rPr>
      </w:pPr>
      <w:r>
        <w:rPr>
          <w:rFonts w:hint="eastAsia"/>
          <w:sz w:val="28"/>
        </w:rPr>
        <w:t>（2）社会效益指标：居民生活稳定</w:t>
      </w:r>
    </w:p>
    <w:p w14:paraId="13308B3D">
      <w:pPr>
        <w:spacing w:line="360" w:lineRule="auto"/>
        <w:ind w:firstLine="560" w:firstLineChars="200"/>
        <w:rPr>
          <w:rFonts w:hint="eastAsia"/>
          <w:sz w:val="28"/>
        </w:rPr>
      </w:pPr>
      <w:r>
        <w:rPr>
          <w:rFonts w:hint="eastAsia"/>
          <w:sz w:val="28"/>
        </w:rPr>
        <w:t>（3）环境效益指标：为生物的生存提供安全的环境，有利于生态的稳定</w:t>
      </w:r>
    </w:p>
    <w:p w14:paraId="122AE254">
      <w:pPr>
        <w:spacing w:line="360" w:lineRule="auto"/>
        <w:ind w:firstLine="560" w:firstLineChars="200"/>
        <w:rPr>
          <w:rFonts w:hint="eastAsia"/>
          <w:sz w:val="28"/>
        </w:rPr>
      </w:pPr>
      <w:r>
        <w:rPr>
          <w:rFonts w:hint="eastAsia"/>
          <w:sz w:val="28"/>
        </w:rPr>
        <w:t>（4）可持续影响指标: 避免和减少灾情损失，有利于国家可持续发展</w:t>
      </w:r>
    </w:p>
    <w:p w14:paraId="485A4AA0">
      <w:pPr>
        <w:spacing w:line="360" w:lineRule="auto"/>
        <w:ind w:firstLine="560" w:firstLineChars="200"/>
        <w:rPr>
          <w:rFonts w:hint="eastAsia"/>
          <w:sz w:val="28"/>
        </w:rPr>
      </w:pPr>
      <w:r>
        <w:rPr>
          <w:rFonts w:hint="eastAsia"/>
          <w:sz w:val="28"/>
        </w:rPr>
        <w:t>（5）社会公众或服务对象满意度指标：林业主管部门、林区民户满意度100%</w:t>
      </w:r>
    </w:p>
    <w:p w14:paraId="54B31AA4">
      <w:pPr>
        <w:spacing w:line="360" w:lineRule="auto"/>
        <w:ind w:firstLine="602" w:firstLineChars="200"/>
        <w:rPr>
          <w:rFonts w:hint="eastAsia" w:ascii="黑体" w:hAnsi="黑体" w:eastAsia="黑体"/>
          <w:b/>
          <w:sz w:val="30"/>
          <w:szCs w:val="30"/>
        </w:rPr>
      </w:pPr>
      <w:r>
        <w:rPr>
          <w:rFonts w:hint="eastAsia" w:ascii="黑体" w:hAnsi="黑体" w:eastAsia="黑体"/>
          <w:b/>
          <w:sz w:val="30"/>
          <w:szCs w:val="30"/>
        </w:rPr>
        <w:t>三、自评结论</w:t>
      </w:r>
    </w:p>
    <w:p w14:paraId="374247BC">
      <w:pPr>
        <w:spacing w:line="360" w:lineRule="auto"/>
        <w:ind w:firstLine="560" w:firstLineChars="200"/>
        <w:rPr>
          <w:sz w:val="28"/>
        </w:rPr>
      </w:pPr>
      <w:r>
        <w:rPr>
          <w:rFonts w:hint="eastAsia"/>
          <w:sz w:val="28"/>
        </w:rPr>
        <w:t>（一）自评结论</w:t>
      </w:r>
    </w:p>
    <w:p w14:paraId="63FBAF74">
      <w:pPr>
        <w:spacing w:line="360" w:lineRule="auto"/>
        <w:ind w:firstLine="560" w:firstLineChars="200"/>
        <w:rPr>
          <w:rFonts w:hint="eastAsia"/>
          <w:sz w:val="28"/>
        </w:rPr>
      </w:pPr>
      <w:r>
        <w:rPr>
          <w:rFonts w:hint="eastAsia"/>
          <w:sz w:val="28"/>
        </w:rPr>
        <w:t>经上述分析评价，我们认为：</w:t>
      </w:r>
    </w:p>
    <w:p w14:paraId="66AC974B">
      <w:pPr>
        <w:spacing w:line="360" w:lineRule="auto"/>
        <w:ind w:firstLine="560" w:firstLineChars="200"/>
        <w:rPr>
          <w:rFonts w:hint="eastAsia"/>
          <w:sz w:val="28"/>
        </w:rPr>
      </w:pPr>
      <w:r>
        <w:rPr>
          <w:rFonts w:hint="eastAsia"/>
          <w:sz w:val="28"/>
        </w:rPr>
        <w:t>2017年度“九峰街道办事处其他经费”项目积极响应国家政策，立项依据较为充分，可行性研究到位，必要性突出，决策规范、高效。</w:t>
      </w:r>
    </w:p>
    <w:p w14:paraId="4CB93A87">
      <w:pPr>
        <w:spacing w:line="360" w:lineRule="auto"/>
        <w:ind w:firstLine="560" w:firstLineChars="200"/>
        <w:rPr>
          <w:rFonts w:hint="eastAsia"/>
          <w:sz w:val="28"/>
        </w:rPr>
      </w:pPr>
      <w:r>
        <w:rPr>
          <w:rFonts w:hint="eastAsia"/>
          <w:sz w:val="28"/>
        </w:rPr>
        <w:t>项目设定绩效指标较为单一，部分目标没有体现。</w:t>
      </w:r>
    </w:p>
    <w:p w14:paraId="4F6B5070">
      <w:pPr>
        <w:spacing w:line="360" w:lineRule="auto"/>
        <w:ind w:firstLine="560" w:firstLineChars="200"/>
        <w:rPr>
          <w:rFonts w:hint="eastAsia"/>
          <w:sz w:val="28"/>
        </w:rPr>
      </w:pPr>
      <w:r>
        <w:rPr>
          <w:rFonts w:hint="eastAsia"/>
          <w:sz w:val="28"/>
        </w:rPr>
        <w:t>严格执行建设项目管理流程，规范实施，并通过检查监督进一步确保落实，形成了良好的管理、执行氛围。</w:t>
      </w:r>
    </w:p>
    <w:p w14:paraId="33D22825">
      <w:pPr>
        <w:spacing w:line="360" w:lineRule="auto"/>
        <w:ind w:firstLine="560" w:firstLineChars="200"/>
        <w:rPr>
          <w:rFonts w:hint="eastAsia"/>
          <w:sz w:val="28"/>
        </w:rPr>
      </w:pPr>
      <w:r>
        <w:rPr>
          <w:rFonts w:hint="eastAsia"/>
          <w:sz w:val="28"/>
        </w:rPr>
        <w:t>从产出和效果上来看，较好的完成了年初制订的各项项目工作内容，实现了预期效果，取得了很高的用户满意度。</w:t>
      </w:r>
    </w:p>
    <w:p w14:paraId="46409B66">
      <w:pPr>
        <w:spacing w:line="360" w:lineRule="auto"/>
        <w:ind w:firstLine="560" w:firstLineChars="200"/>
        <w:rPr>
          <w:rFonts w:hint="eastAsia"/>
          <w:sz w:val="28"/>
        </w:rPr>
      </w:pPr>
      <w:r>
        <w:rPr>
          <w:rFonts w:hint="eastAsia"/>
          <w:sz w:val="28"/>
        </w:rPr>
        <w:t>综上，绩效评价综合得分为89分，评价结果为良。</w:t>
      </w:r>
    </w:p>
    <w:p w14:paraId="7BD39DEA">
      <w:pPr>
        <w:spacing w:line="360" w:lineRule="auto"/>
        <w:ind w:firstLine="560" w:firstLineChars="200"/>
        <w:rPr>
          <w:sz w:val="28"/>
        </w:rPr>
      </w:pPr>
      <w:r>
        <w:rPr>
          <w:rFonts w:hint="eastAsia"/>
          <w:sz w:val="28"/>
        </w:rPr>
        <w:t>（二）主要经验，存在的问题和改进措施</w:t>
      </w:r>
    </w:p>
    <w:p w14:paraId="25B704CF">
      <w:pPr>
        <w:spacing w:line="360" w:lineRule="auto"/>
        <w:ind w:firstLine="560" w:firstLineChars="200"/>
        <w:rPr>
          <w:rFonts w:hint="eastAsia"/>
          <w:sz w:val="28"/>
        </w:rPr>
      </w:pPr>
      <w:r>
        <w:rPr>
          <w:rFonts w:hint="eastAsia"/>
          <w:sz w:val="28"/>
        </w:rPr>
        <w:t>1、主要经验</w:t>
      </w:r>
    </w:p>
    <w:p w14:paraId="75048340">
      <w:pPr>
        <w:spacing w:line="360" w:lineRule="auto"/>
        <w:ind w:firstLine="560" w:firstLineChars="200"/>
        <w:rPr>
          <w:rFonts w:hint="eastAsia"/>
          <w:sz w:val="28"/>
        </w:rPr>
      </w:pPr>
      <w:r>
        <w:rPr>
          <w:rFonts w:hint="eastAsia"/>
          <w:sz w:val="28"/>
        </w:rPr>
        <w:t>（1）认真落实各项零星民生问题，积极完成大数据监督检查工作。</w:t>
      </w:r>
    </w:p>
    <w:p w14:paraId="5EC0F1CB">
      <w:pPr>
        <w:spacing w:line="360" w:lineRule="auto"/>
        <w:ind w:firstLine="560" w:firstLineChars="200"/>
        <w:rPr>
          <w:rFonts w:hint="eastAsia"/>
          <w:sz w:val="28"/>
        </w:rPr>
      </w:pPr>
      <w:r>
        <w:rPr>
          <w:rFonts w:hint="eastAsia"/>
          <w:sz w:val="28"/>
        </w:rPr>
        <w:t>（2）认真落实好双拥优抚政策。在春节前对全街烈军属、复员退伍军人等一批重点优抚对象进行慰问；确保各类优抚人员生活补助资金每月按时足额发放到个人手中；落实好退伍义务兵的安置工作。</w:t>
      </w:r>
    </w:p>
    <w:p w14:paraId="2329155B">
      <w:pPr>
        <w:spacing w:line="360" w:lineRule="auto"/>
        <w:ind w:firstLine="560" w:firstLineChars="200"/>
        <w:rPr>
          <w:rFonts w:hint="eastAsia"/>
          <w:sz w:val="28"/>
        </w:rPr>
      </w:pPr>
      <w:r>
        <w:rPr>
          <w:rFonts w:hint="eastAsia"/>
          <w:sz w:val="28"/>
        </w:rPr>
        <w:t>2、存在问题</w:t>
      </w:r>
    </w:p>
    <w:p w14:paraId="4A7B468D">
      <w:pPr>
        <w:spacing w:line="360" w:lineRule="auto"/>
        <w:ind w:firstLine="560" w:firstLineChars="200"/>
        <w:rPr>
          <w:rFonts w:hint="eastAsia"/>
          <w:sz w:val="28"/>
        </w:rPr>
      </w:pPr>
      <w:r>
        <w:rPr>
          <w:rFonts w:hint="eastAsia"/>
          <w:sz w:val="28"/>
        </w:rPr>
        <w:t>（1）社会事务办工作人员不足，精力不够。</w:t>
      </w:r>
    </w:p>
    <w:p w14:paraId="2FE8AE5E">
      <w:pPr>
        <w:spacing w:line="360" w:lineRule="auto"/>
        <w:ind w:firstLine="560" w:firstLineChars="200"/>
        <w:rPr>
          <w:rFonts w:hint="eastAsia"/>
          <w:sz w:val="28"/>
        </w:rPr>
      </w:pPr>
      <w:r>
        <w:rPr>
          <w:rFonts w:hint="eastAsia"/>
          <w:sz w:val="28"/>
        </w:rPr>
        <w:t>（2）社区管理服务中会出现新情况、新问题，需不断解决。</w:t>
      </w:r>
    </w:p>
    <w:p w14:paraId="2DFA4080">
      <w:pPr>
        <w:spacing w:line="360" w:lineRule="auto"/>
        <w:ind w:firstLine="560" w:firstLineChars="200"/>
        <w:rPr>
          <w:rFonts w:hint="eastAsia"/>
          <w:sz w:val="28"/>
        </w:rPr>
      </w:pPr>
      <w:r>
        <w:rPr>
          <w:rFonts w:hint="eastAsia"/>
          <w:sz w:val="28"/>
        </w:rPr>
        <w:t>3、改进措施</w:t>
      </w:r>
    </w:p>
    <w:p w14:paraId="705324DB">
      <w:pPr>
        <w:spacing w:line="360" w:lineRule="auto"/>
        <w:ind w:firstLine="560" w:firstLineChars="200"/>
        <w:rPr>
          <w:rFonts w:hint="eastAsia"/>
          <w:sz w:val="28"/>
        </w:rPr>
      </w:pPr>
      <w:r>
        <w:rPr>
          <w:rFonts w:hint="eastAsia"/>
          <w:sz w:val="28"/>
        </w:rPr>
        <w:t>（1）强化服务，落实各项惠民政策。</w:t>
      </w:r>
    </w:p>
    <w:p w14:paraId="140ED2E4">
      <w:pPr>
        <w:spacing w:line="360" w:lineRule="auto"/>
        <w:ind w:firstLine="560" w:firstLineChars="200"/>
        <w:rPr>
          <w:rFonts w:hint="eastAsia"/>
          <w:sz w:val="28"/>
        </w:rPr>
      </w:pPr>
      <w:r>
        <w:rPr>
          <w:rFonts w:hint="eastAsia"/>
          <w:sz w:val="28"/>
        </w:rPr>
        <w:t>（2）不断研究，努力开创社区长效管理先进模式。</w:t>
      </w:r>
    </w:p>
    <w:p w14:paraId="33C6FE10">
      <w:pPr>
        <w:pStyle w:val="9"/>
        <w:widowControl w:val="0"/>
        <w:numPr>
          <w:ilvl w:val="0"/>
          <w:numId w:val="0"/>
        </w:numPr>
        <w:tabs>
          <w:tab w:val="left" w:pos="993"/>
          <w:tab w:val="left" w:pos="1418"/>
        </w:tabs>
        <w:spacing w:line="600" w:lineRule="exact"/>
        <w:jc w:val="left"/>
        <w:rPr>
          <w:rFonts w:hint="eastAsia"/>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liubingsen"/>
    <w:panose1 w:val="00000000000000000000"/>
    <w:charset w:val="00"/>
    <w:family w:val="auto"/>
    <w:pitch w:val="default"/>
    <w:sig w:usb0="00000000" w:usb1="00000000" w:usb2="00000000" w:usb3="00000000" w:csb0="00040001" w:csb1="00000000"/>
  </w:font>
  <w:font w:name="liubingsen">
    <w:panose1 w:val="02000600000000000000"/>
    <w:charset w:val="86"/>
    <w:family w:val="auto"/>
    <w:pitch w:val="default"/>
    <w:sig w:usb0="FFFFFFFF" w:usb1="E9FFFFFF" w:usb2="0000003F" w:usb3="00000000" w:csb0="603F00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55045"/>
    <w:multiLevelType w:val="multilevel"/>
    <w:tmpl w:val="0CF55045"/>
    <w:lvl w:ilvl="0" w:tentative="0">
      <w:start w:val="1"/>
      <w:numFmt w:val="decimal"/>
      <w:lvlText w:val="（%1）"/>
      <w:lvlJc w:val="left"/>
      <w:pPr>
        <w:ind w:left="980" w:hanging="420"/>
      </w:pPr>
      <w:rPr>
        <w:rFonts w:hint="eastAsia"/>
        <w:b w:val="0"/>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8B91AB2"/>
    <w:multiLevelType w:val="multilevel"/>
    <w:tmpl w:val="18B91AB2"/>
    <w:lvl w:ilvl="0" w:tentative="0">
      <w:start w:val="1"/>
      <w:numFmt w:val="decimal"/>
      <w:lvlText w:val="（%1）."/>
      <w:lvlJc w:val="left"/>
      <w:pPr>
        <w:ind w:left="1065" w:hanging="420"/>
      </w:pPr>
      <w:rPr>
        <w:rFonts w:hint="eastAsia" w:eastAsia="宋体"/>
        <w:sz w:val="24"/>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21A32371"/>
    <w:multiLevelType w:val="multilevel"/>
    <w:tmpl w:val="21A3237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207719D"/>
    <w:multiLevelType w:val="multilevel"/>
    <w:tmpl w:val="3207719D"/>
    <w:lvl w:ilvl="0" w:tentative="0">
      <w:start w:val="1"/>
      <w:numFmt w:val="decimal"/>
      <w:lvlText w:val="（%1）."/>
      <w:lvlJc w:val="left"/>
      <w:pPr>
        <w:ind w:left="980" w:hanging="420"/>
      </w:pPr>
      <w:rPr>
        <w:rFonts w:hint="eastAsia" w:eastAsia="宋体"/>
        <w:sz w:val="24"/>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DD720B1"/>
    <w:multiLevelType w:val="multilevel"/>
    <w:tmpl w:val="3DD720B1"/>
    <w:lvl w:ilvl="0" w:tentative="0">
      <w:start w:val="1"/>
      <w:numFmt w:val="decimal"/>
      <w:lvlText w:val="（%1）."/>
      <w:lvlJc w:val="left"/>
      <w:pPr>
        <w:ind w:left="1065" w:hanging="420"/>
      </w:pPr>
      <w:rPr>
        <w:rFonts w:hint="eastAsia" w:eastAsia="宋体"/>
        <w:sz w:val="24"/>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5">
    <w:nsid w:val="419405E9"/>
    <w:multiLevelType w:val="multilevel"/>
    <w:tmpl w:val="419405E9"/>
    <w:lvl w:ilvl="0" w:tentative="0">
      <w:start w:val="1"/>
      <w:numFmt w:val="decimal"/>
      <w:lvlText w:val="（%1）"/>
      <w:lvlJc w:val="left"/>
      <w:pPr>
        <w:ind w:left="980" w:hanging="420"/>
      </w:pPr>
      <w:rPr>
        <w:rFonts w:hint="eastAsia"/>
        <w:b w:val="0"/>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902192F"/>
    <w:multiLevelType w:val="multilevel"/>
    <w:tmpl w:val="4902192F"/>
    <w:lvl w:ilvl="0" w:tentative="0">
      <w:start w:val="1"/>
      <w:numFmt w:val="decimal"/>
      <w:lvlText w:val="（%1）."/>
      <w:lvlJc w:val="left"/>
      <w:pPr>
        <w:ind w:left="1065" w:hanging="420"/>
      </w:pPr>
      <w:rPr>
        <w:rFonts w:hint="eastAsia" w:eastAsia="宋体"/>
        <w:sz w:val="24"/>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7">
    <w:nsid w:val="58D0F87D"/>
    <w:multiLevelType w:val="singleLevel"/>
    <w:tmpl w:val="58D0F87D"/>
    <w:lvl w:ilvl="0" w:tentative="0">
      <w:start w:val="2"/>
      <w:numFmt w:val="decimal"/>
      <w:suff w:val="nothing"/>
      <w:lvlText w:val="（%1）"/>
      <w:lvlJc w:val="left"/>
    </w:lvl>
  </w:abstractNum>
  <w:abstractNum w:abstractNumId="8">
    <w:nsid w:val="58D119A1"/>
    <w:multiLevelType w:val="singleLevel"/>
    <w:tmpl w:val="58D119A1"/>
    <w:lvl w:ilvl="0" w:tentative="0">
      <w:start w:val="1"/>
      <w:numFmt w:val="chineseCounting"/>
      <w:suff w:val="nothing"/>
      <w:lvlText w:val="（%1）"/>
      <w:lvlJc w:val="left"/>
    </w:lvl>
  </w:abstractNum>
  <w:abstractNum w:abstractNumId="9">
    <w:nsid w:val="58D120F5"/>
    <w:multiLevelType w:val="singleLevel"/>
    <w:tmpl w:val="58D120F5"/>
    <w:lvl w:ilvl="0" w:tentative="0">
      <w:start w:val="3"/>
      <w:numFmt w:val="decimal"/>
      <w:suff w:val="nothing"/>
      <w:lvlText w:val="%1、"/>
      <w:lvlJc w:val="left"/>
    </w:lvl>
  </w:abstractNum>
  <w:abstractNum w:abstractNumId="10">
    <w:nsid w:val="58D1223F"/>
    <w:multiLevelType w:val="singleLevel"/>
    <w:tmpl w:val="58D1223F"/>
    <w:lvl w:ilvl="0" w:tentative="0">
      <w:start w:val="1"/>
      <w:numFmt w:val="decimal"/>
      <w:suff w:val="nothing"/>
      <w:lvlText w:val="%1、"/>
      <w:lvlJc w:val="left"/>
    </w:lvl>
  </w:abstractNum>
  <w:abstractNum w:abstractNumId="11">
    <w:nsid w:val="5AFB1E81"/>
    <w:multiLevelType w:val="multilevel"/>
    <w:tmpl w:val="5AFB1E8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6F53242A"/>
    <w:multiLevelType w:val="multilevel"/>
    <w:tmpl w:val="6F53242A"/>
    <w:lvl w:ilvl="0" w:tentative="0">
      <w:start w:val="1"/>
      <w:numFmt w:val="decimal"/>
      <w:lvlText w:val="%1."/>
      <w:lvlJc w:val="left"/>
      <w:pPr>
        <w:ind w:left="1340" w:hanging="7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6"/>
  </w:num>
  <w:num w:numId="3">
    <w:abstractNumId w:val="4"/>
  </w:num>
  <w:num w:numId="4">
    <w:abstractNumId w:val="1"/>
  </w:num>
  <w:num w:numId="5">
    <w:abstractNumId w:val="12"/>
  </w:num>
  <w:num w:numId="6">
    <w:abstractNumId w:val="2"/>
  </w:num>
  <w:num w:numId="7">
    <w:abstractNumId w:val="0"/>
  </w:num>
  <w:num w:numId="8">
    <w:abstractNumId w:val="5"/>
  </w:num>
  <w:num w:numId="9">
    <w:abstractNumId w:val="11"/>
  </w:num>
  <w:num w:numId="10">
    <w:abstractNumId w:val="7"/>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2EyNTA2M2ZiYjc4M2Q3MTM4NWM4NzBhMDQyNzgifQ=="/>
  </w:docVars>
  <w:rsids>
    <w:rsidRoot w:val="000470E4"/>
    <w:rsid w:val="000470E4"/>
    <w:rsid w:val="00066D82"/>
    <w:rsid w:val="00072941"/>
    <w:rsid w:val="00074C01"/>
    <w:rsid w:val="000878CC"/>
    <w:rsid w:val="000A598C"/>
    <w:rsid w:val="000C2433"/>
    <w:rsid w:val="000E27E8"/>
    <w:rsid w:val="00110FDB"/>
    <w:rsid w:val="00156C83"/>
    <w:rsid w:val="00164922"/>
    <w:rsid w:val="001652A3"/>
    <w:rsid w:val="0017110C"/>
    <w:rsid w:val="00173275"/>
    <w:rsid w:val="00240B00"/>
    <w:rsid w:val="00240B58"/>
    <w:rsid w:val="002412C1"/>
    <w:rsid w:val="00241B45"/>
    <w:rsid w:val="002C6AB0"/>
    <w:rsid w:val="002E11A2"/>
    <w:rsid w:val="00305974"/>
    <w:rsid w:val="0036549A"/>
    <w:rsid w:val="003C332E"/>
    <w:rsid w:val="003F445A"/>
    <w:rsid w:val="004030C7"/>
    <w:rsid w:val="00424B3C"/>
    <w:rsid w:val="004F3E96"/>
    <w:rsid w:val="00511802"/>
    <w:rsid w:val="00513164"/>
    <w:rsid w:val="00522282"/>
    <w:rsid w:val="00532698"/>
    <w:rsid w:val="00535C31"/>
    <w:rsid w:val="00535FA8"/>
    <w:rsid w:val="00562728"/>
    <w:rsid w:val="00572102"/>
    <w:rsid w:val="00575D7C"/>
    <w:rsid w:val="00602394"/>
    <w:rsid w:val="0060260F"/>
    <w:rsid w:val="00635B27"/>
    <w:rsid w:val="006449A2"/>
    <w:rsid w:val="00645347"/>
    <w:rsid w:val="00687C35"/>
    <w:rsid w:val="00727B13"/>
    <w:rsid w:val="007D34B2"/>
    <w:rsid w:val="00856B38"/>
    <w:rsid w:val="008614D2"/>
    <w:rsid w:val="009127AC"/>
    <w:rsid w:val="00951217"/>
    <w:rsid w:val="0095749E"/>
    <w:rsid w:val="00967254"/>
    <w:rsid w:val="00984B48"/>
    <w:rsid w:val="00990CC2"/>
    <w:rsid w:val="009F3686"/>
    <w:rsid w:val="00A44B25"/>
    <w:rsid w:val="00A574A9"/>
    <w:rsid w:val="00AB317A"/>
    <w:rsid w:val="00AD557D"/>
    <w:rsid w:val="00B07E56"/>
    <w:rsid w:val="00B9288A"/>
    <w:rsid w:val="00BC7EB4"/>
    <w:rsid w:val="00BD0603"/>
    <w:rsid w:val="00C12CD6"/>
    <w:rsid w:val="00C36730"/>
    <w:rsid w:val="00C5510E"/>
    <w:rsid w:val="00C627FC"/>
    <w:rsid w:val="00C91296"/>
    <w:rsid w:val="00C92682"/>
    <w:rsid w:val="00D56EA4"/>
    <w:rsid w:val="00D62680"/>
    <w:rsid w:val="00D74D47"/>
    <w:rsid w:val="00DB3A36"/>
    <w:rsid w:val="00E1246E"/>
    <w:rsid w:val="00E419E7"/>
    <w:rsid w:val="00E45BA7"/>
    <w:rsid w:val="00EE2563"/>
    <w:rsid w:val="00EE2DEA"/>
    <w:rsid w:val="00EE66F9"/>
    <w:rsid w:val="00EF3627"/>
    <w:rsid w:val="00F32033"/>
    <w:rsid w:val="00FC5B11"/>
    <w:rsid w:val="09176288"/>
    <w:rsid w:val="0D7C263D"/>
    <w:rsid w:val="0E46530E"/>
    <w:rsid w:val="12B754EB"/>
    <w:rsid w:val="179D2E20"/>
    <w:rsid w:val="1E7C227E"/>
    <w:rsid w:val="220401A2"/>
    <w:rsid w:val="22381840"/>
    <w:rsid w:val="250B2079"/>
    <w:rsid w:val="265D1577"/>
    <w:rsid w:val="33DB2E72"/>
    <w:rsid w:val="393E3533"/>
    <w:rsid w:val="3B952D46"/>
    <w:rsid w:val="468A437C"/>
    <w:rsid w:val="48510B67"/>
    <w:rsid w:val="5D02606B"/>
    <w:rsid w:val="5FF40D1C"/>
    <w:rsid w:val="685B46B1"/>
    <w:rsid w:val="6CC12495"/>
    <w:rsid w:val="6DFB22DA"/>
    <w:rsid w:val="709D1DFF"/>
    <w:rsid w:val="73267330"/>
    <w:rsid w:val="73471955"/>
    <w:rsid w:val="7AB43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列出段落2"/>
    <w:basedOn w:val="1"/>
    <w:qFormat/>
    <w:uiPriority w:val="0"/>
    <w:pPr>
      <w:ind w:firstLine="420" w:firstLineChars="200"/>
    </w:pPr>
    <w:rPr>
      <w:rFonts w:ascii="Calibri" w:hAnsi="Calibri"/>
    </w:rPr>
  </w:style>
  <w:style w:type="paragraph" w:customStyle="1" w:styleId="11">
    <w:name w:val="列出段落3"/>
    <w:basedOn w:val="1"/>
    <w:qFormat/>
    <w:uiPriority w:val="0"/>
    <w:pPr>
      <w:ind w:firstLine="420" w:firstLineChars="200"/>
    </w:pPr>
    <w:rPr>
      <w:rFonts w:ascii="Calibri" w:hAnsi="Calibri"/>
    </w:rPr>
  </w:style>
  <w:style w:type="paragraph" w:customStyle="1" w:styleId="12">
    <w:name w:val="列出段落6"/>
    <w:basedOn w:val="1"/>
    <w:qFormat/>
    <w:uiPriority w:val="0"/>
    <w:pPr>
      <w:ind w:firstLine="420" w:firstLineChars="200"/>
    </w:pPr>
    <w:rPr>
      <w:rFonts w:ascii="Calibri" w:hAnsi="Calibri"/>
    </w:rPr>
  </w:style>
  <w:style w:type="paragraph" w:customStyle="1" w:styleId="13">
    <w:name w:val="列出段落1"/>
    <w:basedOn w:val="1"/>
    <w:qFormat/>
    <w:uiPriority w:val="99"/>
    <w:pPr>
      <w:ind w:firstLine="420" w:firstLineChars="200"/>
    </w:pPr>
    <w:rPr>
      <w:rFonts w:ascii="Calibri" w:hAnsi="Calibri"/>
    </w:rPr>
  </w:style>
  <w:style w:type="paragraph" w:customStyle="1" w:styleId="14">
    <w:name w:val="列出段落4"/>
    <w:basedOn w:val="1"/>
    <w:qFormat/>
    <w:uiPriority w:val="0"/>
    <w:pPr>
      <w:ind w:firstLine="420" w:firstLineChars="200"/>
    </w:pPr>
    <w:rPr>
      <w:rFonts w:ascii="Calibri" w:hAnsi="Calibri"/>
    </w:rPr>
  </w:style>
  <w:style w:type="paragraph" w:customStyle="1" w:styleId="15">
    <w:name w:val="Default"/>
    <w:basedOn w:val="1"/>
    <w:qFormat/>
    <w:uiPriority w:val="0"/>
    <w:pPr>
      <w:autoSpaceDE w:val="0"/>
      <w:autoSpaceDN w:val="0"/>
      <w:adjustRightInd w:val="0"/>
      <w:jc w:val="left"/>
    </w:pPr>
    <w:rPr>
      <w:rFonts w:ascii="仿宋_GB2312"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145</Pages>
  <Words>9464</Words>
  <Characters>10686</Characters>
  <Lines>57</Lines>
  <Paragraphs>16</Paragraphs>
  <TotalTime>8</TotalTime>
  <ScaleCrop>false</ScaleCrop>
  <LinksUpToDate>false</LinksUpToDate>
  <CharactersWithSpaces>10905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2018-05-11T03:17:00Z</dcterms:created>
  <dc:creator>x qh</dc:creator>
  <cp:lastModifiedBy>乔娟</cp:lastModifiedBy>
  <dcterms:modified xsi:type="dcterms:W3CDTF">2024-11-29T03:42:21Z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9C209E1490574E3386CA894D28CBC67E_13</vt:lpwstr>
  </property>
</Properties>
</file>