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ascii="宋体" w:hAnsi="宋体" w:cs="Times New Roman"/>
          <w:b/>
          <w:bCs/>
          <w:color w:val="auto"/>
          <w:sz w:val="30"/>
          <w:szCs w:val="30"/>
          <w:highlight w:val="none"/>
        </w:rPr>
      </w:pPr>
    </w:p>
    <w:p>
      <w:pPr>
        <w:spacing w:line="360" w:lineRule="auto"/>
        <w:jc w:val="center"/>
        <w:rPr>
          <w:rFonts w:ascii="宋体" w:hAnsi="宋体" w:cs="Times New Roman"/>
          <w:b/>
          <w:bCs/>
          <w:color w:val="auto"/>
          <w:sz w:val="36"/>
          <w:szCs w:val="36"/>
          <w:highlight w:val="none"/>
          <w:lang w:eastAsia="zh-CN"/>
        </w:rPr>
      </w:pPr>
      <w:r>
        <w:rPr>
          <w:rFonts w:hint="eastAsia" w:ascii="宋体" w:hAnsi="宋体" w:cs="宋体"/>
          <w:b/>
          <w:bCs/>
          <w:color w:val="auto"/>
          <w:sz w:val="36"/>
          <w:szCs w:val="36"/>
          <w:highlight w:val="none"/>
          <w:lang w:eastAsia="zh-CN"/>
        </w:rPr>
        <w:t>武汉东湖新技术开发区预算项目绩效自评报告</w:t>
      </w: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ind w:firstLine="600" w:firstLineChars="200"/>
        <w:jc w:val="both"/>
        <w:rPr>
          <w:rFonts w:ascii="宋体" w:hAnsi="宋体" w:cs="Times New Roman"/>
          <w:color w:val="auto"/>
          <w:sz w:val="30"/>
          <w:szCs w:val="30"/>
          <w:highlight w:val="none"/>
          <w:u w:val="single"/>
          <w:lang w:eastAsia="zh-CN"/>
        </w:rPr>
      </w:pPr>
      <w:r>
        <w:rPr>
          <w:rFonts w:hint="eastAsia" w:ascii="宋体" w:hAnsi="宋体" w:cs="宋体"/>
          <w:color w:val="auto"/>
          <w:sz w:val="30"/>
          <w:szCs w:val="30"/>
          <w:highlight w:val="none"/>
          <w:lang w:eastAsia="zh-CN"/>
        </w:rPr>
        <w:t>项目名称：</w:t>
      </w:r>
      <w:r>
        <w:rPr>
          <w:rFonts w:ascii="宋体" w:hAnsi="宋体" w:cs="宋体"/>
          <w:color w:val="auto"/>
          <w:sz w:val="30"/>
          <w:szCs w:val="30"/>
          <w:highlight w:val="none"/>
          <w:u w:val="single"/>
          <w:lang w:eastAsia="zh-CN"/>
        </w:rPr>
        <w:t>2017</w:t>
      </w:r>
      <w:r>
        <w:rPr>
          <w:rFonts w:hint="eastAsia" w:ascii="宋体" w:hAnsi="宋体" w:cs="宋体"/>
          <w:color w:val="auto"/>
          <w:sz w:val="30"/>
          <w:szCs w:val="30"/>
          <w:highlight w:val="none"/>
          <w:u w:val="single"/>
          <w:lang w:eastAsia="zh-CN"/>
        </w:rPr>
        <w:t>年度民兵训练及征兵经费</w:t>
      </w:r>
    </w:p>
    <w:p>
      <w:pPr>
        <w:spacing w:line="360" w:lineRule="auto"/>
        <w:ind w:firstLine="600" w:firstLineChars="200"/>
        <w:jc w:val="both"/>
        <w:rPr>
          <w:rFonts w:ascii="宋体" w:hAnsi="宋体" w:cs="宋体"/>
          <w:color w:val="auto"/>
          <w:sz w:val="30"/>
          <w:szCs w:val="30"/>
          <w:highlight w:val="none"/>
          <w:u w:val="single"/>
          <w:lang w:eastAsia="zh-CN"/>
        </w:rPr>
      </w:pPr>
      <w:r>
        <w:rPr>
          <w:rFonts w:hint="eastAsia" w:ascii="宋体" w:hAnsi="宋体" w:cs="宋体"/>
          <w:color w:val="auto"/>
          <w:sz w:val="30"/>
          <w:szCs w:val="30"/>
          <w:highlight w:val="none"/>
          <w:lang w:eastAsia="zh-CN"/>
        </w:rPr>
        <w:t>项目单位：</w:t>
      </w:r>
      <w:r>
        <w:rPr>
          <w:rFonts w:hint="eastAsia" w:ascii="宋体" w:hAnsi="宋体" w:cs="宋体"/>
          <w:color w:val="auto"/>
          <w:sz w:val="30"/>
          <w:szCs w:val="30"/>
          <w:highlight w:val="none"/>
          <w:u w:val="single"/>
          <w:lang w:eastAsia="zh-CN"/>
        </w:rPr>
        <w:t>武汉东湖新技术开发区龙泉街道办事处</w:t>
      </w:r>
      <w:r>
        <w:rPr>
          <w:rFonts w:ascii="宋体" w:hAnsi="宋体" w:cs="宋体"/>
          <w:color w:val="auto"/>
          <w:sz w:val="30"/>
          <w:szCs w:val="30"/>
          <w:highlight w:val="none"/>
          <w:u w:val="single"/>
          <w:lang w:eastAsia="zh-CN"/>
        </w:rPr>
        <w:t xml:space="preserve">               </w:t>
      </w:r>
    </w:p>
    <w:p>
      <w:pPr>
        <w:spacing w:line="360" w:lineRule="auto"/>
        <w:ind w:firstLine="600" w:firstLineChars="200"/>
        <w:jc w:val="both"/>
        <w:rPr>
          <w:rFonts w:ascii="宋体" w:hAnsi="宋体" w:cs="Times New Roman"/>
          <w:color w:val="auto"/>
          <w:sz w:val="30"/>
          <w:szCs w:val="30"/>
          <w:highlight w:val="none"/>
          <w:lang w:eastAsia="zh-CN"/>
        </w:rPr>
      </w:pPr>
      <w:r>
        <w:rPr>
          <w:rFonts w:hint="eastAsia" w:ascii="宋体" w:hAnsi="宋体" w:cs="宋体"/>
          <w:color w:val="auto"/>
          <w:sz w:val="30"/>
          <w:szCs w:val="30"/>
          <w:highlight w:val="none"/>
          <w:lang w:eastAsia="zh-CN"/>
        </w:rPr>
        <w:t>主管部门：</w:t>
      </w:r>
      <w:r>
        <w:rPr>
          <w:rFonts w:ascii="宋体" w:hAnsi="宋体" w:cs="宋体"/>
          <w:color w:val="auto"/>
          <w:sz w:val="30"/>
          <w:szCs w:val="30"/>
          <w:highlight w:val="none"/>
          <w:u w:val="single"/>
          <w:lang w:eastAsia="zh-CN"/>
        </w:rPr>
        <w:t xml:space="preserve">                         (</w:t>
      </w:r>
      <w:r>
        <w:rPr>
          <w:rFonts w:hint="eastAsia" w:ascii="宋体" w:hAnsi="宋体" w:cs="宋体"/>
          <w:color w:val="auto"/>
          <w:sz w:val="30"/>
          <w:szCs w:val="30"/>
          <w:highlight w:val="none"/>
          <w:u w:val="single"/>
          <w:lang w:eastAsia="zh-CN"/>
        </w:rPr>
        <w:t>盖章</w:t>
      </w:r>
      <w:r>
        <w:rPr>
          <w:rFonts w:ascii="宋体" w:hAnsi="宋体" w:cs="宋体"/>
          <w:color w:val="auto"/>
          <w:sz w:val="30"/>
          <w:szCs w:val="30"/>
          <w:highlight w:val="none"/>
          <w:u w:val="single"/>
          <w:lang w:eastAsia="zh-CN"/>
        </w:rPr>
        <w:t>)</w:t>
      </w:r>
    </w:p>
    <w:p>
      <w:pPr>
        <w:spacing w:line="360" w:lineRule="auto"/>
        <w:ind w:firstLine="600" w:firstLineChars="200"/>
        <w:jc w:val="both"/>
        <w:rPr>
          <w:rFonts w:ascii="宋体" w:hAnsi="宋体" w:cs="Times New Roman"/>
          <w:color w:val="auto"/>
          <w:sz w:val="30"/>
          <w:szCs w:val="30"/>
          <w:highlight w:val="none"/>
          <w:lang w:eastAsia="zh-CN"/>
        </w:rPr>
      </w:pPr>
      <w:r>
        <w:rPr>
          <w:rFonts w:hint="eastAsia" w:ascii="宋体" w:hAnsi="宋体" w:cs="宋体"/>
          <w:color w:val="auto"/>
          <w:sz w:val="30"/>
          <w:szCs w:val="30"/>
          <w:highlight w:val="none"/>
          <w:lang w:eastAsia="zh-CN"/>
        </w:rPr>
        <w:t>区财政局主管业务科室：</w:t>
      </w:r>
      <w:r>
        <w:rPr>
          <w:rFonts w:ascii="宋体" w:hAnsi="宋体" w:cs="宋体"/>
          <w:color w:val="auto"/>
          <w:sz w:val="30"/>
          <w:szCs w:val="30"/>
          <w:highlight w:val="none"/>
          <w:u w:val="single"/>
          <w:lang w:eastAsia="zh-CN"/>
        </w:rPr>
        <w:t xml:space="preserve">              (</w:t>
      </w:r>
      <w:r>
        <w:rPr>
          <w:rFonts w:hint="eastAsia" w:ascii="宋体" w:hAnsi="宋体" w:cs="宋体"/>
          <w:color w:val="auto"/>
          <w:sz w:val="30"/>
          <w:szCs w:val="30"/>
          <w:highlight w:val="none"/>
          <w:u w:val="single"/>
          <w:lang w:eastAsia="zh-CN"/>
        </w:rPr>
        <w:t>盖章</w:t>
      </w:r>
      <w:r>
        <w:rPr>
          <w:rFonts w:ascii="宋体" w:hAnsi="宋体" w:cs="宋体"/>
          <w:color w:val="auto"/>
          <w:sz w:val="30"/>
          <w:szCs w:val="30"/>
          <w:highlight w:val="none"/>
          <w:u w:val="single"/>
          <w:lang w:eastAsia="zh-CN"/>
        </w:rPr>
        <w:t>)</w:t>
      </w:r>
    </w:p>
    <w:p>
      <w:pPr>
        <w:spacing w:line="360" w:lineRule="auto"/>
        <w:jc w:val="both"/>
        <w:rPr>
          <w:rFonts w:eastAsia="Times New Roman" w:cs="Times New Roman"/>
          <w:color w:val="auto"/>
          <w:highlight w:val="none"/>
          <w:lang w:eastAsia="zh-CN"/>
        </w:rPr>
      </w:pPr>
    </w:p>
    <w:p>
      <w:pPr>
        <w:spacing w:line="360" w:lineRule="auto"/>
        <w:jc w:val="both"/>
        <w:rPr>
          <w:rFonts w:eastAsia="Times New Roman" w:cs="Times New Roman"/>
          <w:color w:val="auto"/>
          <w:highlight w:val="none"/>
          <w:lang w:eastAsia="zh-CN"/>
        </w:rPr>
      </w:pPr>
    </w:p>
    <w:p>
      <w:pPr>
        <w:spacing w:line="360" w:lineRule="auto"/>
        <w:jc w:val="center"/>
        <w:rPr>
          <w:rFonts w:ascii="宋体" w:hAnsi="宋体" w:cs="Times New Roman"/>
          <w:color w:val="auto"/>
          <w:sz w:val="28"/>
          <w:szCs w:val="28"/>
          <w:highlight w:val="none"/>
          <w:lang w:eastAsia="zh-CN"/>
        </w:rPr>
      </w:pPr>
      <w:r>
        <w:rPr>
          <w:rFonts w:hint="eastAsia" w:ascii="宋体" w:hAnsi="宋体" w:cs="宋体"/>
          <w:color w:val="auto"/>
          <w:sz w:val="28"/>
          <w:szCs w:val="28"/>
          <w:highlight w:val="none"/>
          <w:lang w:eastAsia="zh-CN"/>
        </w:rPr>
        <w:t>二○一八年五月</w:t>
      </w:r>
    </w:p>
    <w:p>
      <w:pPr>
        <w:spacing w:line="360" w:lineRule="auto"/>
        <w:jc w:val="both"/>
        <w:rPr>
          <w:rFonts w:cs="Times New Roman"/>
          <w:color w:val="auto"/>
          <w:highlight w:val="none"/>
          <w:lang w:eastAsia="zh-CN"/>
        </w:rPr>
      </w:pPr>
    </w:p>
    <w:p>
      <w:pPr>
        <w:spacing w:line="360" w:lineRule="auto"/>
        <w:jc w:val="center"/>
        <w:rPr>
          <w:rFonts w:ascii="宋体" w:hAnsi="宋体" w:cs="Times New Roman"/>
          <w:b/>
          <w:bCs/>
          <w:color w:val="auto"/>
          <w:sz w:val="36"/>
          <w:szCs w:val="36"/>
          <w:highlight w:val="none"/>
          <w:lang w:eastAsia="zh-CN"/>
        </w:rPr>
      </w:pPr>
      <w:r>
        <w:rPr>
          <w:rFonts w:ascii="宋体" w:hAnsi="宋体" w:cs="宋体"/>
          <w:b/>
          <w:bCs/>
          <w:color w:val="auto"/>
          <w:sz w:val="36"/>
          <w:szCs w:val="36"/>
          <w:highlight w:val="none"/>
          <w:lang w:eastAsia="zh-CN"/>
        </w:rPr>
        <w:t>2017</w:t>
      </w:r>
      <w:r>
        <w:rPr>
          <w:rFonts w:hint="eastAsia" w:ascii="宋体" w:hAnsi="宋体" w:cs="宋体"/>
          <w:b/>
          <w:bCs/>
          <w:color w:val="auto"/>
          <w:sz w:val="36"/>
          <w:szCs w:val="36"/>
          <w:highlight w:val="none"/>
          <w:lang w:eastAsia="zh-CN"/>
        </w:rPr>
        <w:t>年度民兵训练及征兵经费项目</w:t>
      </w:r>
    </w:p>
    <w:p>
      <w:pPr>
        <w:spacing w:line="360" w:lineRule="auto"/>
        <w:jc w:val="center"/>
        <w:rPr>
          <w:rFonts w:cs="Times New Roman"/>
          <w:color w:val="auto"/>
          <w:highlight w:val="none"/>
          <w:lang w:eastAsia="zh-CN"/>
        </w:rPr>
      </w:pPr>
      <w:r>
        <w:rPr>
          <w:rFonts w:hint="eastAsia" w:ascii="宋体" w:hAnsi="宋体" w:cs="宋体"/>
          <w:b/>
          <w:bCs/>
          <w:color w:val="auto"/>
          <w:sz w:val="36"/>
          <w:szCs w:val="36"/>
          <w:highlight w:val="none"/>
          <w:lang w:eastAsia="zh-CN"/>
        </w:rPr>
        <w:t>绩效自评报告</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一、项目基本情况</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（一）项目概况</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、项目内容</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我国的民兵是中国共产党领导的群众武装组织，是中华人民共和国武装组织力量的重要组成部分，是巩固基层政权、维护国家安全与社会稳定的重要力量；义务兵制度是中国的国家政策，是保卫国家，巩固政权的必然要求和措施，征兵工作是国防和军队建设的一项基础性工作。征集高素质的兵员，是抓好国防建设和军队建设的前提，是实现国防现代化、确保国家安全和社会安定的基础。</w:t>
      </w:r>
    </w:p>
    <w:p>
      <w:pPr>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年龙泉街道办事处民兵训练和征兵工作经费支出预算</w:t>
      </w:r>
      <w:r>
        <w:rPr>
          <w:rFonts w:ascii="宋体" w:hAnsi="宋体" w:cs="宋体"/>
          <w:color w:val="auto"/>
          <w:sz w:val="28"/>
          <w:szCs w:val="28"/>
          <w:highlight w:val="none"/>
          <w:lang w:eastAsia="zh-CN"/>
        </w:rPr>
        <w:t>8</w:t>
      </w:r>
      <w:r>
        <w:rPr>
          <w:rFonts w:hint="eastAsia" w:ascii="宋体" w:hAnsi="宋体" w:cs="宋体"/>
          <w:color w:val="auto"/>
          <w:sz w:val="28"/>
          <w:szCs w:val="28"/>
          <w:highlight w:val="none"/>
          <w:lang w:eastAsia="zh-CN"/>
        </w:rPr>
        <w:t>万元，用于民兵应急队训练及兵役登记和预征对象的征集工作。</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、项目完成概况</w:t>
      </w:r>
    </w:p>
    <w:p>
      <w:pPr>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年龙泉街道办事处民兵训练和征兵工作经费支出</w:t>
      </w:r>
      <w:r>
        <w:rPr>
          <w:rFonts w:hint="eastAsia" w:ascii="宋体" w:hAnsi="宋体" w:cs="宋体"/>
          <w:color w:val="auto"/>
          <w:sz w:val="28"/>
          <w:szCs w:val="28"/>
          <w:highlight w:val="none"/>
          <w:lang w:val="en-US" w:eastAsia="zh-CN"/>
        </w:rPr>
        <w:t>8</w:t>
      </w:r>
      <w:bookmarkStart w:id="0" w:name="_GoBack"/>
      <w:bookmarkEnd w:id="0"/>
      <w:r>
        <w:rPr>
          <w:rFonts w:hint="eastAsia" w:ascii="宋体" w:hAnsi="宋体" w:cs="宋体"/>
          <w:color w:val="auto"/>
          <w:sz w:val="28"/>
          <w:szCs w:val="28"/>
          <w:highlight w:val="none"/>
          <w:lang w:eastAsia="zh-CN"/>
        </w:rPr>
        <w:t>万元，民兵应急分队抽点及训练</w:t>
      </w:r>
      <w:r>
        <w:rPr>
          <w:rFonts w:ascii="宋体" w:hAnsi="宋体" w:cs="宋体"/>
          <w:color w:val="auto"/>
          <w:sz w:val="28"/>
          <w:szCs w:val="28"/>
          <w:highlight w:val="none"/>
          <w:lang w:eastAsia="zh-CN"/>
        </w:rPr>
        <w:t>30</w:t>
      </w:r>
      <w:r>
        <w:rPr>
          <w:rFonts w:hint="eastAsia" w:ascii="宋体" w:hAnsi="宋体" w:cs="宋体"/>
          <w:color w:val="auto"/>
          <w:sz w:val="28"/>
          <w:szCs w:val="28"/>
          <w:highlight w:val="none"/>
          <w:lang w:eastAsia="zh-CN"/>
        </w:rPr>
        <w:t>人，征兵进站体检</w:t>
      </w:r>
      <w:r>
        <w:rPr>
          <w:rFonts w:ascii="宋体" w:hAnsi="宋体" w:cs="宋体"/>
          <w:color w:val="auto"/>
          <w:sz w:val="28"/>
          <w:szCs w:val="28"/>
          <w:highlight w:val="none"/>
          <w:lang w:eastAsia="zh-CN"/>
        </w:rPr>
        <w:t>12</w:t>
      </w:r>
      <w:r>
        <w:rPr>
          <w:rFonts w:hint="eastAsia" w:ascii="宋体" w:hAnsi="宋体" w:cs="宋体"/>
          <w:color w:val="auto"/>
          <w:sz w:val="28"/>
          <w:szCs w:val="28"/>
          <w:highlight w:val="none"/>
          <w:lang w:eastAsia="zh-CN"/>
        </w:rPr>
        <w:t>人。</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、产出目标</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）数量指标</w:t>
      </w:r>
    </w:p>
    <w:tbl>
      <w:tblPr>
        <w:tblStyle w:val="5"/>
        <w:tblW w:w="8504" w:type="dxa"/>
        <w:jc w:val="center"/>
        <w:tblInd w:w="0" w:type="dxa"/>
        <w:tblLayout w:type="fixed"/>
        <w:tblCellMar>
          <w:top w:w="15" w:type="dxa"/>
          <w:left w:w="15" w:type="dxa"/>
          <w:bottom w:w="15" w:type="dxa"/>
          <w:right w:w="15" w:type="dxa"/>
        </w:tblCellMar>
      </w:tblPr>
      <w:tblGrid>
        <w:gridCol w:w="1148"/>
        <w:gridCol w:w="2754"/>
        <w:gridCol w:w="3043"/>
        <w:gridCol w:w="1559"/>
      </w:tblGrid>
      <w:tr>
        <w:tblPrEx>
          <w:tblLayout w:type="fixed"/>
          <w:tblCellMar>
            <w:top w:w="15" w:type="dxa"/>
            <w:left w:w="15" w:type="dxa"/>
            <w:bottom w:w="15" w:type="dxa"/>
            <w:right w:w="15" w:type="dxa"/>
          </w:tblCellMar>
        </w:tblPrEx>
        <w:trPr>
          <w:cantSplit/>
          <w:trHeight w:val="397" w:hRule="exact"/>
          <w:jc w:val="center"/>
        </w:trPr>
        <w:tc>
          <w:tcPr>
            <w:tcW w:w="114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一级指标</w:t>
            </w:r>
          </w:p>
        </w:tc>
        <w:tc>
          <w:tcPr>
            <w:tcW w:w="2754"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二级指标</w:t>
            </w:r>
          </w:p>
        </w:tc>
        <w:tc>
          <w:tcPr>
            <w:tcW w:w="3043"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hint="eastAsia" w:ascii="宋体" w:hAnsi="宋体" w:cs="宋体"/>
                <w:color w:val="auto"/>
                <w:sz w:val="21"/>
                <w:szCs w:val="21"/>
                <w:highlight w:val="none"/>
                <w:lang w:eastAsia="zh-CN"/>
              </w:rPr>
              <w:t>指标内容</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hint="eastAsia" w:ascii="宋体" w:hAnsi="宋体" w:cs="宋体"/>
                <w:color w:val="auto"/>
                <w:sz w:val="21"/>
                <w:szCs w:val="21"/>
                <w:highlight w:val="none"/>
                <w:lang w:eastAsia="zh-CN"/>
              </w:rPr>
              <w:t>目标值</w:t>
            </w:r>
          </w:p>
        </w:tc>
      </w:tr>
      <w:tr>
        <w:tblPrEx>
          <w:tblLayout w:type="fixed"/>
          <w:tblCellMar>
            <w:top w:w="15" w:type="dxa"/>
            <w:left w:w="15" w:type="dxa"/>
            <w:bottom w:w="15" w:type="dxa"/>
            <w:right w:w="15" w:type="dxa"/>
          </w:tblCellMar>
        </w:tblPrEx>
        <w:trPr>
          <w:cantSplit/>
          <w:trHeight w:val="397" w:hRule="exact"/>
          <w:jc w:val="center"/>
        </w:trPr>
        <w:tc>
          <w:tcPr>
            <w:tcW w:w="1148"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hint="eastAsia" w:ascii="宋体" w:hAnsi="宋体" w:cs="宋体"/>
                <w:color w:val="auto"/>
                <w:sz w:val="21"/>
                <w:szCs w:val="21"/>
                <w:highlight w:val="none"/>
                <w:lang w:eastAsia="zh-CN"/>
              </w:rPr>
              <w:t>产出指标</w:t>
            </w:r>
          </w:p>
        </w:tc>
        <w:tc>
          <w:tcPr>
            <w:tcW w:w="2754"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hint="eastAsia" w:ascii="宋体" w:hAnsi="宋体" w:cs="宋体"/>
                <w:color w:val="auto"/>
                <w:sz w:val="21"/>
                <w:szCs w:val="21"/>
                <w:highlight w:val="none"/>
                <w:lang w:eastAsia="zh-CN"/>
              </w:rPr>
              <w:t>数量指标</w:t>
            </w:r>
          </w:p>
        </w:tc>
        <w:tc>
          <w:tcPr>
            <w:tcW w:w="3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民兵应急分队抽点人数</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ascii="宋体" w:hAnsi="宋体" w:cs="宋体"/>
                <w:color w:val="auto"/>
                <w:sz w:val="21"/>
                <w:szCs w:val="21"/>
                <w:highlight w:val="none"/>
                <w:lang w:eastAsia="zh-CN"/>
              </w:rPr>
              <w:t>30</w:t>
            </w:r>
            <w:r>
              <w:rPr>
                <w:rFonts w:hint="eastAsia" w:ascii="宋体" w:hAnsi="宋体" w:cs="宋体"/>
                <w:color w:val="auto"/>
                <w:sz w:val="21"/>
                <w:szCs w:val="21"/>
                <w:highlight w:val="none"/>
                <w:lang w:eastAsia="zh-CN"/>
              </w:rPr>
              <w:t>人</w:t>
            </w:r>
          </w:p>
        </w:tc>
      </w:tr>
      <w:tr>
        <w:tblPrEx>
          <w:tblLayout w:type="fixed"/>
          <w:tblCellMar>
            <w:top w:w="15" w:type="dxa"/>
            <w:left w:w="15" w:type="dxa"/>
            <w:bottom w:w="15" w:type="dxa"/>
            <w:right w:w="15" w:type="dxa"/>
          </w:tblCellMar>
        </w:tblPrEx>
        <w:trPr>
          <w:cantSplit/>
          <w:trHeight w:val="397" w:hRule="exact"/>
          <w:jc w:val="center"/>
        </w:trPr>
        <w:tc>
          <w:tcPr>
            <w:tcW w:w="114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olor w:val="auto"/>
                <w:sz w:val="21"/>
                <w:szCs w:val="21"/>
                <w:highlight w:val="none"/>
              </w:rPr>
            </w:pPr>
          </w:p>
        </w:tc>
        <w:tc>
          <w:tcPr>
            <w:tcW w:w="27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olor w:val="auto"/>
                <w:sz w:val="21"/>
                <w:szCs w:val="21"/>
                <w:highlight w:val="none"/>
              </w:rPr>
            </w:pPr>
          </w:p>
        </w:tc>
        <w:tc>
          <w:tcPr>
            <w:tcW w:w="3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民兵应急分队训练人数</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ascii="宋体" w:hAnsi="宋体" w:cs="宋体"/>
                <w:color w:val="auto"/>
                <w:sz w:val="21"/>
                <w:szCs w:val="21"/>
                <w:highlight w:val="none"/>
                <w:lang w:eastAsia="zh-CN"/>
              </w:rPr>
              <w:t>30</w:t>
            </w:r>
            <w:r>
              <w:rPr>
                <w:rFonts w:hint="eastAsia" w:ascii="宋体" w:hAnsi="宋体" w:cs="宋体"/>
                <w:color w:val="auto"/>
                <w:sz w:val="21"/>
                <w:szCs w:val="21"/>
                <w:highlight w:val="none"/>
                <w:lang w:eastAsia="zh-CN"/>
              </w:rPr>
              <w:t>人</w:t>
            </w:r>
          </w:p>
        </w:tc>
      </w:tr>
      <w:tr>
        <w:tblPrEx>
          <w:tblLayout w:type="fixed"/>
          <w:tblCellMar>
            <w:top w:w="15" w:type="dxa"/>
            <w:left w:w="15" w:type="dxa"/>
            <w:bottom w:w="15" w:type="dxa"/>
            <w:right w:w="15" w:type="dxa"/>
          </w:tblCellMar>
        </w:tblPrEx>
        <w:trPr>
          <w:cantSplit/>
          <w:trHeight w:val="397" w:hRule="exact"/>
          <w:jc w:val="center"/>
        </w:trPr>
        <w:tc>
          <w:tcPr>
            <w:tcW w:w="114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olor w:val="auto"/>
                <w:sz w:val="21"/>
                <w:szCs w:val="21"/>
                <w:highlight w:val="none"/>
              </w:rPr>
            </w:pPr>
          </w:p>
        </w:tc>
        <w:tc>
          <w:tcPr>
            <w:tcW w:w="275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olor w:val="auto"/>
                <w:sz w:val="21"/>
                <w:szCs w:val="21"/>
                <w:highlight w:val="none"/>
              </w:rPr>
            </w:pPr>
          </w:p>
        </w:tc>
        <w:tc>
          <w:tcPr>
            <w:tcW w:w="30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color w:val="auto"/>
                <w:sz w:val="21"/>
                <w:szCs w:val="21"/>
                <w:highlight w:val="none"/>
              </w:rPr>
            </w:pPr>
            <w:r>
              <w:rPr>
                <w:rFonts w:hint="eastAsia" w:ascii="宋体" w:hAnsi="宋体" w:cs="宋体"/>
                <w:color w:val="auto"/>
                <w:sz w:val="21"/>
                <w:szCs w:val="21"/>
                <w:highlight w:val="none"/>
                <w:lang w:eastAsia="zh-CN"/>
              </w:rPr>
              <w:t>征兵进站体检人数</w:t>
            </w:r>
          </w:p>
        </w:tc>
        <w:tc>
          <w:tcPr>
            <w:tcW w:w="155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olor w:val="auto"/>
                <w:sz w:val="21"/>
                <w:szCs w:val="21"/>
                <w:highlight w:val="none"/>
              </w:rPr>
            </w:pPr>
            <w:r>
              <w:rPr>
                <w:rFonts w:ascii="宋体" w:hAnsi="宋体" w:cs="宋体"/>
                <w:color w:val="auto"/>
                <w:sz w:val="21"/>
                <w:szCs w:val="21"/>
                <w:highlight w:val="none"/>
                <w:lang w:eastAsia="zh-CN"/>
              </w:rPr>
              <w:t>32</w:t>
            </w:r>
            <w:r>
              <w:rPr>
                <w:rFonts w:hint="eastAsia" w:ascii="宋体" w:hAnsi="宋体" w:cs="宋体"/>
                <w:color w:val="auto"/>
                <w:sz w:val="21"/>
                <w:szCs w:val="21"/>
                <w:highlight w:val="none"/>
                <w:lang w:eastAsia="zh-CN"/>
              </w:rPr>
              <w:t>人</w:t>
            </w:r>
          </w:p>
        </w:tc>
      </w:tr>
    </w:tbl>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）质量指标</w:t>
      </w:r>
    </w:p>
    <w:p>
      <w:pPr>
        <w:spacing w:after="0" w:line="600" w:lineRule="exact"/>
        <w:ind w:firstLine="560" w:firstLineChars="200"/>
        <w:jc w:val="both"/>
        <w:rPr>
          <w:rFonts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做好社区及</w:t>
      </w:r>
      <w:r>
        <w:rPr>
          <w:rFonts w:ascii="宋体" w:hAnsi="宋体" w:cs="宋体"/>
          <w:color w:val="auto"/>
          <w:sz w:val="28"/>
          <w:szCs w:val="28"/>
          <w:highlight w:val="none"/>
          <w:lang w:eastAsia="zh-CN"/>
        </w:rPr>
        <w:t>13</w:t>
      </w:r>
      <w:r>
        <w:rPr>
          <w:rFonts w:hint="eastAsia" w:ascii="宋体" w:hAnsi="宋体" w:cs="宋体"/>
          <w:color w:val="auto"/>
          <w:sz w:val="28"/>
          <w:szCs w:val="28"/>
          <w:highlight w:val="none"/>
          <w:lang w:eastAsia="zh-CN"/>
        </w:rPr>
        <w:t>个村的民兵整组，按照要求合理编组，抓好应急分队建设；做好兵役登记和预征对象的征集工作，抓好预征对象上站体检、走访、政审和确定新兵，办理相关手续，安全输送新兵。民兵整组及征兵工作合格率达</w:t>
      </w:r>
      <w:r>
        <w:rPr>
          <w:rFonts w:ascii="宋体" w:hAnsi="宋体" w:cs="宋体"/>
          <w:color w:val="auto"/>
          <w:sz w:val="28"/>
          <w:szCs w:val="28"/>
          <w:highlight w:val="none"/>
          <w:lang w:eastAsia="zh-CN"/>
        </w:rPr>
        <w:t>100%</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3</w:t>
      </w:r>
      <w:r>
        <w:rPr>
          <w:rFonts w:hint="eastAsia" w:ascii="宋体" w:hAnsi="宋体" w:cs="宋体"/>
          <w:color w:val="auto"/>
          <w:sz w:val="28"/>
          <w:szCs w:val="28"/>
          <w:highlight w:val="none"/>
          <w:lang w:eastAsia="zh-CN"/>
        </w:rPr>
        <w:t>）时效指标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民兵应急分队整组、训练及征兵工作按照工作计划及时完成。</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4</w:t>
      </w:r>
      <w:r>
        <w:rPr>
          <w:rFonts w:hint="eastAsia" w:ascii="宋体" w:hAnsi="宋体" w:cs="宋体"/>
          <w:color w:val="auto"/>
          <w:sz w:val="28"/>
          <w:szCs w:val="28"/>
          <w:highlight w:val="none"/>
          <w:lang w:eastAsia="zh-CN"/>
        </w:rPr>
        <w:t>）成本指标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项目经费开支严格按照预算执行，实际经费开支不超过年初申报资金额度。</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）社会效益</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通过开展民兵应急分队训练及义务兵征兵工作，提高人民群众安全感，保障社会和谐稳定发展。</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）可持续影响指标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人员配备、内部管理制度、项目管理制度以及项目经费可持续性满足项目可持续性要求。</w:t>
      </w:r>
    </w:p>
    <w:p>
      <w:pPr>
        <w:spacing w:after="0" w:line="600" w:lineRule="exact"/>
        <w:ind w:firstLine="560" w:firstLineChars="200"/>
        <w:jc w:val="both"/>
        <w:outlineLvl w:val="0"/>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3</w:t>
      </w:r>
      <w:r>
        <w:rPr>
          <w:rFonts w:hint="eastAsia" w:ascii="宋体" w:hAnsi="宋体" w:cs="宋体"/>
          <w:color w:val="auto"/>
          <w:sz w:val="28"/>
          <w:szCs w:val="28"/>
          <w:highlight w:val="none"/>
          <w:lang w:eastAsia="zh-CN"/>
        </w:rPr>
        <w:t>）服务对象满意度指标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社会公众满意度达</w:t>
      </w:r>
      <w:r>
        <w:rPr>
          <w:rFonts w:ascii="宋体" w:hAnsi="宋体" w:cs="宋体"/>
          <w:color w:val="auto"/>
          <w:sz w:val="28"/>
          <w:szCs w:val="28"/>
          <w:highlight w:val="none"/>
          <w:lang w:eastAsia="zh-CN"/>
        </w:rPr>
        <w:t>90%</w:t>
      </w:r>
      <w:r>
        <w:rPr>
          <w:rFonts w:hint="eastAsia" w:ascii="宋体" w:hAnsi="宋体" w:cs="宋体"/>
          <w:color w:val="auto"/>
          <w:sz w:val="28"/>
          <w:szCs w:val="28"/>
          <w:highlight w:val="none"/>
          <w:lang w:eastAsia="zh-CN"/>
        </w:rPr>
        <w:t>以上。</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二、项目绩效分析</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（一）项目管理情况</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、业务管理情况</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龙泉街武装部按照《湖北省人民政府办公厅省军区司令部关于进一步加强民兵和预备役部队装备保障配套建设的意见》（鄂政办发</w:t>
      </w:r>
      <w:r>
        <w:rPr>
          <w:rFonts w:ascii="宋体" w:hAnsi="宋体" w:cs="宋体"/>
          <w:color w:val="auto"/>
          <w:sz w:val="28"/>
          <w:szCs w:val="28"/>
          <w:highlight w:val="none"/>
          <w:lang w:eastAsia="zh-CN"/>
        </w:rPr>
        <w:t>[2008]56</w:t>
      </w:r>
      <w:r>
        <w:rPr>
          <w:rFonts w:hint="eastAsia" w:ascii="宋体" w:hAnsi="宋体" w:cs="宋体"/>
          <w:color w:val="auto"/>
          <w:sz w:val="28"/>
          <w:szCs w:val="28"/>
          <w:highlight w:val="none"/>
          <w:lang w:eastAsia="zh-CN"/>
        </w:rPr>
        <w:t>号）、《湖北省军区关于进一步加强民兵预备役部队装备保障配套建设的通知》（鄂司发</w:t>
      </w:r>
      <w:r>
        <w:rPr>
          <w:rFonts w:ascii="宋体" w:hAnsi="宋体" w:cs="宋体"/>
          <w:color w:val="auto"/>
          <w:sz w:val="28"/>
          <w:szCs w:val="28"/>
          <w:highlight w:val="none"/>
          <w:lang w:eastAsia="zh-CN"/>
        </w:rPr>
        <w:t>[2008]34</w:t>
      </w:r>
      <w:r>
        <w:rPr>
          <w:rFonts w:hint="eastAsia" w:ascii="宋体" w:hAnsi="宋体" w:cs="宋体"/>
          <w:color w:val="auto"/>
          <w:sz w:val="28"/>
          <w:szCs w:val="28"/>
          <w:highlight w:val="none"/>
          <w:lang w:eastAsia="zh-CN"/>
        </w:rPr>
        <w:t>号）、《中华人民共和国兵役法》等文件规定的内容、时间和标准，结合自身实际，制订了具体实施计划，目标明确，责任细化，逐项落实了相关工作计划。</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、财务管理情况</w:t>
      </w:r>
    </w:p>
    <w:p>
      <w:pPr>
        <w:keepNext w:val="0"/>
        <w:keepLines w:val="0"/>
        <w:pageBreakBefore w:val="0"/>
        <w:widowControl/>
        <w:kinsoku/>
        <w:wordWrap/>
        <w:overflowPunct/>
        <w:topLinePunct w:val="0"/>
        <w:autoSpaceDE/>
        <w:autoSpaceDN/>
        <w:bidi w:val="0"/>
        <w:adjustRightInd/>
        <w:snapToGrid/>
        <w:spacing w:after="0" w:line="600" w:lineRule="exact"/>
        <w:ind w:firstLine="560" w:firstLineChars="200"/>
        <w:jc w:val="both"/>
        <w:textAlignment w:val="auto"/>
        <w:outlineLvl w:val="9"/>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民兵、预备役部队训练经费，是国家和地方政府根据国防后备力量建设的需要，为管理和使用民兵、预备役部队军事训练专项经费，龙泉街道办事处除遵守国家及省市相关规定外，还制定了各项财经管理制度，对项目资金实行单独核算，资金拨付审批程序完整。</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（二）项目预算绩效目标的完成情况</w:t>
      </w:r>
    </w:p>
    <w:p>
      <w:pPr>
        <w:spacing w:after="0" w:line="600" w:lineRule="exact"/>
        <w:ind w:firstLine="560" w:firstLineChars="200"/>
        <w:jc w:val="both"/>
        <w:outlineLvl w:val="0"/>
        <w:rPr>
          <w:rFonts w:ascii="宋体" w:hAnsi="宋体"/>
          <w:color w:val="auto"/>
          <w:sz w:val="28"/>
          <w:szCs w:val="28"/>
          <w:highlight w:val="none"/>
          <w:lang w:eastAsia="zh-CN"/>
        </w:rPr>
      </w:pP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、产出目标</w:t>
      </w:r>
    </w:p>
    <w:tbl>
      <w:tblPr>
        <w:tblStyle w:val="5"/>
        <w:tblW w:w="8504" w:type="dxa"/>
        <w:jc w:val="center"/>
        <w:tblInd w:w="0" w:type="dxa"/>
        <w:tblLayout w:type="fixed"/>
        <w:tblCellMar>
          <w:top w:w="15" w:type="dxa"/>
          <w:left w:w="15" w:type="dxa"/>
          <w:bottom w:w="15" w:type="dxa"/>
          <w:right w:w="15" w:type="dxa"/>
        </w:tblCellMar>
      </w:tblPr>
      <w:tblGrid>
        <w:gridCol w:w="932"/>
        <w:gridCol w:w="2236"/>
        <w:gridCol w:w="2470"/>
        <w:gridCol w:w="1266"/>
        <w:gridCol w:w="1600"/>
      </w:tblGrid>
      <w:tr>
        <w:tblPrEx>
          <w:tblLayout w:type="fixed"/>
          <w:tblCellMar>
            <w:top w:w="15" w:type="dxa"/>
            <w:left w:w="15" w:type="dxa"/>
            <w:bottom w:w="15" w:type="dxa"/>
            <w:right w:w="15" w:type="dxa"/>
          </w:tblCellMar>
        </w:tblPrEx>
        <w:trPr>
          <w:cantSplit/>
          <w:trHeight w:val="397" w:hRule="exact"/>
          <w:jc w:val="center"/>
        </w:trPr>
        <w:tc>
          <w:tcPr>
            <w:tcW w:w="932"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一级指标</w:t>
            </w:r>
          </w:p>
        </w:tc>
        <w:tc>
          <w:tcPr>
            <w:tcW w:w="223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二级指标</w:t>
            </w:r>
          </w:p>
        </w:tc>
        <w:tc>
          <w:tcPr>
            <w:tcW w:w="24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指标内容</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目标值</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完成情况</w:t>
            </w:r>
          </w:p>
        </w:tc>
      </w:tr>
      <w:tr>
        <w:tblPrEx>
          <w:tblLayout w:type="fixed"/>
          <w:tblCellMar>
            <w:top w:w="15" w:type="dxa"/>
            <w:left w:w="15" w:type="dxa"/>
            <w:bottom w:w="15" w:type="dxa"/>
            <w:right w:w="15" w:type="dxa"/>
          </w:tblCellMar>
        </w:tblPrEx>
        <w:trPr>
          <w:cantSplit/>
          <w:trHeight w:val="397" w:hRule="exact"/>
          <w:jc w:val="center"/>
        </w:trPr>
        <w:tc>
          <w:tcPr>
            <w:tcW w:w="93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lang w:eastAsia="zh-CN"/>
              </w:rPr>
            </w:pPr>
            <w:r>
              <w:rPr>
                <w:rFonts w:hint="eastAsia" w:ascii="仿宋_GB2312" w:hAnsi="宋体" w:eastAsia="仿宋_GB2312" w:cs="仿宋_GB2312"/>
                <w:color w:val="auto"/>
                <w:sz w:val="24"/>
                <w:szCs w:val="24"/>
                <w:highlight w:val="none"/>
                <w:lang w:eastAsia="zh-CN"/>
              </w:rPr>
              <w:t>产出</w:t>
            </w:r>
          </w:p>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指标</w:t>
            </w:r>
          </w:p>
        </w:tc>
        <w:tc>
          <w:tcPr>
            <w:tcW w:w="2236"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数量指标</w:t>
            </w: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lang w:eastAsia="zh-CN"/>
              </w:rPr>
            </w:pPr>
            <w:r>
              <w:rPr>
                <w:rFonts w:hint="eastAsia" w:ascii="仿宋_GB2312" w:hAnsi="宋体" w:eastAsia="仿宋_GB2312" w:cs="仿宋_GB2312"/>
                <w:color w:val="auto"/>
                <w:sz w:val="20"/>
                <w:szCs w:val="20"/>
                <w:highlight w:val="none"/>
                <w:lang w:eastAsia="zh-CN"/>
              </w:rPr>
              <w:t>民兵应急分队抽点人数</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0"/>
                <w:szCs w:val="20"/>
                <w:highlight w:val="none"/>
              </w:rPr>
            </w:pPr>
            <w:r>
              <w:rPr>
                <w:rFonts w:ascii="仿宋_GB2312" w:hAnsi="宋体" w:eastAsia="仿宋_GB2312" w:cs="仿宋_GB2312"/>
                <w:color w:val="auto"/>
                <w:sz w:val="20"/>
                <w:szCs w:val="20"/>
                <w:highlight w:val="none"/>
                <w:lang w:eastAsia="zh-CN"/>
              </w:rPr>
              <w:t>30</w:t>
            </w:r>
            <w:r>
              <w:rPr>
                <w:rFonts w:hint="eastAsia" w:ascii="仿宋_GB2312" w:hAnsi="宋体" w:eastAsia="仿宋_GB2312" w:cs="仿宋_GB2312"/>
                <w:color w:val="auto"/>
                <w:sz w:val="20"/>
                <w:szCs w:val="20"/>
                <w:highlight w:val="none"/>
                <w:lang w:eastAsia="zh-CN"/>
              </w:rPr>
              <w:t>人</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30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lang w:eastAsia="zh-CN"/>
              </w:rPr>
            </w:pPr>
            <w:r>
              <w:rPr>
                <w:rFonts w:hint="eastAsia" w:ascii="仿宋_GB2312" w:hAnsi="宋体" w:eastAsia="仿宋_GB2312" w:cs="仿宋_GB2312"/>
                <w:color w:val="auto"/>
                <w:sz w:val="20"/>
                <w:szCs w:val="20"/>
                <w:highlight w:val="none"/>
                <w:lang w:eastAsia="zh-CN"/>
              </w:rPr>
              <w:t>民兵应急分队训练人数</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0"/>
                <w:szCs w:val="20"/>
                <w:highlight w:val="none"/>
              </w:rPr>
            </w:pPr>
            <w:r>
              <w:rPr>
                <w:rFonts w:ascii="仿宋_GB2312" w:hAnsi="宋体" w:eastAsia="仿宋_GB2312" w:cs="仿宋_GB2312"/>
                <w:color w:val="auto"/>
                <w:sz w:val="20"/>
                <w:szCs w:val="20"/>
                <w:highlight w:val="none"/>
                <w:lang w:eastAsia="zh-CN"/>
              </w:rPr>
              <w:t>30</w:t>
            </w:r>
            <w:r>
              <w:rPr>
                <w:rFonts w:hint="eastAsia" w:ascii="仿宋_GB2312" w:hAnsi="宋体" w:eastAsia="仿宋_GB2312" w:cs="仿宋_GB2312"/>
                <w:color w:val="auto"/>
                <w:sz w:val="20"/>
                <w:szCs w:val="20"/>
                <w:highlight w:val="none"/>
                <w:lang w:eastAsia="zh-CN"/>
              </w:rPr>
              <w:t>人</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30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hint="eastAsia" w:ascii="仿宋_GB2312" w:hAnsi="宋体" w:eastAsia="仿宋_GB2312" w:cs="仿宋_GB2312"/>
                <w:color w:val="auto"/>
                <w:sz w:val="20"/>
                <w:szCs w:val="20"/>
                <w:highlight w:val="none"/>
                <w:lang w:eastAsia="zh-CN"/>
              </w:rPr>
              <w:t>征兵进站体检人数</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0"/>
                <w:szCs w:val="20"/>
                <w:highlight w:val="none"/>
              </w:rPr>
            </w:pPr>
            <w:r>
              <w:rPr>
                <w:rFonts w:ascii="仿宋_GB2312" w:hAnsi="宋体" w:eastAsia="仿宋_GB2312" w:cs="仿宋_GB2312"/>
                <w:color w:val="auto"/>
                <w:sz w:val="20"/>
                <w:szCs w:val="20"/>
                <w:highlight w:val="none"/>
                <w:lang w:eastAsia="zh-CN"/>
              </w:rPr>
              <w:t>32</w:t>
            </w:r>
            <w:r>
              <w:rPr>
                <w:rFonts w:hint="eastAsia" w:ascii="仿宋_GB2312" w:hAnsi="宋体" w:eastAsia="仿宋_GB2312" w:cs="仿宋_GB2312"/>
                <w:color w:val="auto"/>
                <w:sz w:val="20"/>
                <w:szCs w:val="20"/>
                <w:highlight w:val="none"/>
                <w:lang w:eastAsia="zh-CN"/>
              </w:rPr>
              <w:t>人</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12</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质量指标</w:t>
            </w: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hint="eastAsia" w:ascii="仿宋_GB2312" w:hAnsi="宋体" w:eastAsia="仿宋_GB2312" w:cs="仿宋_GB2312"/>
                <w:color w:val="auto"/>
                <w:sz w:val="20"/>
                <w:szCs w:val="20"/>
                <w:highlight w:val="none"/>
                <w:lang w:eastAsia="zh-CN"/>
              </w:rPr>
              <w:t>征兵合格率</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ascii="仿宋_GB2312" w:hAnsi="宋体" w:eastAsia="仿宋_GB2312" w:cs="仿宋_GB2312"/>
                <w:color w:val="auto"/>
                <w:sz w:val="20"/>
                <w:szCs w:val="20"/>
                <w:highlight w:val="none"/>
                <w:lang w:eastAsia="zh-CN"/>
              </w:rPr>
              <w:t>100%</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hint="eastAsia" w:ascii="仿宋_GB2312" w:hAnsi="宋体" w:eastAsia="仿宋_GB2312" w:cs="仿宋_GB2312"/>
                <w:color w:val="auto"/>
                <w:sz w:val="20"/>
                <w:szCs w:val="20"/>
                <w:highlight w:val="none"/>
                <w:lang w:eastAsia="zh-CN"/>
              </w:rPr>
              <w:t>民兵整组完成合格率</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ascii="仿宋_GB2312" w:hAnsi="宋体" w:eastAsia="仿宋_GB2312" w:cs="仿宋_GB2312"/>
                <w:color w:val="auto"/>
                <w:sz w:val="20"/>
                <w:szCs w:val="20"/>
                <w:highlight w:val="none"/>
                <w:lang w:eastAsia="zh-CN"/>
              </w:rPr>
              <w:t>100%</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restart"/>
            <w:tcBorders>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时效指标</w:t>
            </w: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hint="eastAsia" w:ascii="仿宋_GB2312" w:hAnsi="宋体" w:eastAsia="仿宋_GB2312" w:cs="仿宋_GB2312"/>
                <w:color w:val="auto"/>
                <w:sz w:val="20"/>
                <w:szCs w:val="20"/>
                <w:highlight w:val="none"/>
                <w:lang w:eastAsia="zh-CN"/>
              </w:rPr>
              <w:t>民兵训练完成及时率</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vMerge w:val="continue"/>
            <w:tcBorders>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rPr>
            </w:pPr>
            <w:r>
              <w:rPr>
                <w:rFonts w:hint="eastAsia" w:ascii="仿宋_GB2312" w:hAnsi="宋体" w:eastAsia="仿宋_GB2312" w:cs="仿宋_GB2312"/>
                <w:color w:val="auto"/>
                <w:sz w:val="20"/>
                <w:szCs w:val="20"/>
                <w:highlight w:val="none"/>
                <w:lang w:eastAsia="zh-CN"/>
              </w:rPr>
              <w:t>征兵完成及时率</w:t>
            </w:r>
          </w:p>
        </w:tc>
        <w:tc>
          <w:tcPr>
            <w:tcW w:w="126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r>
      <w:tr>
        <w:tblPrEx>
          <w:tblLayout w:type="fixed"/>
          <w:tblCellMar>
            <w:top w:w="15" w:type="dxa"/>
            <w:left w:w="15" w:type="dxa"/>
            <w:bottom w:w="15" w:type="dxa"/>
            <w:right w:w="15" w:type="dxa"/>
          </w:tblCellMar>
        </w:tblPrEx>
        <w:trPr>
          <w:cantSplit/>
          <w:trHeight w:val="397" w:hRule="exact"/>
          <w:jc w:val="center"/>
        </w:trPr>
        <w:tc>
          <w:tcPr>
            <w:tcW w:w="9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olor w:val="auto"/>
                <w:sz w:val="24"/>
                <w:szCs w:val="24"/>
                <w:highlight w:val="none"/>
              </w:rPr>
            </w:pPr>
          </w:p>
        </w:tc>
        <w:tc>
          <w:tcPr>
            <w:tcW w:w="223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成本指标</w:t>
            </w:r>
          </w:p>
        </w:tc>
        <w:tc>
          <w:tcPr>
            <w:tcW w:w="2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0"/>
                <w:szCs w:val="20"/>
                <w:highlight w:val="none"/>
                <w:lang w:eastAsia="zh-CN"/>
              </w:rPr>
            </w:pPr>
            <w:r>
              <w:rPr>
                <w:rFonts w:hint="eastAsia" w:ascii="仿宋_GB2312" w:hAnsi="宋体" w:eastAsia="仿宋_GB2312" w:cs="仿宋_GB2312"/>
                <w:color w:val="auto"/>
                <w:sz w:val="20"/>
                <w:szCs w:val="20"/>
                <w:highlight w:val="none"/>
                <w:lang w:eastAsia="zh-CN"/>
              </w:rPr>
              <w:t>经费支出</w:t>
            </w:r>
            <w:r>
              <w:rPr>
                <w:rFonts w:ascii="仿宋_GB2312" w:hAnsi="宋体" w:eastAsia="仿宋_GB2312" w:cs="仿宋_GB2312"/>
                <w:color w:val="auto"/>
                <w:sz w:val="20"/>
                <w:szCs w:val="20"/>
                <w:highlight w:val="none"/>
                <w:lang w:eastAsia="zh-CN"/>
              </w:rPr>
              <w:t>/</w:t>
            </w:r>
            <w:r>
              <w:rPr>
                <w:rFonts w:hint="eastAsia" w:ascii="仿宋_GB2312" w:hAnsi="宋体" w:eastAsia="仿宋_GB2312" w:cs="仿宋_GB2312"/>
                <w:color w:val="auto"/>
                <w:sz w:val="20"/>
                <w:szCs w:val="20"/>
                <w:highlight w:val="none"/>
                <w:lang w:eastAsia="zh-CN"/>
              </w:rPr>
              <w:t>年初申报金额</w:t>
            </w:r>
          </w:p>
        </w:tc>
        <w:tc>
          <w:tcPr>
            <w:tcW w:w="12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仿宋_GB2312" w:hAnsi="宋体" w:eastAsia="仿宋_GB2312"/>
                <w:color w:val="auto"/>
                <w:sz w:val="24"/>
                <w:szCs w:val="24"/>
                <w:highlight w:val="none"/>
              </w:rPr>
            </w:pPr>
            <w:r>
              <w:rPr>
                <w:rFonts w:hint="eastAsia" w:ascii="仿宋_GB2312" w:hAnsi="宋体" w:eastAsia="仿宋_GB2312" w:cs="仿宋_GB2312"/>
                <w:color w:val="auto"/>
                <w:sz w:val="24"/>
                <w:szCs w:val="24"/>
                <w:highlight w:val="none"/>
                <w:lang w:eastAsia="zh-CN"/>
              </w:rPr>
              <w:t>≤</w:t>
            </w:r>
            <w:r>
              <w:rPr>
                <w:rFonts w:ascii="仿宋_GB2312" w:hAnsi="宋体" w:eastAsia="仿宋_GB2312" w:cs="仿宋_GB2312"/>
                <w:color w:val="auto"/>
                <w:sz w:val="24"/>
                <w:szCs w:val="24"/>
                <w:highlight w:val="none"/>
                <w:lang w:eastAsia="zh-CN"/>
              </w:rPr>
              <w:t>100%</w:t>
            </w:r>
          </w:p>
        </w:tc>
        <w:tc>
          <w:tcPr>
            <w:tcW w:w="160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仿宋_GB2312" w:hAnsi="宋体" w:eastAsia="仿宋_GB2312"/>
                <w:color w:val="auto"/>
                <w:sz w:val="24"/>
                <w:szCs w:val="24"/>
                <w:highlight w:val="none"/>
              </w:rPr>
            </w:pPr>
            <w:r>
              <w:rPr>
                <w:rFonts w:ascii="仿宋_GB2312" w:hAnsi="宋体" w:eastAsia="仿宋_GB2312" w:cs="仿宋_GB2312"/>
                <w:color w:val="auto"/>
                <w:sz w:val="24"/>
                <w:szCs w:val="24"/>
                <w:highlight w:val="none"/>
                <w:lang w:eastAsia="zh-CN"/>
              </w:rPr>
              <w:t>100%</w:t>
            </w:r>
          </w:p>
        </w:tc>
      </w:tr>
    </w:tbl>
    <w:p>
      <w:pPr>
        <w:spacing w:after="0" w:line="360" w:lineRule="auto"/>
        <w:ind w:firstLine="420" w:firstLineChars="200"/>
        <w:jc w:val="both"/>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备注：因征兵政策变化，征兵工作要求高中以上文化程度，原中专、技校及以下文化程度不征。征兵重点转移到高校，因此地方征兵再没有进站指标。</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、效果目标</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我国的民兵闲时参加社会主义现代化建设，并担负战备勤务、保卫边疆，维护社会治安的职责；战时随时准备参军参战，抵抗侵略，保卫祖国；义务兵征兵是国防和军队建设的一项基础性工作，征集高素质的兵员，是抓好国防建设和军队建设的前提，是实现国防现代化、确保国家安全和社会安定的基础。</w:t>
      </w:r>
    </w:p>
    <w:p>
      <w:pPr>
        <w:spacing w:after="0" w:line="600" w:lineRule="exact"/>
        <w:ind w:firstLine="560" w:firstLineChars="200"/>
        <w:jc w:val="both"/>
        <w:rPr>
          <w:rFonts w:ascii="宋体" w:hAnsi="宋体"/>
          <w:color w:val="auto"/>
          <w:sz w:val="28"/>
          <w:szCs w:val="28"/>
          <w:highlight w:val="none"/>
          <w:lang w:eastAsia="zh-CN"/>
        </w:rPr>
      </w:pP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年，龙泉街道办事处民兵应急分队抽点人数</w:t>
      </w:r>
      <w:r>
        <w:rPr>
          <w:rFonts w:ascii="宋体" w:hAnsi="宋体" w:cs="宋体"/>
          <w:color w:val="auto"/>
          <w:sz w:val="28"/>
          <w:szCs w:val="28"/>
          <w:highlight w:val="none"/>
          <w:lang w:eastAsia="zh-CN"/>
        </w:rPr>
        <w:t>30</w:t>
      </w:r>
      <w:r>
        <w:rPr>
          <w:rFonts w:hint="eastAsia" w:ascii="宋体" w:hAnsi="宋体" w:cs="宋体"/>
          <w:color w:val="auto"/>
          <w:sz w:val="28"/>
          <w:szCs w:val="28"/>
          <w:highlight w:val="none"/>
          <w:lang w:eastAsia="zh-CN"/>
        </w:rPr>
        <w:t>人，应急分队训练人数</w:t>
      </w:r>
      <w:r>
        <w:rPr>
          <w:rFonts w:ascii="宋体" w:hAnsi="宋体" w:cs="宋体"/>
          <w:color w:val="auto"/>
          <w:sz w:val="28"/>
          <w:szCs w:val="28"/>
          <w:highlight w:val="none"/>
          <w:lang w:eastAsia="zh-CN"/>
        </w:rPr>
        <w:t>30</w:t>
      </w:r>
      <w:r>
        <w:rPr>
          <w:rFonts w:hint="eastAsia" w:ascii="宋体" w:hAnsi="宋体" w:cs="宋体"/>
          <w:color w:val="auto"/>
          <w:sz w:val="28"/>
          <w:szCs w:val="28"/>
          <w:highlight w:val="none"/>
          <w:lang w:eastAsia="zh-CN"/>
        </w:rPr>
        <w:t>人，征兵进站体检人数</w:t>
      </w:r>
      <w:r>
        <w:rPr>
          <w:rFonts w:ascii="宋体" w:hAnsi="宋体" w:cs="宋体"/>
          <w:color w:val="auto"/>
          <w:sz w:val="28"/>
          <w:szCs w:val="28"/>
          <w:highlight w:val="none"/>
          <w:lang w:eastAsia="zh-CN"/>
        </w:rPr>
        <w:t>12</w:t>
      </w:r>
      <w:r>
        <w:rPr>
          <w:rFonts w:hint="eastAsia" w:ascii="宋体" w:hAnsi="宋体" w:cs="宋体"/>
          <w:color w:val="auto"/>
          <w:sz w:val="28"/>
          <w:szCs w:val="28"/>
          <w:highlight w:val="none"/>
          <w:lang w:eastAsia="zh-CN"/>
        </w:rPr>
        <w:t>人，除征兵进站工作因政策调整外，其他工作均按时完成，为国家和社会安全提供了有力保障，促进社会发展稳定和谐。</w:t>
      </w:r>
    </w:p>
    <w:p>
      <w:pPr>
        <w:spacing w:after="0" w:line="600" w:lineRule="exact"/>
        <w:jc w:val="both"/>
        <w:rPr>
          <w:rFonts w:ascii="宋体" w:hAnsi="宋体"/>
          <w:b/>
          <w:bCs/>
          <w:color w:val="auto"/>
          <w:sz w:val="28"/>
          <w:szCs w:val="28"/>
          <w:highlight w:val="none"/>
          <w:lang w:eastAsia="zh-CN"/>
        </w:rPr>
      </w:pPr>
      <w:r>
        <w:rPr>
          <w:rFonts w:hint="eastAsia" w:ascii="宋体" w:hAnsi="宋体" w:cs="宋体"/>
          <w:b/>
          <w:bCs/>
          <w:color w:val="auto"/>
          <w:sz w:val="28"/>
          <w:szCs w:val="28"/>
          <w:highlight w:val="none"/>
          <w:lang w:eastAsia="zh-CN"/>
        </w:rPr>
        <w:t>三、自评结论</w:t>
      </w:r>
    </w:p>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（一）自评结论</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武汉东湖新技术开发区龙泉街道办事处</w:t>
      </w: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年民兵应急分队抽点、训练</w:t>
      </w:r>
      <w:r>
        <w:rPr>
          <w:rFonts w:ascii="宋体" w:hAnsi="宋体" w:cs="宋体"/>
          <w:color w:val="auto"/>
          <w:sz w:val="28"/>
          <w:szCs w:val="28"/>
          <w:highlight w:val="none"/>
          <w:lang w:eastAsia="zh-CN"/>
        </w:rPr>
        <w:t>30</w:t>
      </w:r>
      <w:r>
        <w:rPr>
          <w:rFonts w:hint="eastAsia" w:ascii="宋体" w:hAnsi="宋体" w:cs="宋体"/>
          <w:color w:val="auto"/>
          <w:sz w:val="28"/>
          <w:szCs w:val="28"/>
          <w:highlight w:val="none"/>
          <w:lang w:eastAsia="zh-CN"/>
        </w:rPr>
        <w:t>人，征兵进站体检人数</w:t>
      </w:r>
      <w:r>
        <w:rPr>
          <w:rFonts w:ascii="宋体" w:hAnsi="宋体" w:cs="宋体"/>
          <w:color w:val="auto"/>
          <w:sz w:val="28"/>
          <w:szCs w:val="28"/>
          <w:highlight w:val="none"/>
          <w:lang w:eastAsia="zh-CN"/>
        </w:rPr>
        <w:t>12</w:t>
      </w:r>
      <w:r>
        <w:rPr>
          <w:rFonts w:hint="eastAsia" w:ascii="宋体" w:hAnsi="宋体" w:cs="宋体"/>
          <w:color w:val="auto"/>
          <w:sz w:val="28"/>
          <w:szCs w:val="28"/>
          <w:highlight w:val="none"/>
          <w:lang w:eastAsia="zh-CN"/>
        </w:rPr>
        <w:t>人，</w:t>
      </w:r>
      <w:r>
        <w:rPr>
          <w:rFonts w:ascii="宋体" w:hAnsi="宋体" w:cs="宋体"/>
          <w:color w:val="auto"/>
          <w:sz w:val="28"/>
          <w:szCs w:val="28"/>
          <w:highlight w:val="none"/>
          <w:lang w:eastAsia="zh-CN"/>
        </w:rPr>
        <w:t>2017</w:t>
      </w:r>
      <w:r>
        <w:rPr>
          <w:rFonts w:hint="eastAsia" w:ascii="宋体" w:hAnsi="宋体" w:cs="宋体"/>
          <w:color w:val="auto"/>
          <w:sz w:val="28"/>
          <w:szCs w:val="28"/>
          <w:highlight w:val="none"/>
          <w:lang w:eastAsia="zh-CN"/>
        </w:rPr>
        <w:t>年民兵训练及征兵工作已顺利完成。该项目立项依据充分，项目绩效目标设置合理；项目财政资金按时足额拨付到位；项目的组织实施有序，程序到位；项目资金单独核算，资金的拨付审批程序和手续完整；人民群众安全感大大提高，社会和谐稳定发展得到保障；武装部内部管理制度健全，项目经费可持续性基本满足项目可持续要求；社会公众满意度较高，项目的绩效目标基本实现。</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经综合分析，本项目评分得分为</w:t>
      </w:r>
      <w:r>
        <w:rPr>
          <w:rFonts w:ascii="宋体" w:hAnsi="宋体" w:cs="宋体"/>
          <w:color w:val="auto"/>
          <w:sz w:val="28"/>
          <w:szCs w:val="28"/>
          <w:highlight w:val="none"/>
          <w:lang w:eastAsia="zh-CN"/>
        </w:rPr>
        <w:t>86.00</w:t>
      </w:r>
      <w:r>
        <w:rPr>
          <w:rFonts w:hint="eastAsia" w:ascii="宋体" w:hAnsi="宋体" w:cs="宋体"/>
          <w:color w:val="auto"/>
          <w:sz w:val="28"/>
          <w:szCs w:val="28"/>
          <w:highlight w:val="none"/>
          <w:lang w:eastAsia="zh-CN"/>
        </w:rPr>
        <w:t>分，评分结果级别为：良好。各项指标得分情况如下：</w:t>
      </w:r>
    </w:p>
    <w:tbl>
      <w:tblPr>
        <w:tblStyle w:val="5"/>
        <w:tblW w:w="85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15"/>
        <w:gridCol w:w="1762"/>
        <w:gridCol w:w="1762"/>
        <w:gridCol w:w="1763"/>
        <w:gridCol w:w="2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序号</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指标</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分值</w:t>
            </w:r>
          </w:p>
        </w:tc>
        <w:tc>
          <w:tcPr>
            <w:tcW w:w="1763"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评价得分</w:t>
            </w:r>
          </w:p>
        </w:tc>
        <w:tc>
          <w:tcPr>
            <w:tcW w:w="220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评分结果级别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投入管理</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16.00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16.00</w:t>
            </w:r>
          </w:p>
        </w:tc>
        <w:tc>
          <w:tcPr>
            <w:tcW w:w="2202" w:type="dxa"/>
            <w:vMerge w:val="restart"/>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过程管理</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24.00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22.00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3</w:t>
            </w:r>
          </w:p>
        </w:tc>
        <w:tc>
          <w:tcPr>
            <w:tcW w:w="1762"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项目绩效</w:t>
            </w: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60.00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48.00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jc w:val="center"/>
        </w:trPr>
        <w:tc>
          <w:tcPr>
            <w:tcW w:w="1015" w:type="dxa"/>
            <w:vAlign w:val="center"/>
          </w:tcPr>
          <w:p>
            <w:pPr>
              <w:spacing w:after="0" w:line="360" w:lineRule="auto"/>
              <w:jc w:val="center"/>
              <w:rPr>
                <w:rFonts w:ascii="宋体" w:hAnsi="宋体"/>
                <w:color w:val="auto"/>
                <w:sz w:val="21"/>
                <w:szCs w:val="21"/>
                <w:highlight w:val="none"/>
                <w:lang w:eastAsia="zh-CN"/>
              </w:rPr>
            </w:pPr>
            <w:r>
              <w:rPr>
                <w:rFonts w:hint="eastAsia" w:ascii="宋体" w:hAnsi="宋体" w:cs="宋体"/>
                <w:color w:val="auto"/>
                <w:sz w:val="21"/>
                <w:szCs w:val="21"/>
                <w:highlight w:val="none"/>
                <w:lang w:eastAsia="zh-CN"/>
              </w:rPr>
              <w:t>合计</w:t>
            </w:r>
          </w:p>
        </w:tc>
        <w:tc>
          <w:tcPr>
            <w:tcW w:w="1762" w:type="dxa"/>
            <w:vAlign w:val="center"/>
          </w:tcPr>
          <w:p>
            <w:pPr>
              <w:spacing w:after="0" w:line="360" w:lineRule="auto"/>
              <w:jc w:val="center"/>
              <w:rPr>
                <w:rFonts w:ascii="宋体" w:hAnsi="宋体"/>
                <w:color w:val="auto"/>
                <w:sz w:val="21"/>
                <w:szCs w:val="21"/>
                <w:highlight w:val="none"/>
                <w:lang w:eastAsia="zh-CN"/>
              </w:rPr>
            </w:pPr>
          </w:p>
        </w:tc>
        <w:tc>
          <w:tcPr>
            <w:tcW w:w="1762"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100.00</w:t>
            </w:r>
          </w:p>
        </w:tc>
        <w:tc>
          <w:tcPr>
            <w:tcW w:w="1763" w:type="dxa"/>
            <w:vAlign w:val="center"/>
          </w:tcPr>
          <w:p>
            <w:pPr>
              <w:spacing w:after="0" w:line="360" w:lineRule="auto"/>
              <w:jc w:val="center"/>
              <w:rPr>
                <w:rFonts w:ascii="宋体" w:hAnsi="宋体" w:cs="宋体"/>
                <w:color w:val="auto"/>
                <w:sz w:val="21"/>
                <w:szCs w:val="21"/>
                <w:highlight w:val="none"/>
                <w:lang w:eastAsia="zh-CN"/>
              </w:rPr>
            </w:pPr>
            <w:r>
              <w:rPr>
                <w:rFonts w:ascii="宋体" w:hAnsi="宋体" w:cs="宋体"/>
                <w:color w:val="auto"/>
                <w:sz w:val="21"/>
                <w:szCs w:val="21"/>
                <w:highlight w:val="none"/>
                <w:lang w:eastAsia="zh-CN"/>
              </w:rPr>
              <w:t>86.00</w:t>
            </w:r>
          </w:p>
        </w:tc>
        <w:tc>
          <w:tcPr>
            <w:tcW w:w="2202" w:type="dxa"/>
            <w:vMerge w:val="continue"/>
            <w:vAlign w:val="center"/>
          </w:tcPr>
          <w:p>
            <w:pPr>
              <w:spacing w:after="0" w:line="360" w:lineRule="auto"/>
              <w:ind w:firstLine="420" w:firstLineChars="200"/>
              <w:jc w:val="center"/>
              <w:rPr>
                <w:rFonts w:ascii="宋体" w:hAnsi="宋体"/>
                <w:color w:val="auto"/>
                <w:sz w:val="21"/>
                <w:szCs w:val="21"/>
                <w:highlight w:val="none"/>
                <w:lang w:eastAsia="zh-CN"/>
              </w:rPr>
            </w:pPr>
          </w:p>
        </w:tc>
      </w:tr>
    </w:tbl>
    <w:p>
      <w:pPr>
        <w:pStyle w:val="2"/>
        <w:spacing w:before="0" w:after="0" w:line="600" w:lineRule="exact"/>
        <w:rPr>
          <w:color w:val="auto"/>
          <w:sz w:val="28"/>
          <w:szCs w:val="28"/>
          <w:highlight w:val="none"/>
          <w:lang w:eastAsia="zh-CN"/>
        </w:rPr>
      </w:pPr>
      <w:r>
        <w:rPr>
          <w:rFonts w:hint="eastAsia" w:cs="宋体"/>
          <w:color w:val="auto"/>
          <w:sz w:val="28"/>
          <w:szCs w:val="28"/>
          <w:highlight w:val="none"/>
          <w:lang w:eastAsia="zh-CN"/>
        </w:rPr>
        <w:t>（二）主要经验</w:t>
      </w:r>
      <w:r>
        <w:rPr>
          <w:color w:val="auto"/>
          <w:sz w:val="28"/>
          <w:szCs w:val="28"/>
          <w:highlight w:val="none"/>
          <w:lang w:eastAsia="zh-CN"/>
        </w:rPr>
        <w:t>,</w:t>
      </w:r>
      <w:r>
        <w:rPr>
          <w:rFonts w:hint="eastAsia" w:cs="宋体"/>
          <w:color w:val="auto"/>
          <w:sz w:val="28"/>
          <w:szCs w:val="28"/>
          <w:highlight w:val="none"/>
          <w:lang w:eastAsia="zh-CN"/>
        </w:rPr>
        <w:t>存在的问题和改进措施</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1</w:t>
      </w:r>
      <w:r>
        <w:rPr>
          <w:rFonts w:hint="eastAsia" w:ascii="宋体" w:hAnsi="宋体" w:cs="宋体"/>
          <w:b/>
          <w:bCs/>
          <w:color w:val="auto"/>
          <w:sz w:val="28"/>
          <w:szCs w:val="28"/>
          <w:highlight w:val="none"/>
          <w:lang w:eastAsia="zh-CN"/>
        </w:rPr>
        <w:t>、主要经验和做法</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龙泉街武装部从加强国防后备力量建设和做好军事斗争准备工作的战略高度，充分认识加强民兵、预备役部队训练经费及征兵经费使用和管理的重要性，切实加强领导，按照分级负担的原则，把民兵、预备役部队训练经费及征兵纳入财政预算，确保了训练经费足额到位，通过强化经费管理、加强审计监督，做到了专款专用，保证民兵、预备役部队军事训练及征兵工作的顺利开展。</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2</w:t>
      </w:r>
      <w:r>
        <w:rPr>
          <w:rFonts w:hint="eastAsia" w:ascii="宋体" w:hAnsi="宋体" w:cs="宋体"/>
          <w:b/>
          <w:bCs/>
          <w:color w:val="auto"/>
          <w:sz w:val="28"/>
          <w:szCs w:val="28"/>
          <w:highlight w:val="none"/>
          <w:lang w:eastAsia="zh-CN"/>
        </w:rPr>
        <w:t>、存在问题</w:t>
      </w:r>
    </w:p>
    <w:p>
      <w:pPr>
        <w:spacing w:after="0" w:line="600" w:lineRule="exact"/>
        <w:ind w:firstLine="560" w:firstLineChars="200"/>
        <w:jc w:val="both"/>
        <w:rPr>
          <w:rFonts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随着经济的迅速发展，人们思想观念的转变，民兵军事训练存在一定问题，不同程度地影响了民兵军事训练的健康发展。一是有的人由于长期受相对和平环境的影响，国防观念有所淡化，感到战争离得太远，民兵军事训练存在着“训无用”的思想；二是存在着“编训脱节”的问题，因为民兵流动、分散性大，人员在位率低，有的外出民兵务工经商地点和联系方式经常变化，民兵营对外出民兵去向不掌握，情况不了解，参加军事训练很难得到落实，造成编训脱节。</w:t>
      </w:r>
      <w:r>
        <w:rPr>
          <w:rFonts w:ascii="宋体" w:hAnsi="宋体" w:cs="宋体"/>
          <w:color w:val="auto"/>
          <w:sz w:val="28"/>
          <w:szCs w:val="28"/>
          <w:highlight w:val="none"/>
          <w:lang w:eastAsia="zh-CN"/>
        </w:rPr>
        <w:t xml:space="preserve"> </w:t>
      </w:r>
    </w:p>
    <w:p>
      <w:pPr>
        <w:spacing w:after="0" w:line="600" w:lineRule="exact"/>
        <w:ind w:firstLine="562" w:firstLineChars="200"/>
        <w:jc w:val="both"/>
        <w:outlineLvl w:val="0"/>
        <w:rPr>
          <w:rFonts w:ascii="宋体" w:hAnsi="宋体"/>
          <w:b/>
          <w:bCs/>
          <w:color w:val="auto"/>
          <w:sz w:val="28"/>
          <w:szCs w:val="28"/>
          <w:highlight w:val="none"/>
          <w:lang w:eastAsia="zh-CN"/>
        </w:rPr>
      </w:pPr>
      <w:r>
        <w:rPr>
          <w:rFonts w:ascii="宋体" w:hAnsi="宋体" w:cs="宋体"/>
          <w:b/>
          <w:bCs/>
          <w:color w:val="auto"/>
          <w:sz w:val="28"/>
          <w:szCs w:val="28"/>
          <w:highlight w:val="none"/>
          <w:lang w:eastAsia="zh-CN"/>
        </w:rPr>
        <w:t>3</w:t>
      </w:r>
      <w:r>
        <w:rPr>
          <w:rFonts w:hint="eastAsia" w:ascii="宋体" w:hAnsi="宋体" w:cs="宋体"/>
          <w:b/>
          <w:bCs/>
          <w:color w:val="auto"/>
          <w:sz w:val="28"/>
          <w:szCs w:val="28"/>
          <w:highlight w:val="none"/>
          <w:lang w:eastAsia="zh-CN"/>
        </w:rPr>
        <w:t>、建议</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1</w:t>
      </w:r>
      <w:r>
        <w:rPr>
          <w:rFonts w:hint="eastAsia" w:ascii="宋体" w:hAnsi="宋体" w:cs="宋体"/>
          <w:color w:val="auto"/>
          <w:sz w:val="28"/>
          <w:szCs w:val="28"/>
          <w:highlight w:val="none"/>
          <w:lang w:eastAsia="zh-CN"/>
        </w:rPr>
        <w:t>）加强思想教育，营造训练氛围。强化树立“危机”意识，当今世界仍不太平，因民族、宗教、领土等因素而引发的局部冲突时起时伏，尤其是随着国际间军事合作不断深入和国内突发情况的增多，民兵将担负越来越多的非战争军事行动任务，为此，必须居安思危，强化危机意识，随时做好应对各种突发任务的准备工作；</w:t>
      </w:r>
    </w:p>
    <w:p>
      <w:pPr>
        <w:spacing w:after="0" w:line="600" w:lineRule="exact"/>
        <w:ind w:firstLine="560" w:firstLineChars="200"/>
        <w:jc w:val="both"/>
        <w:rPr>
          <w:rFonts w:ascii="宋体" w:hAnsi="宋体"/>
          <w:color w:val="auto"/>
          <w:sz w:val="28"/>
          <w:szCs w:val="28"/>
          <w:highlight w:val="none"/>
          <w:lang w:eastAsia="zh-CN"/>
        </w:rPr>
      </w:pPr>
      <w:r>
        <w:rPr>
          <w:rFonts w:hint="eastAsia" w:ascii="宋体" w:hAnsi="宋体" w:cs="宋体"/>
          <w:color w:val="auto"/>
          <w:sz w:val="28"/>
          <w:szCs w:val="28"/>
          <w:highlight w:val="none"/>
          <w:lang w:eastAsia="zh-CN"/>
        </w:rPr>
        <w:t>（</w:t>
      </w:r>
      <w:r>
        <w:rPr>
          <w:rFonts w:ascii="宋体" w:hAnsi="宋体" w:cs="宋体"/>
          <w:color w:val="auto"/>
          <w:sz w:val="28"/>
          <w:szCs w:val="28"/>
          <w:highlight w:val="none"/>
          <w:lang w:eastAsia="zh-CN"/>
        </w:rPr>
        <w:t>2</w:t>
      </w:r>
      <w:r>
        <w:rPr>
          <w:rFonts w:hint="eastAsia" w:ascii="宋体" w:hAnsi="宋体" w:cs="宋体"/>
          <w:color w:val="auto"/>
          <w:sz w:val="28"/>
          <w:szCs w:val="28"/>
          <w:highlight w:val="none"/>
          <w:lang w:eastAsia="zh-CN"/>
        </w:rPr>
        <w:t>）建立健全民兵管理制度。一是建立外出联系制度。可利用清明、中秋、春节等时机，组织基层民兵营（连）长对外出人员进行登记，武装部每月定期与外出人员联络一次，保证在外人员平时能联得上；二是建立委托代管制度。对建有民兵分队的相对集中地区，可把分队的建制、成员和负责人委托属地党组织代管，并定期不定期地实行通报互访制度，彼此建立合作关系和联系制度，以便随时掌握外出民兵的近况；三是建立紧急召回制度。通过与民兵签订紧急召回协议，规定在整组点验、重大演习、国家动员需要等时机，接到人武部通知，必须规定时限返回，对不履行协议，违反规定的，由政府对单位或个人实施一定的经济处罚；四是建立奖惩及激励机制。尽快健全相关制度，明确民兵参加活动的经济补偿办法和抽调民兵执行任务期间岗位保留政策，并对表现突出的应给予精神和物质的奖励，以增强民兵组织建设的吸引力。</w:t>
      </w:r>
    </w:p>
    <w:sectPr>
      <w:pgSz w:w="12240" w:h="15840"/>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720"/>
  <w:doNotHyphenateCaps/>
  <w:noPunctuationKerning w:val="1"/>
  <w:characterSpacingControl w:val="doNotCompress"/>
  <w:noLineBreaksAfter w:lang="zh-CN" w:val="$([{£¥·‘“〈《「『【〔〖〝﹙﹛﹝＄（．［｛￡￥"/>
  <w:noLineBreaksBefore w:lang="zh-CN" w:val="!%),.:;&gt;?]}¢¨°·ˇˉ―‖’”…‰′″›℃∶、。〃〉》」』】〕〗〞︶︺︾﹀﹄﹚﹜﹞！＂％＇），．：；？］｀｜｝～￠"/>
  <w:doNotValidateAgainstSchema/>
  <w:doNotDemarcateInvalidXml/>
  <w:compat>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AF2"/>
    <w:rsid w:val="00106BA7"/>
    <w:rsid w:val="00195812"/>
    <w:rsid w:val="00264F96"/>
    <w:rsid w:val="002E6B71"/>
    <w:rsid w:val="00377674"/>
    <w:rsid w:val="006F258B"/>
    <w:rsid w:val="00A02F19"/>
    <w:rsid w:val="00A94AF2"/>
    <w:rsid w:val="0180705A"/>
    <w:rsid w:val="037C2FD1"/>
    <w:rsid w:val="051D6F89"/>
    <w:rsid w:val="05AE11B6"/>
    <w:rsid w:val="06452247"/>
    <w:rsid w:val="0753460C"/>
    <w:rsid w:val="089966EE"/>
    <w:rsid w:val="09114A5C"/>
    <w:rsid w:val="09617587"/>
    <w:rsid w:val="0AD802D8"/>
    <w:rsid w:val="0E6D60AF"/>
    <w:rsid w:val="172B78C6"/>
    <w:rsid w:val="184D49E3"/>
    <w:rsid w:val="1A7B6636"/>
    <w:rsid w:val="1B3D39F0"/>
    <w:rsid w:val="1B411AB0"/>
    <w:rsid w:val="1BEB4E0B"/>
    <w:rsid w:val="1BF86984"/>
    <w:rsid w:val="1DD74048"/>
    <w:rsid w:val="1E52118E"/>
    <w:rsid w:val="1E6A0B5F"/>
    <w:rsid w:val="1EF86EFA"/>
    <w:rsid w:val="232A545E"/>
    <w:rsid w:val="23A9193C"/>
    <w:rsid w:val="23AE175E"/>
    <w:rsid w:val="244F07B3"/>
    <w:rsid w:val="24D96220"/>
    <w:rsid w:val="25BC2C6E"/>
    <w:rsid w:val="25CC2A95"/>
    <w:rsid w:val="27812ADC"/>
    <w:rsid w:val="27913E4E"/>
    <w:rsid w:val="283C29A7"/>
    <w:rsid w:val="28647AC6"/>
    <w:rsid w:val="2898687E"/>
    <w:rsid w:val="2B613563"/>
    <w:rsid w:val="2D4F7AAC"/>
    <w:rsid w:val="2DE80CE1"/>
    <w:rsid w:val="2DF336E3"/>
    <w:rsid w:val="2F270ECE"/>
    <w:rsid w:val="30BC229C"/>
    <w:rsid w:val="3141263A"/>
    <w:rsid w:val="331705EB"/>
    <w:rsid w:val="333C27FE"/>
    <w:rsid w:val="33D32196"/>
    <w:rsid w:val="38DE4202"/>
    <w:rsid w:val="38FD4FC6"/>
    <w:rsid w:val="3B1C3959"/>
    <w:rsid w:val="3B7822F1"/>
    <w:rsid w:val="3BA73176"/>
    <w:rsid w:val="3DB54B7B"/>
    <w:rsid w:val="3DC07B90"/>
    <w:rsid w:val="3EEC468D"/>
    <w:rsid w:val="3F410EDC"/>
    <w:rsid w:val="407140B4"/>
    <w:rsid w:val="43B222C1"/>
    <w:rsid w:val="4417077C"/>
    <w:rsid w:val="44787A6D"/>
    <w:rsid w:val="44D06F09"/>
    <w:rsid w:val="45E235BE"/>
    <w:rsid w:val="48422DDC"/>
    <w:rsid w:val="4A3330B8"/>
    <w:rsid w:val="4AAF698D"/>
    <w:rsid w:val="4B715F70"/>
    <w:rsid w:val="4BDC10EF"/>
    <w:rsid w:val="4C311132"/>
    <w:rsid w:val="4C995DD2"/>
    <w:rsid w:val="50D62312"/>
    <w:rsid w:val="510C0399"/>
    <w:rsid w:val="51AB3C21"/>
    <w:rsid w:val="54F73A76"/>
    <w:rsid w:val="55EE18E8"/>
    <w:rsid w:val="564B31CA"/>
    <w:rsid w:val="59CE6174"/>
    <w:rsid w:val="5B947FFF"/>
    <w:rsid w:val="5E116D37"/>
    <w:rsid w:val="5F952EA6"/>
    <w:rsid w:val="60C73AC6"/>
    <w:rsid w:val="61CB28E9"/>
    <w:rsid w:val="62CF28FE"/>
    <w:rsid w:val="63F96477"/>
    <w:rsid w:val="658459DA"/>
    <w:rsid w:val="66C97BA3"/>
    <w:rsid w:val="67C13875"/>
    <w:rsid w:val="6A6F02E7"/>
    <w:rsid w:val="6AB9136E"/>
    <w:rsid w:val="6BD05579"/>
    <w:rsid w:val="6C522576"/>
    <w:rsid w:val="6D721C24"/>
    <w:rsid w:val="6DAC4982"/>
    <w:rsid w:val="6E0E0FD5"/>
    <w:rsid w:val="6F311E89"/>
    <w:rsid w:val="70F93FB5"/>
    <w:rsid w:val="73735F25"/>
    <w:rsid w:val="74346FD9"/>
    <w:rsid w:val="75625E53"/>
    <w:rsid w:val="77C16C82"/>
    <w:rsid w:val="7B2D2427"/>
    <w:rsid w:val="7CB947F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Calibri"/>
      <w:kern w:val="0"/>
      <w:sz w:val="22"/>
      <w:szCs w:val="22"/>
      <w:lang w:val="en-US" w:eastAsia="en-US" w:bidi="ar-SA"/>
    </w:rPr>
  </w:style>
  <w:style w:type="paragraph" w:styleId="2">
    <w:name w:val="heading 3"/>
    <w:basedOn w:val="1"/>
    <w:next w:val="1"/>
    <w:link w:val="6"/>
    <w:qFormat/>
    <w:locked/>
    <w:uiPriority w:val="99"/>
    <w:pPr>
      <w:keepNext/>
      <w:keepLines/>
      <w:spacing w:before="260" w:after="260" w:line="416" w:lineRule="auto"/>
      <w:outlineLvl w:val="2"/>
    </w:pPr>
    <w:rPr>
      <w:b/>
      <w:bCs/>
      <w:sz w:val="32"/>
      <w:szCs w:val="32"/>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8"/>
    <w:semiHidden/>
    <w:qFormat/>
    <w:uiPriority w:val="99"/>
    <w:pPr>
      <w:shd w:val="clear" w:color="auto" w:fill="000080"/>
    </w:pPr>
  </w:style>
  <w:style w:type="character" w:customStyle="1" w:styleId="6">
    <w:name w:val="Heading 3 Char"/>
    <w:basedOn w:val="4"/>
    <w:link w:val="2"/>
    <w:semiHidden/>
    <w:qFormat/>
    <w:uiPriority w:val="9"/>
    <w:rPr>
      <w:rFonts w:ascii="Calibri" w:hAnsi="Calibri" w:cs="Calibri"/>
      <w:b/>
      <w:bCs/>
      <w:kern w:val="0"/>
      <w:sz w:val="32"/>
      <w:szCs w:val="32"/>
      <w:lang w:eastAsia="en-US"/>
    </w:rPr>
  </w:style>
  <w:style w:type="paragraph" w:customStyle="1" w:styleId="7">
    <w:name w:val="列出段落1"/>
    <w:basedOn w:val="1"/>
    <w:qFormat/>
    <w:uiPriority w:val="99"/>
    <w:pPr>
      <w:ind w:firstLine="420" w:firstLineChars="200"/>
    </w:pPr>
  </w:style>
  <w:style w:type="character" w:customStyle="1" w:styleId="8">
    <w:name w:val="Document Map Char"/>
    <w:basedOn w:val="4"/>
    <w:link w:val="3"/>
    <w:semiHidden/>
    <w:qFormat/>
    <w:uiPriority w:val="99"/>
    <w:rPr>
      <w:kern w:val="0"/>
      <w:sz w:val="0"/>
      <w:szCs w:val="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officegen</Company>
  <Pages>7</Pages>
  <Words>470</Words>
  <Characters>2681</Characters>
  <Lines>0</Lines>
  <Paragraphs>0</Paragraphs>
  <TotalTime>40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2018-05-15T14:34:00Z</dcterms:created>
  <dc:creator>officegen</dc:creator>
  <cp:lastModifiedBy>冉冉</cp:lastModifiedBy>
  <dcterms:modified xsi:type="dcterms:W3CDTF">2018-10-09T07:10:29Z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