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3"/>
        <w:rPr>
          <w:rFonts w:ascii="宋体" w:hAnsi="宋体" w:eastAsia="宋体" w:cs="宋体"/>
          <w:b/>
          <w:bCs/>
          <w:sz w:val="32"/>
          <w:szCs w:val="32"/>
        </w:rPr>
      </w:pPr>
    </w:p>
    <w:p>
      <w:pPr>
        <w:spacing w:line="600" w:lineRule="exact"/>
        <w:ind w:firstLine="643"/>
        <w:rPr>
          <w:rFonts w:ascii="宋体" w:hAnsi="宋体" w:eastAsia="宋体" w:cs="宋体"/>
          <w:b/>
          <w:bCs/>
          <w:sz w:val="32"/>
          <w:szCs w:val="32"/>
        </w:rPr>
      </w:pPr>
    </w:p>
    <w:p>
      <w:pPr>
        <w:spacing w:line="600" w:lineRule="exact"/>
        <w:ind w:firstLine="643"/>
        <w:jc w:val="center"/>
        <w:rPr>
          <w:rFonts w:ascii="宋体" w:hAnsi="宋体" w:eastAsia="宋体" w:cs="宋体"/>
          <w:b/>
          <w:bCs/>
          <w:sz w:val="32"/>
          <w:szCs w:val="32"/>
        </w:rPr>
      </w:pPr>
      <w:r>
        <w:rPr>
          <w:rFonts w:hint="eastAsia" w:ascii="宋体" w:hAnsi="宋体" w:eastAsia="宋体" w:cs="宋体"/>
          <w:b/>
          <w:bCs/>
          <w:sz w:val="32"/>
          <w:szCs w:val="32"/>
        </w:rPr>
        <w:t>武汉东湖新技术开发区龙泉街道办事处整体支出</w:t>
      </w:r>
    </w:p>
    <w:p>
      <w:pPr>
        <w:spacing w:line="600" w:lineRule="exact"/>
        <w:ind w:firstLine="643"/>
        <w:jc w:val="center"/>
        <w:rPr>
          <w:rFonts w:ascii="宋体" w:hAnsi="宋体" w:eastAsia="宋体" w:cs="宋体"/>
          <w:b/>
          <w:bCs/>
          <w:sz w:val="32"/>
          <w:szCs w:val="32"/>
        </w:rPr>
      </w:pPr>
      <w:r>
        <w:rPr>
          <w:rFonts w:hint="eastAsia" w:ascii="宋体" w:hAnsi="宋体" w:eastAsia="宋体" w:cs="宋体"/>
          <w:b/>
          <w:bCs/>
          <w:sz w:val="32"/>
          <w:szCs w:val="32"/>
        </w:rPr>
        <w:t>绩效自评报告</w:t>
      </w:r>
    </w:p>
    <w:p>
      <w:pPr>
        <w:spacing w:line="600" w:lineRule="exact"/>
        <w:ind w:firstLine="560"/>
      </w:pPr>
    </w:p>
    <w:p>
      <w:pPr>
        <w:spacing w:line="600" w:lineRule="exact"/>
        <w:ind w:firstLine="560"/>
      </w:pPr>
    </w:p>
    <w:p>
      <w:pPr>
        <w:spacing w:line="600" w:lineRule="exact"/>
        <w:ind w:firstLine="560"/>
      </w:pPr>
    </w:p>
    <w:p>
      <w:pPr>
        <w:spacing w:line="600" w:lineRule="exact"/>
        <w:ind w:firstLine="560"/>
      </w:pPr>
    </w:p>
    <w:p>
      <w:pPr>
        <w:spacing w:line="600" w:lineRule="exact"/>
        <w:ind w:firstLine="560"/>
      </w:pPr>
    </w:p>
    <w:p>
      <w:pPr>
        <w:spacing w:line="600" w:lineRule="exact"/>
        <w:rPr>
          <w:rFonts w:ascii="宋体" w:hAnsi="宋体" w:eastAsia="宋体" w:cs="宋体"/>
          <w:sz w:val="30"/>
          <w:szCs w:val="30"/>
        </w:rPr>
      </w:pPr>
      <w:r>
        <w:rPr>
          <w:rFonts w:hint="eastAsia" w:ascii="宋体" w:hAnsi="宋体" w:eastAsia="宋体" w:cs="宋体"/>
          <w:sz w:val="30"/>
          <w:szCs w:val="30"/>
        </w:rPr>
        <w:t>部门(单位)名称：</w:t>
      </w:r>
      <w:r>
        <w:rPr>
          <w:rFonts w:hint="eastAsia" w:ascii="宋体" w:hAnsi="宋体" w:eastAsia="宋体" w:cs="宋体"/>
          <w:sz w:val="30"/>
          <w:szCs w:val="30"/>
          <w:u w:val="single"/>
        </w:rPr>
        <w:t xml:space="preserve">武汉东湖新技术开发区龙泉街道办事处     </w:t>
      </w:r>
    </w:p>
    <w:p>
      <w:pPr>
        <w:spacing w:line="600" w:lineRule="exact"/>
        <w:ind w:right="-627" w:rightChars="-224" w:firstLine="447"/>
        <w:rPr>
          <w:rFonts w:ascii="宋体" w:hAnsi="宋体" w:cs="宋体"/>
          <w:spacing w:val="-23"/>
          <w:sz w:val="30"/>
          <w:szCs w:val="30"/>
          <w:u w:val="single"/>
        </w:rPr>
      </w:pPr>
      <w:r>
        <w:rPr>
          <w:rFonts w:hint="eastAsia" w:ascii="宋体" w:hAnsi="宋体" w:eastAsia="宋体" w:cs="宋体"/>
          <w:spacing w:val="-23"/>
          <w:w w:val="90"/>
          <w:sz w:val="30"/>
          <w:szCs w:val="30"/>
        </w:rPr>
        <w:t>区财政局主管业务科室</w:t>
      </w:r>
      <w:r>
        <w:rPr>
          <w:rFonts w:hint="eastAsia" w:ascii="宋体" w:hAnsi="宋体" w:eastAsia="宋体" w:cs="宋体"/>
          <w:spacing w:val="-23"/>
          <w:sz w:val="30"/>
          <w:szCs w:val="30"/>
        </w:rPr>
        <w:t>：</w:t>
      </w:r>
      <w:r>
        <w:rPr>
          <w:rFonts w:hint="eastAsia" w:ascii="宋体" w:hAnsi="宋体" w:cs="宋体"/>
          <w:spacing w:val="-23"/>
          <w:sz w:val="30"/>
          <w:szCs w:val="30"/>
          <w:u w:val="single"/>
        </w:rPr>
        <w:t>武汉东湖新技术开发区管委会财政局行财科</w:t>
      </w:r>
    </w:p>
    <w:p>
      <w:pPr>
        <w:spacing w:line="600" w:lineRule="exact"/>
        <w:rPr>
          <w:rFonts w:ascii="宋体" w:hAnsi="宋体" w:eastAsia="宋体" w:cs="宋体"/>
          <w:sz w:val="30"/>
          <w:szCs w:val="30"/>
        </w:rPr>
      </w:pPr>
      <w:r>
        <w:rPr>
          <w:rFonts w:hint="eastAsia" w:ascii="宋体" w:hAnsi="宋体" w:cs="宋体"/>
          <w:sz w:val="30"/>
          <w:szCs w:val="30"/>
        </w:rPr>
        <w:t>评价机构：</w:t>
      </w:r>
      <w:r>
        <w:rPr>
          <w:rFonts w:hint="eastAsia" w:ascii="宋体" w:hAnsi="宋体" w:cs="宋体"/>
          <w:sz w:val="30"/>
          <w:szCs w:val="30"/>
          <w:u w:val="single"/>
        </w:rPr>
        <w:t>湖北永兴会计师事务有限责任公司</w:t>
      </w:r>
    </w:p>
    <w:p>
      <w:pPr>
        <w:spacing w:line="600" w:lineRule="exact"/>
        <w:ind w:firstLine="560"/>
        <w:rPr>
          <w:rFonts w:ascii="宋体" w:hAnsi="宋体" w:eastAsia="宋体" w:cs="宋体"/>
          <w:szCs w:val="28"/>
        </w:rPr>
      </w:pPr>
    </w:p>
    <w:p>
      <w:pPr>
        <w:spacing w:line="600" w:lineRule="exact"/>
        <w:ind w:firstLine="560"/>
        <w:rPr>
          <w:rFonts w:ascii="宋体" w:hAnsi="宋体" w:eastAsia="宋体" w:cs="宋体"/>
          <w:szCs w:val="28"/>
        </w:rPr>
      </w:pPr>
    </w:p>
    <w:p>
      <w:pPr>
        <w:tabs>
          <w:tab w:val="left" w:pos="3362"/>
        </w:tabs>
        <w:spacing w:line="600" w:lineRule="exact"/>
        <w:ind w:firstLine="560"/>
        <w:rPr>
          <w:rFonts w:ascii="宋体" w:hAnsi="宋体" w:eastAsia="宋体" w:cs="宋体"/>
          <w:szCs w:val="28"/>
        </w:rPr>
      </w:pPr>
      <w:r>
        <w:rPr>
          <w:rFonts w:hint="eastAsia" w:ascii="宋体" w:hAnsi="宋体" w:eastAsia="宋体" w:cs="宋体"/>
          <w:szCs w:val="28"/>
        </w:rPr>
        <w:t xml:space="preserve"> </w:t>
      </w:r>
    </w:p>
    <w:p>
      <w:pPr>
        <w:spacing w:line="600" w:lineRule="exact"/>
        <w:ind w:firstLine="560"/>
        <w:jc w:val="center"/>
      </w:pPr>
      <w:r>
        <w:rPr>
          <w:rFonts w:hint="eastAsia" w:ascii="宋体" w:hAnsi="宋体" w:eastAsia="宋体" w:cs="宋体"/>
          <w:szCs w:val="28"/>
        </w:rPr>
        <w:t>二〇一八年五月</w:t>
      </w:r>
    </w:p>
    <w:p>
      <w:pPr>
        <w:widowControl/>
        <w:spacing w:after="100" w:afterAutospacing="1"/>
        <w:ind w:firstLine="627" w:firstLineChars="196"/>
        <w:jc w:val="center"/>
        <w:rPr>
          <w:rFonts w:ascii="仿宋_GB2312" w:eastAsia="仿宋_GB2312"/>
          <w:bCs/>
          <w:sz w:val="32"/>
          <w:szCs w:val="32"/>
        </w:rPr>
      </w:pPr>
    </w:p>
    <w:p>
      <w:pPr>
        <w:widowControl/>
        <w:spacing w:after="100" w:afterAutospacing="1"/>
        <w:ind w:firstLine="627" w:firstLineChars="196"/>
        <w:jc w:val="center"/>
        <w:rPr>
          <w:rFonts w:ascii="仿宋_GB2312" w:eastAsia="仿宋_GB2312"/>
          <w:bCs/>
          <w:sz w:val="32"/>
          <w:szCs w:val="32"/>
        </w:rPr>
      </w:pPr>
    </w:p>
    <w:p>
      <w:pPr>
        <w:widowControl/>
        <w:spacing w:after="100" w:afterAutospacing="1"/>
        <w:ind w:firstLine="627" w:firstLineChars="196"/>
        <w:jc w:val="center"/>
        <w:rPr>
          <w:rFonts w:ascii="仿宋_GB2312" w:eastAsia="仿宋_GB2312"/>
          <w:bCs/>
          <w:sz w:val="32"/>
          <w:szCs w:val="32"/>
        </w:rPr>
      </w:pPr>
    </w:p>
    <w:p>
      <w:pPr>
        <w:widowControl/>
        <w:spacing w:after="100" w:afterAutospacing="1"/>
        <w:ind w:firstLine="627" w:firstLineChars="196"/>
        <w:jc w:val="center"/>
        <w:rPr>
          <w:rFonts w:ascii="仿宋_GB2312" w:eastAsia="仿宋_GB2312"/>
          <w:bCs/>
          <w:sz w:val="32"/>
          <w:szCs w:val="32"/>
        </w:rPr>
      </w:pPr>
    </w:p>
    <w:p>
      <w:pPr>
        <w:widowControl/>
        <w:spacing w:after="100" w:afterAutospacing="1"/>
        <w:ind w:firstLine="627" w:firstLineChars="196"/>
        <w:jc w:val="center"/>
        <w:rPr>
          <w:rFonts w:hint="eastAsia" w:ascii="仿宋_GB2312" w:eastAsia="仿宋_GB2312"/>
          <w:bCs/>
          <w:sz w:val="32"/>
          <w:szCs w:val="32"/>
        </w:rPr>
      </w:pPr>
    </w:p>
    <w:p>
      <w:pPr>
        <w:spacing w:line="520" w:lineRule="exact"/>
        <w:ind w:firstLine="646" w:firstLineChars="201"/>
        <w:jc w:val="center"/>
        <w:rPr>
          <w:rFonts w:ascii="仿宋" w:hAnsi="仿宋"/>
          <w:b/>
          <w:sz w:val="32"/>
          <w:szCs w:val="32"/>
        </w:rPr>
      </w:pPr>
      <w:r>
        <w:rPr>
          <w:rFonts w:hint="eastAsia" w:ascii="仿宋" w:hAnsi="仿宋"/>
          <w:b/>
          <w:sz w:val="32"/>
          <w:szCs w:val="32"/>
        </w:rPr>
        <w:t>目   录</w:t>
      </w:r>
    </w:p>
    <w:p>
      <w:pPr>
        <w:spacing w:line="520" w:lineRule="exact"/>
        <w:ind w:firstLine="646" w:firstLineChars="201"/>
        <w:rPr>
          <w:rFonts w:ascii="仿宋" w:hAnsi="仿宋"/>
          <w:b/>
          <w:sz w:val="32"/>
          <w:szCs w:val="32"/>
        </w:rPr>
      </w:pPr>
    </w:p>
    <w:p>
      <w:pPr>
        <w:pStyle w:val="9"/>
        <w:tabs>
          <w:tab w:val="right" w:leader="dot" w:pos="8296"/>
        </w:tabs>
        <w:ind w:firstLine="560"/>
        <w:rPr>
          <w:rFonts w:asciiTheme="minorHAnsi" w:hAnsiTheme="minorHAnsi" w:eastAsiaTheme="minorEastAsia" w:cstheme="minorBidi"/>
          <w:sz w:val="21"/>
          <w:szCs w:val="22"/>
        </w:rPr>
      </w:pPr>
      <w:r>
        <w:rPr>
          <w:rFonts w:hint="eastAsia"/>
        </w:rPr>
        <w:fldChar w:fldCharType="begin"/>
      </w:r>
      <w:r>
        <w:rPr>
          <w:rFonts w:hint="eastAsia"/>
        </w:rPr>
        <w:instrText xml:space="preserve">TOC \o "1-2" \h \u </w:instrText>
      </w:r>
      <w:r>
        <w:rPr>
          <w:rFonts w:hint="eastAsia"/>
        </w:rPr>
        <w:fldChar w:fldCharType="separate"/>
      </w:r>
      <w:r>
        <w:fldChar w:fldCharType="begin"/>
      </w:r>
      <w:r>
        <w:instrText xml:space="preserve"> HYPERLINK \l "_Toc523346019" </w:instrText>
      </w:r>
      <w:r>
        <w:fldChar w:fldCharType="separate"/>
      </w:r>
      <w:r>
        <w:rPr>
          <w:rStyle w:val="16"/>
        </w:rPr>
        <w:t>摘  要</w:t>
      </w:r>
      <w:r>
        <w:tab/>
      </w:r>
      <w:r>
        <w:fldChar w:fldCharType="begin"/>
      </w:r>
      <w:r>
        <w:instrText xml:space="preserve"> PAGEREF _Toc523346019 \h </w:instrText>
      </w:r>
      <w:r>
        <w:fldChar w:fldCharType="separate"/>
      </w:r>
      <w:r>
        <w:t>3</w:t>
      </w:r>
      <w:r>
        <w:fldChar w:fldCharType="end"/>
      </w:r>
      <w:r>
        <w:fldChar w:fldCharType="end"/>
      </w:r>
    </w:p>
    <w:p>
      <w:pPr>
        <w:pStyle w:val="9"/>
        <w:tabs>
          <w:tab w:val="left" w:pos="1470"/>
          <w:tab w:val="right" w:leader="dot" w:pos="8296"/>
        </w:tabs>
        <w:ind w:firstLine="560"/>
        <w:rPr>
          <w:rFonts w:asciiTheme="minorHAnsi" w:hAnsiTheme="minorHAnsi" w:eastAsiaTheme="minorEastAsia" w:cstheme="minorBidi"/>
          <w:sz w:val="21"/>
          <w:szCs w:val="22"/>
        </w:rPr>
      </w:pPr>
      <w:r>
        <w:fldChar w:fldCharType="begin"/>
      </w:r>
      <w:r>
        <w:instrText xml:space="preserve"> HYPERLINK \l "_Toc523346020" </w:instrText>
      </w:r>
      <w:r>
        <w:fldChar w:fldCharType="separate"/>
      </w:r>
      <w:r>
        <w:rPr>
          <w:rStyle w:val="16"/>
        </w:rPr>
        <w:t>一、</w:t>
      </w:r>
      <w:r>
        <w:rPr>
          <w:rFonts w:asciiTheme="minorHAnsi" w:hAnsiTheme="minorHAnsi" w:eastAsiaTheme="minorEastAsia" w:cstheme="minorBidi"/>
          <w:sz w:val="21"/>
          <w:szCs w:val="22"/>
        </w:rPr>
        <w:tab/>
      </w:r>
      <w:r>
        <w:rPr>
          <w:rStyle w:val="16"/>
          <w:rFonts w:ascii="仿宋" w:hAnsi="仿宋" w:cs="仿宋"/>
        </w:rPr>
        <w:t>部门概况</w:t>
      </w:r>
      <w:r>
        <w:tab/>
      </w:r>
      <w:r>
        <w:fldChar w:fldCharType="begin"/>
      </w:r>
      <w:r>
        <w:instrText xml:space="preserve"> PAGEREF _Toc523346020 \h </w:instrText>
      </w:r>
      <w:r>
        <w:fldChar w:fldCharType="separate"/>
      </w:r>
      <w:r>
        <w:t>6</w:t>
      </w:r>
      <w:r>
        <w:fldChar w:fldCharType="end"/>
      </w:r>
      <w:r>
        <w:fldChar w:fldCharType="end"/>
      </w:r>
    </w:p>
    <w:p>
      <w:pPr>
        <w:pStyle w:val="10"/>
        <w:tabs>
          <w:tab w:val="left" w:pos="1680"/>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"_Toc523346021" </w:instrText>
      </w:r>
      <w:r>
        <w:fldChar w:fldCharType="separate"/>
      </w:r>
      <w:r>
        <w:rPr>
          <w:rStyle w:val="16"/>
        </w:rPr>
        <w:t>(一)</w:t>
      </w:r>
      <w:r>
        <w:rPr>
          <w:rFonts w:asciiTheme="minorHAnsi" w:hAnsiTheme="minorHAnsi" w:eastAsiaTheme="minorEastAsia" w:cstheme="minorBidi"/>
          <w:sz w:val="21"/>
          <w:szCs w:val="22"/>
        </w:rPr>
        <w:tab/>
      </w:r>
      <w:r>
        <w:rPr>
          <w:rStyle w:val="16"/>
        </w:rPr>
        <w:t>基本情况</w:t>
      </w:r>
      <w:r>
        <w:tab/>
      </w:r>
      <w:r>
        <w:fldChar w:fldCharType="begin"/>
      </w:r>
      <w:r>
        <w:instrText xml:space="preserve"> PAGEREF _Toc523346021 \h </w:instrText>
      </w:r>
      <w:r>
        <w:fldChar w:fldCharType="separate"/>
      </w:r>
      <w:r>
        <w:t>6</w:t>
      </w:r>
      <w:r>
        <w:fldChar w:fldCharType="end"/>
      </w:r>
      <w:r>
        <w:fldChar w:fldCharType="end"/>
      </w:r>
    </w:p>
    <w:p>
      <w:pPr>
        <w:pStyle w:val="10"/>
        <w:tabs>
          <w:tab w:val="left" w:pos="1680"/>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"_Toc523346022" </w:instrText>
      </w:r>
      <w:r>
        <w:fldChar w:fldCharType="separate"/>
      </w:r>
      <w:r>
        <w:rPr>
          <w:rStyle w:val="16"/>
        </w:rPr>
        <w:t>(二)</w:t>
      </w:r>
      <w:r>
        <w:rPr>
          <w:rFonts w:asciiTheme="minorHAnsi" w:hAnsiTheme="minorHAnsi" w:eastAsiaTheme="minorEastAsia" w:cstheme="minorBidi"/>
          <w:sz w:val="21"/>
          <w:szCs w:val="22"/>
        </w:rPr>
        <w:tab/>
      </w:r>
      <w:r>
        <w:rPr>
          <w:rStyle w:val="16"/>
        </w:rPr>
        <w:t>部门整体支出预算绩效目标</w:t>
      </w:r>
      <w:r>
        <w:tab/>
      </w:r>
      <w:r>
        <w:fldChar w:fldCharType="begin"/>
      </w:r>
      <w:r>
        <w:instrText xml:space="preserve"> PAGEREF _Toc523346022 \h </w:instrText>
      </w:r>
      <w:r>
        <w:fldChar w:fldCharType="separate"/>
      </w:r>
      <w:r>
        <w:t>8</w:t>
      </w:r>
      <w:r>
        <w:fldChar w:fldCharType="end"/>
      </w:r>
      <w:r>
        <w:fldChar w:fldCharType="end"/>
      </w:r>
    </w:p>
    <w:p>
      <w:pPr>
        <w:pStyle w:val="10"/>
        <w:tabs>
          <w:tab w:val="left" w:pos="1680"/>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"_Toc523346023" </w:instrText>
      </w:r>
      <w:r>
        <w:fldChar w:fldCharType="separate"/>
      </w:r>
      <w:r>
        <w:rPr>
          <w:rStyle w:val="16"/>
        </w:rPr>
        <w:t>(三)</w:t>
      </w:r>
      <w:r>
        <w:rPr>
          <w:rFonts w:asciiTheme="minorHAnsi" w:hAnsiTheme="minorHAnsi" w:eastAsiaTheme="minorEastAsia" w:cstheme="minorBidi"/>
          <w:sz w:val="21"/>
          <w:szCs w:val="22"/>
        </w:rPr>
        <w:tab/>
      </w:r>
      <w:r>
        <w:rPr>
          <w:rStyle w:val="16"/>
        </w:rPr>
        <w:t>部门整体支出情况</w:t>
      </w:r>
      <w:r>
        <w:tab/>
      </w:r>
      <w:r>
        <w:fldChar w:fldCharType="begin"/>
      </w:r>
      <w:r>
        <w:instrText xml:space="preserve"> PAGEREF _Toc523346023 \h </w:instrText>
      </w:r>
      <w:r>
        <w:fldChar w:fldCharType="separate"/>
      </w:r>
      <w:r>
        <w:t>8</w:t>
      </w:r>
      <w:r>
        <w:fldChar w:fldCharType="end"/>
      </w:r>
      <w:r>
        <w:fldChar w:fldCharType="end"/>
      </w:r>
    </w:p>
    <w:p>
      <w:pPr>
        <w:pStyle w:val="9"/>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"_Toc523346024" </w:instrText>
      </w:r>
      <w:r>
        <w:fldChar w:fldCharType="separate"/>
      </w:r>
      <w:r>
        <w:rPr>
          <w:rStyle w:val="16"/>
        </w:rPr>
        <w:t>二、绩效评价工作情况</w:t>
      </w:r>
      <w:r>
        <w:tab/>
      </w:r>
      <w:r>
        <w:fldChar w:fldCharType="begin"/>
      </w:r>
      <w:r>
        <w:instrText xml:space="preserve"> PAGEREF _Toc523346024 \h </w:instrText>
      </w:r>
      <w:r>
        <w:fldChar w:fldCharType="separate"/>
      </w:r>
      <w:r>
        <w:t>11</w:t>
      </w:r>
      <w:r>
        <w:fldChar w:fldCharType="end"/>
      </w:r>
      <w:r>
        <w:fldChar w:fldCharType="end"/>
      </w:r>
    </w:p>
    <w:p>
      <w:pPr>
        <w:pStyle w:val="10"/>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"_Toc523346025" </w:instrText>
      </w:r>
      <w:r>
        <w:fldChar w:fldCharType="separate"/>
      </w:r>
      <w:r>
        <w:rPr>
          <w:rStyle w:val="16"/>
        </w:rPr>
        <w:t>（一）绩效评价目的</w:t>
      </w:r>
      <w:r>
        <w:tab/>
      </w:r>
      <w:r>
        <w:fldChar w:fldCharType="begin"/>
      </w:r>
      <w:r>
        <w:instrText xml:space="preserve"> PAGEREF _Toc523346025 \h </w:instrText>
      </w:r>
      <w:r>
        <w:fldChar w:fldCharType="separate"/>
      </w:r>
      <w:r>
        <w:t>11</w:t>
      </w:r>
      <w:r>
        <w:fldChar w:fldCharType="end"/>
      </w:r>
      <w:r>
        <w:fldChar w:fldCharType="end"/>
      </w:r>
    </w:p>
    <w:p>
      <w:pPr>
        <w:pStyle w:val="10"/>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"_Toc523346026" </w:instrText>
      </w:r>
      <w:r>
        <w:fldChar w:fldCharType="separate"/>
      </w:r>
      <w:r>
        <w:rPr>
          <w:rStyle w:val="16"/>
        </w:rPr>
        <w:t>（二）绩效评价框架</w:t>
      </w:r>
      <w:r>
        <w:tab/>
      </w:r>
      <w:r>
        <w:fldChar w:fldCharType="begin"/>
      </w:r>
      <w:r>
        <w:instrText xml:space="preserve"> PAGEREF _Toc523346026 \h </w:instrText>
      </w:r>
      <w:r>
        <w:fldChar w:fldCharType="separate"/>
      </w:r>
      <w:r>
        <w:t>12</w:t>
      </w:r>
      <w:r>
        <w:fldChar w:fldCharType="end"/>
      </w:r>
      <w:r>
        <w:fldChar w:fldCharType="end"/>
      </w:r>
    </w:p>
    <w:p>
      <w:pPr>
        <w:pStyle w:val="10"/>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"_Toc523346027" </w:instrText>
      </w:r>
      <w:r>
        <w:fldChar w:fldCharType="separate"/>
      </w:r>
      <w:r>
        <w:rPr>
          <w:rStyle w:val="16"/>
        </w:rPr>
        <w:t>（三）评价抽样情况概述</w:t>
      </w:r>
      <w:r>
        <w:tab/>
      </w:r>
      <w:r>
        <w:fldChar w:fldCharType="begin"/>
      </w:r>
      <w:r>
        <w:instrText xml:space="preserve"> PAGEREF _Toc523346027 \h </w:instrText>
      </w:r>
      <w:r>
        <w:fldChar w:fldCharType="separate"/>
      </w:r>
      <w:r>
        <w:t>13</w:t>
      </w:r>
      <w:r>
        <w:fldChar w:fldCharType="end"/>
      </w:r>
      <w:r>
        <w:fldChar w:fldCharType="end"/>
      </w:r>
    </w:p>
    <w:p>
      <w:pPr>
        <w:pStyle w:val="9"/>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"_Toc523346028" </w:instrText>
      </w:r>
      <w:r>
        <w:fldChar w:fldCharType="separate"/>
      </w:r>
      <w:r>
        <w:rPr>
          <w:rStyle w:val="16"/>
        </w:rPr>
        <w:t>三、绩效分析</w:t>
      </w:r>
      <w:r>
        <w:tab/>
      </w:r>
      <w:r>
        <w:fldChar w:fldCharType="begin"/>
      </w:r>
      <w:r>
        <w:instrText xml:space="preserve"> PAGEREF _Toc523346028 \h </w:instrText>
      </w:r>
      <w:r>
        <w:fldChar w:fldCharType="separate"/>
      </w:r>
      <w:r>
        <w:t>13</w:t>
      </w:r>
      <w:r>
        <w:fldChar w:fldCharType="end"/>
      </w:r>
      <w:r>
        <w:fldChar w:fldCharType="end"/>
      </w:r>
    </w:p>
    <w:p>
      <w:pPr>
        <w:pStyle w:val="10"/>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"_Toc523346029" </w:instrText>
      </w:r>
      <w:r>
        <w:fldChar w:fldCharType="separate"/>
      </w:r>
      <w:r>
        <w:rPr>
          <w:rStyle w:val="16"/>
        </w:rPr>
        <w:t>（一）投入分析</w:t>
      </w:r>
      <w:r>
        <w:tab/>
      </w:r>
      <w:r>
        <w:fldChar w:fldCharType="begin"/>
      </w:r>
      <w:r>
        <w:instrText xml:space="preserve"> PAGEREF _Toc523346029 \h </w:instrText>
      </w:r>
      <w:r>
        <w:fldChar w:fldCharType="separate"/>
      </w:r>
      <w:r>
        <w:t>13</w:t>
      </w:r>
      <w:r>
        <w:fldChar w:fldCharType="end"/>
      </w:r>
      <w:r>
        <w:fldChar w:fldCharType="end"/>
      </w:r>
    </w:p>
    <w:p>
      <w:pPr>
        <w:pStyle w:val="10"/>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"_Toc523346030" </w:instrText>
      </w:r>
      <w:r>
        <w:fldChar w:fldCharType="separate"/>
      </w:r>
      <w:r>
        <w:rPr>
          <w:rStyle w:val="16"/>
        </w:rPr>
        <w:t>（二）项目过程分析</w:t>
      </w:r>
      <w:r>
        <w:tab/>
      </w:r>
      <w:r>
        <w:fldChar w:fldCharType="begin"/>
      </w:r>
      <w:r>
        <w:instrText xml:space="preserve"> PAGEREF _Toc523346030 \h </w:instrText>
      </w:r>
      <w:r>
        <w:fldChar w:fldCharType="separate"/>
      </w:r>
      <w:r>
        <w:t>15</w:t>
      </w:r>
      <w:r>
        <w:fldChar w:fldCharType="end"/>
      </w:r>
      <w:r>
        <w:fldChar w:fldCharType="end"/>
      </w:r>
    </w:p>
    <w:p>
      <w:pPr>
        <w:pStyle w:val="10"/>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"_Toc523346034" </w:instrText>
      </w:r>
      <w:r>
        <w:fldChar w:fldCharType="separate"/>
      </w:r>
      <w:r>
        <w:rPr>
          <w:rStyle w:val="16"/>
        </w:rPr>
        <w:t>（三）产出分析</w:t>
      </w:r>
      <w:r>
        <w:tab/>
      </w:r>
      <w:r>
        <w:fldChar w:fldCharType="begin"/>
      </w:r>
      <w:r>
        <w:instrText xml:space="preserve"> PAGEREF _Toc523346034 \h </w:instrText>
      </w:r>
      <w:r>
        <w:fldChar w:fldCharType="separate"/>
      </w:r>
      <w:r>
        <w:t>16</w:t>
      </w:r>
      <w:r>
        <w:fldChar w:fldCharType="end"/>
      </w:r>
      <w:r>
        <w:fldChar w:fldCharType="end"/>
      </w:r>
    </w:p>
    <w:p>
      <w:pPr>
        <w:pStyle w:val="10"/>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"_Toc523346035" </w:instrText>
      </w:r>
      <w:r>
        <w:fldChar w:fldCharType="separate"/>
      </w:r>
      <w:r>
        <w:rPr>
          <w:rStyle w:val="16"/>
        </w:rPr>
        <w:t>（四）效果分析</w:t>
      </w:r>
      <w:r>
        <w:tab/>
      </w:r>
      <w:r>
        <w:fldChar w:fldCharType="begin"/>
      </w:r>
      <w:r>
        <w:instrText xml:space="preserve"> PAGEREF _Toc523346035 \h </w:instrText>
      </w:r>
      <w:r>
        <w:fldChar w:fldCharType="separate"/>
      </w:r>
      <w:r>
        <w:t>17</w:t>
      </w:r>
      <w:r>
        <w:fldChar w:fldCharType="end"/>
      </w:r>
      <w:r>
        <w:fldChar w:fldCharType="end"/>
      </w:r>
    </w:p>
    <w:p>
      <w:pPr>
        <w:pStyle w:val="10"/>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"_Toc523346041" </w:instrText>
      </w:r>
      <w:r>
        <w:fldChar w:fldCharType="separate"/>
      </w:r>
      <w:r>
        <w:rPr>
          <w:rStyle w:val="16"/>
          <w:rFonts w:ascii="仿宋" w:hAnsi="仿宋"/>
        </w:rPr>
        <w:t>（五）</w:t>
      </w:r>
      <w:r>
        <w:rPr>
          <w:rStyle w:val="16"/>
          <w:rFonts w:ascii="仿宋" w:hAnsi="仿宋"/>
          <w:bCs/>
        </w:rPr>
        <w:t>评价结论</w:t>
      </w:r>
      <w:r>
        <w:tab/>
      </w:r>
      <w:r>
        <w:fldChar w:fldCharType="begin"/>
      </w:r>
      <w:r>
        <w:instrText xml:space="preserve"> PAGEREF _Toc523346041 \h </w:instrText>
      </w:r>
      <w:r>
        <w:fldChar w:fldCharType="separate"/>
      </w:r>
      <w:r>
        <w:t>19</w:t>
      </w:r>
      <w:r>
        <w:fldChar w:fldCharType="end"/>
      </w:r>
      <w:r>
        <w:fldChar w:fldCharType="end"/>
      </w:r>
    </w:p>
    <w:p>
      <w:pPr>
        <w:pStyle w:val="9"/>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"_Toc523346042" </w:instrText>
      </w:r>
      <w:r>
        <w:fldChar w:fldCharType="separate"/>
      </w:r>
      <w:r>
        <w:rPr>
          <w:rStyle w:val="16"/>
        </w:rPr>
        <w:t>四、主要经验及做法、存在的问题和建议</w:t>
      </w:r>
      <w:r>
        <w:tab/>
      </w:r>
      <w:r>
        <w:fldChar w:fldCharType="begin"/>
      </w:r>
      <w:r>
        <w:instrText xml:space="preserve"> PAGEREF _Toc523346042 \h </w:instrText>
      </w:r>
      <w:r>
        <w:fldChar w:fldCharType="separate"/>
      </w:r>
      <w:r>
        <w:t>20</w:t>
      </w:r>
      <w:r>
        <w:fldChar w:fldCharType="end"/>
      </w:r>
      <w:r>
        <w:fldChar w:fldCharType="end"/>
      </w:r>
    </w:p>
    <w:p>
      <w:pPr>
        <w:pStyle w:val="10"/>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"_Toc523346043" </w:instrText>
      </w:r>
      <w:r>
        <w:fldChar w:fldCharType="separate"/>
      </w:r>
      <w:r>
        <w:rPr>
          <w:rStyle w:val="16"/>
        </w:rPr>
        <w:t>（一）主要经验及做法</w:t>
      </w:r>
      <w:r>
        <w:tab/>
      </w:r>
      <w:r>
        <w:fldChar w:fldCharType="begin"/>
      </w:r>
      <w:r>
        <w:instrText xml:space="preserve"> PAGEREF _Toc523346043 \h </w:instrText>
      </w:r>
      <w:r>
        <w:fldChar w:fldCharType="separate"/>
      </w:r>
      <w:r>
        <w:t>20</w:t>
      </w:r>
      <w:r>
        <w:fldChar w:fldCharType="end"/>
      </w:r>
      <w:r>
        <w:fldChar w:fldCharType="end"/>
      </w:r>
    </w:p>
    <w:p>
      <w:pPr>
        <w:pStyle w:val="10"/>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"_Toc523346044" </w:instrText>
      </w:r>
      <w:r>
        <w:fldChar w:fldCharType="separate"/>
      </w:r>
      <w:r>
        <w:rPr>
          <w:rStyle w:val="16"/>
        </w:rPr>
        <w:t>（二）存在的问题及原因分析</w:t>
      </w:r>
      <w:r>
        <w:tab/>
      </w:r>
      <w:r>
        <w:fldChar w:fldCharType="begin"/>
      </w:r>
      <w:r>
        <w:instrText xml:space="preserve"> PAGEREF _Toc523346044 \h </w:instrText>
      </w:r>
      <w:r>
        <w:fldChar w:fldCharType="separate"/>
      </w:r>
      <w:r>
        <w:t>20</w:t>
      </w:r>
      <w:r>
        <w:fldChar w:fldCharType="end"/>
      </w:r>
      <w:r>
        <w:fldChar w:fldCharType="end"/>
      </w:r>
    </w:p>
    <w:p>
      <w:pPr>
        <w:pStyle w:val="10"/>
        <w:tabs>
          <w:tab w:val="right" w:leader="dot" w:pos="8296"/>
        </w:tabs>
        <w:ind w:left="560" w:firstLine="560"/>
        <w:rPr>
          <w:rFonts w:asciiTheme="minorHAnsi" w:hAnsiTheme="minorHAnsi" w:eastAsiaTheme="minorEastAsia" w:cstheme="minorBidi"/>
          <w:sz w:val="21"/>
          <w:szCs w:val="22"/>
        </w:rPr>
      </w:pPr>
      <w:r>
        <w:fldChar w:fldCharType="begin"/>
      </w:r>
      <w:r>
        <w:instrText xml:space="preserve"> HYPERLINK \l "_Toc523346045" </w:instrText>
      </w:r>
      <w:r>
        <w:fldChar w:fldCharType="separate"/>
      </w:r>
      <w:r>
        <w:rPr>
          <w:rStyle w:val="16"/>
        </w:rPr>
        <w:t>（三）建议</w:t>
      </w:r>
      <w:r>
        <w:tab/>
      </w:r>
      <w:r>
        <w:fldChar w:fldCharType="begin"/>
      </w:r>
      <w:r>
        <w:instrText xml:space="preserve"> PAGEREF _Toc523346045 \h </w:instrText>
      </w:r>
      <w:r>
        <w:fldChar w:fldCharType="separate"/>
      </w:r>
      <w:r>
        <w:t>21</w:t>
      </w:r>
      <w:r>
        <w:fldChar w:fldCharType="end"/>
      </w:r>
      <w:r>
        <w:fldChar w:fldCharType="end"/>
      </w:r>
    </w:p>
    <w:p>
      <w:pPr>
        <w:pStyle w:val="9"/>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"_Toc523346046" </w:instrText>
      </w:r>
      <w:r>
        <w:fldChar w:fldCharType="separate"/>
      </w:r>
      <w:r>
        <w:rPr>
          <w:rStyle w:val="16"/>
        </w:rPr>
        <w:t>五、其他需说明的问题</w:t>
      </w:r>
      <w:r>
        <w:tab/>
      </w:r>
      <w:r>
        <w:fldChar w:fldCharType="begin"/>
      </w:r>
      <w:r>
        <w:instrText xml:space="preserve"> PAGEREF _Toc523346046 \h </w:instrText>
      </w:r>
      <w:r>
        <w:fldChar w:fldCharType="separate"/>
      </w:r>
      <w:r>
        <w:t>22</w:t>
      </w:r>
      <w:r>
        <w:fldChar w:fldCharType="end"/>
      </w:r>
      <w:r>
        <w:fldChar w:fldCharType="end"/>
      </w:r>
    </w:p>
    <w:p>
      <w:pPr>
        <w:pStyle w:val="9"/>
        <w:tabs>
          <w:tab w:val="right" w:leader="dot" w:pos="8296"/>
        </w:tabs>
        <w:ind w:firstLine="560"/>
        <w:rPr>
          <w:rFonts w:asciiTheme="minorHAnsi" w:hAnsiTheme="minorHAnsi" w:eastAsiaTheme="minorEastAsia" w:cstheme="minorBidi"/>
          <w:sz w:val="21"/>
          <w:szCs w:val="22"/>
        </w:rPr>
      </w:pPr>
      <w:r>
        <w:fldChar w:fldCharType="begin"/>
      </w:r>
      <w:r>
        <w:instrText xml:space="preserve"> HYPERLINK \l "_Toc523346047" </w:instrText>
      </w:r>
      <w:r>
        <w:fldChar w:fldCharType="separate"/>
      </w:r>
      <w:r>
        <w:rPr>
          <w:rStyle w:val="16"/>
        </w:rPr>
        <w:t>六、附件</w:t>
      </w:r>
      <w:r>
        <w:tab/>
      </w:r>
      <w:r>
        <w:fldChar w:fldCharType="begin"/>
      </w:r>
      <w:r>
        <w:instrText xml:space="preserve"> PAGEREF _Toc523346047 \h </w:instrText>
      </w:r>
      <w:r>
        <w:fldChar w:fldCharType="separate"/>
      </w:r>
      <w:r>
        <w:t>22</w:t>
      </w:r>
      <w:r>
        <w:fldChar w:fldCharType="end"/>
      </w:r>
      <w:r>
        <w:fldChar w:fldCharType="end"/>
      </w:r>
    </w:p>
    <w:p>
      <w:pPr>
        <w:pStyle w:val="2"/>
        <w:spacing w:before="156"/>
        <w:ind w:firstLine="562"/>
        <w:jc w:val="cente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720" w:num="1"/>
          <w:docGrid w:type="lines" w:linePitch="312" w:charSpace="0"/>
        </w:sectPr>
      </w:pPr>
      <w:r>
        <w:rPr>
          <w:rFonts w:hint="eastAsia"/>
        </w:rPr>
        <w:fldChar w:fldCharType="end"/>
      </w:r>
    </w:p>
    <w:p>
      <w:pPr>
        <w:pStyle w:val="2"/>
        <w:spacing w:before="156"/>
        <w:ind w:firstLine="562"/>
        <w:jc w:val="center"/>
      </w:pPr>
      <w:bookmarkStart w:id="0" w:name="_Toc523346019"/>
      <w:r>
        <w:rPr>
          <w:rFonts w:hint="eastAsia"/>
        </w:rPr>
        <w:t>摘  要</w:t>
      </w:r>
      <w:bookmarkEnd w:id="0"/>
    </w:p>
    <w:p>
      <w:pPr>
        <w:spacing w:line="520" w:lineRule="exact"/>
        <w:ind w:firstLine="643"/>
        <w:jc w:val="center"/>
        <w:rPr>
          <w:rFonts w:ascii="仿宋" w:hAnsi="仿宋"/>
          <w:b/>
          <w:sz w:val="32"/>
          <w:szCs w:val="32"/>
        </w:rPr>
      </w:pPr>
    </w:p>
    <w:p>
      <w:pPr>
        <w:ind w:firstLine="560"/>
        <w:rPr>
          <w:rFonts w:ascii="仿宋" w:hAnsi="仿宋"/>
          <w:szCs w:val="28"/>
        </w:rPr>
      </w:pPr>
      <w:r>
        <w:rPr>
          <w:rFonts w:hint="eastAsia" w:ascii="仿宋" w:hAnsi="仿宋"/>
          <w:szCs w:val="28"/>
        </w:rPr>
        <w:t>为加强东湖新技术开发区财政资金管理，强化部门支出责任意识，提高财政资金使用效益，武汉东湖新技术开发区龙泉街道办事处（以下简称“龙泉街道办事处”）委托湖北永兴会计师事务有限责任公司对2017年度部门整体支出进行绩效评价。</w:t>
      </w:r>
    </w:p>
    <w:p>
      <w:pPr>
        <w:ind w:firstLine="560"/>
        <w:rPr>
          <w:szCs w:val="28"/>
        </w:rPr>
      </w:pPr>
      <w:r>
        <w:rPr>
          <w:rFonts w:hint="eastAsia" w:ascii="仿宋" w:hAnsi="仿宋"/>
          <w:szCs w:val="28"/>
        </w:rPr>
        <w:t>湖北永兴会计师事务有限责任公司</w:t>
      </w:r>
      <w:r>
        <w:rPr>
          <w:rFonts w:hint="eastAsia"/>
          <w:szCs w:val="28"/>
        </w:rPr>
        <w:t>依据财政部《财政支出绩效评价管理暂行办法》（财预〔2011〕285号）、《省财政厅关于印发&lt;湖北省省级财政项目资金绩效评价实施暂行办法&gt;的通知》（鄂财绩发〔2012〕5号）、《武汉东湖新技术开发区预算绩效管理工作方案的通知》（武新管财字[201</w:t>
      </w:r>
      <w:r>
        <w:rPr>
          <w:szCs w:val="28"/>
        </w:rPr>
        <w:t>8</w:t>
      </w:r>
      <w:r>
        <w:rPr>
          <w:rFonts w:hint="eastAsia"/>
          <w:szCs w:val="28"/>
        </w:rPr>
        <w:t>]</w:t>
      </w:r>
      <w:r>
        <w:rPr>
          <w:szCs w:val="28"/>
        </w:rPr>
        <w:t>26</w:t>
      </w:r>
      <w:r>
        <w:rPr>
          <w:rFonts w:hint="eastAsia"/>
          <w:szCs w:val="28"/>
        </w:rPr>
        <w:t>号）等文件的要求，结合项目状况，对2017年度部门整体支出进行绩效评价。</w:t>
      </w:r>
    </w:p>
    <w:p>
      <w:pPr>
        <w:ind w:firstLine="562"/>
        <w:rPr>
          <w:b/>
          <w:bCs/>
        </w:rPr>
      </w:pPr>
      <w:r>
        <w:rPr>
          <w:rFonts w:hint="eastAsia" w:ascii="仿宋" w:hAnsi="仿宋"/>
          <w:b/>
          <w:bCs/>
          <w:szCs w:val="28"/>
        </w:rPr>
        <w:t>一、</w:t>
      </w:r>
      <w:r>
        <w:rPr>
          <w:rFonts w:hint="eastAsia"/>
          <w:b/>
          <w:bCs/>
        </w:rPr>
        <w:t>基本情况</w:t>
      </w:r>
    </w:p>
    <w:p>
      <w:pPr>
        <w:ind w:firstLine="560"/>
      </w:pPr>
      <w:bookmarkStart w:id="1" w:name="_Hlk516330113"/>
      <w:r>
        <w:rPr>
          <w:rFonts w:hint="eastAsia"/>
        </w:rPr>
        <w:t>依据龙泉街道办事处编制的《武汉东湖新技术开发区龙泉街道办事处2017年部门预算编制说明》，2017年度部门整体支出</w:t>
      </w:r>
      <w:r>
        <w:t>6,585</w:t>
      </w:r>
      <w:r>
        <w:rPr>
          <w:rFonts w:hint="eastAsia"/>
        </w:rPr>
        <w:t>万元。主要包括：工资福利支出2</w:t>
      </w:r>
      <w:r>
        <w:t>,</w:t>
      </w:r>
      <w:r>
        <w:rPr>
          <w:rFonts w:hint="eastAsia"/>
        </w:rPr>
        <w:t>722.67万元、对个人和家庭的补助915.79万元、商品和服务支出435.32万元、项目支出</w:t>
      </w:r>
      <w:r>
        <w:t>2,511.22</w:t>
      </w:r>
      <w:r>
        <w:rPr>
          <w:rFonts w:hint="eastAsia"/>
        </w:rPr>
        <w:t>万元。</w:t>
      </w:r>
    </w:p>
    <w:p>
      <w:pPr>
        <w:ind w:firstLine="560"/>
        <w:rPr>
          <w:rFonts w:ascii="仿宋" w:hAnsi="仿宋"/>
          <w:szCs w:val="28"/>
        </w:rPr>
      </w:pPr>
      <w:r>
        <w:rPr>
          <w:rFonts w:hint="eastAsia" w:ascii="仿宋" w:hAnsi="仿宋"/>
          <w:szCs w:val="28"/>
        </w:rPr>
        <w:t>根据年度申报表及预算，2</w:t>
      </w:r>
      <w:r>
        <w:rPr>
          <w:rFonts w:ascii="仿宋" w:hAnsi="仿宋"/>
          <w:szCs w:val="28"/>
        </w:rPr>
        <w:t>017</w:t>
      </w:r>
      <w:r>
        <w:rPr>
          <w:rFonts w:hint="eastAsia" w:ascii="仿宋" w:hAnsi="仿宋"/>
          <w:szCs w:val="28"/>
        </w:rPr>
        <w:t>年度达到以下工作目标：人员及经费保障1</w:t>
      </w:r>
      <w:r>
        <w:rPr>
          <w:rFonts w:ascii="仿宋" w:hAnsi="仿宋"/>
          <w:szCs w:val="28"/>
        </w:rPr>
        <w:t>30</w:t>
      </w:r>
      <w:r>
        <w:rPr>
          <w:rFonts w:hint="eastAsia" w:ascii="仿宋" w:hAnsi="仿宋"/>
          <w:szCs w:val="28"/>
        </w:rPr>
        <w:t>人，有效管理街道1个社区与1</w:t>
      </w:r>
      <w:r>
        <w:rPr>
          <w:rFonts w:ascii="仿宋" w:hAnsi="仿宋"/>
          <w:szCs w:val="28"/>
        </w:rPr>
        <w:t>3</w:t>
      </w:r>
      <w:r>
        <w:rPr>
          <w:rFonts w:hint="eastAsia" w:ascii="仿宋" w:hAnsi="仿宋"/>
          <w:szCs w:val="28"/>
        </w:rPr>
        <w:t>个村，主要工作完成：发展党员20人，处理违纪35人；完成征收集体土地3,095.64亩，拆迁总面积18.56万方；发放民政保障补贴1,000.00万元；加大新农合宣传力度，参合率达到99%以上；安置下岗失业人数35人，新增就业人数495人；全年接待群众来访60批次以上，解决16个信访问题；组织街道文体活动28场；全街开展综合整治 20次，建成108个门面、约5,000平方米的商业综合体并投入使用。</w:t>
      </w:r>
    </w:p>
    <w:p>
      <w:pPr>
        <w:ind w:firstLine="560"/>
        <w:rPr>
          <w:rFonts w:ascii="仿宋" w:hAnsi="仿宋"/>
          <w:szCs w:val="28"/>
        </w:rPr>
      </w:pPr>
      <w:bookmarkStart w:id="2" w:name="_Hlk516388528"/>
      <w:r>
        <w:rPr>
          <w:rFonts w:hint="eastAsia" w:ascii="仿宋" w:hAnsi="仿宋"/>
          <w:szCs w:val="28"/>
        </w:rPr>
        <w:t>201</w:t>
      </w:r>
      <w:r>
        <w:rPr>
          <w:rFonts w:ascii="仿宋" w:hAnsi="仿宋"/>
          <w:szCs w:val="28"/>
        </w:rPr>
        <w:t>7</w:t>
      </w:r>
      <w:r>
        <w:rPr>
          <w:rFonts w:hint="eastAsia" w:ascii="仿宋" w:hAnsi="仿宋"/>
          <w:szCs w:val="28"/>
        </w:rPr>
        <w:t>年度，部门整体决算支出10,001.91万元，为年初预算的</w:t>
      </w:r>
      <w:r>
        <w:rPr>
          <w:rFonts w:ascii="仿宋" w:hAnsi="仿宋"/>
          <w:szCs w:val="28"/>
        </w:rPr>
        <w:t>152%</w:t>
      </w:r>
      <w:r>
        <w:rPr>
          <w:rFonts w:hint="eastAsia" w:ascii="仿宋" w:hAnsi="仿宋"/>
          <w:szCs w:val="28"/>
        </w:rPr>
        <w:t>，预算调整率52%。</w:t>
      </w:r>
    </w:p>
    <w:bookmarkEnd w:id="1"/>
    <w:bookmarkEnd w:id="2"/>
    <w:p>
      <w:pPr>
        <w:spacing w:before="156" w:beforeLines="50"/>
        <w:ind w:firstLine="562"/>
        <w:rPr>
          <w:b/>
          <w:bCs/>
        </w:rPr>
      </w:pPr>
      <w:r>
        <w:rPr>
          <w:rFonts w:hint="eastAsia"/>
          <w:b/>
          <w:bCs/>
        </w:rPr>
        <w:t>二、绩效评价工作情况</w:t>
      </w:r>
    </w:p>
    <w:p>
      <w:pPr>
        <w:ind w:firstLine="560"/>
        <w:rPr>
          <w:rFonts w:ascii="仿宋" w:hAnsi="仿宋"/>
          <w:szCs w:val="28"/>
        </w:rPr>
      </w:pPr>
      <w:r>
        <w:rPr>
          <w:rFonts w:hint="eastAsia" w:ascii="仿宋" w:hAnsi="仿宋"/>
          <w:szCs w:val="28"/>
        </w:rPr>
        <w:t>本次绩效评价工作参考</w:t>
      </w:r>
      <w:r>
        <w:rPr>
          <w:rFonts w:hint="eastAsia"/>
          <w:szCs w:val="28"/>
        </w:rPr>
        <w:t>《省财政厅关于开展2017年省级财政支出绩效评价工作的通知》和《武汉东湖新技术开发区预算绩效管理工作方案的通知》（武新管财字[201</w:t>
      </w:r>
      <w:r>
        <w:rPr>
          <w:szCs w:val="28"/>
        </w:rPr>
        <w:t>8</w:t>
      </w:r>
      <w:r>
        <w:rPr>
          <w:rFonts w:hint="eastAsia"/>
          <w:szCs w:val="28"/>
        </w:rPr>
        <w:t>]</w:t>
      </w:r>
      <w:r>
        <w:rPr>
          <w:szCs w:val="28"/>
        </w:rPr>
        <w:t>26</w:t>
      </w:r>
      <w:r>
        <w:rPr>
          <w:rFonts w:hint="eastAsia"/>
          <w:szCs w:val="28"/>
        </w:rPr>
        <w:t>号）等文件的要求设置评价指标体系。指标共分为三级，总分100分。一级指标设计了投入、过程、产出和效果四项指标。</w:t>
      </w:r>
    </w:p>
    <w:p>
      <w:pPr>
        <w:ind w:firstLine="560"/>
        <w:rPr>
          <w:rFonts w:hint="eastAsia" w:ascii="仿宋" w:hAnsi="仿宋"/>
          <w:szCs w:val="28"/>
        </w:rPr>
      </w:pPr>
      <w:r>
        <w:rPr>
          <w:rFonts w:hint="eastAsia" w:ascii="仿宋" w:hAnsi="仿宋"/>
          <w:szCs w:val="28"/>
        </w:rPr>
        <w:t>本次绩效评价采用目标比较法、统计计算法、实地考察相结合的方法。</w:t>
      </w:r>
    </w:p>
    <w:p>
      <w:pPr>
        <w:spacing w:before="156" w:beforeLines="50"/>
        <w:ind w:firstLine="492" w:firstLineChars="175"/>
        <w:rPr>
          <w:rFonts w:ascii="仿宋" w:hAnsi="仿宋"/>
          <w:b/>
          <w:bCs/>
          <w:szCs w:val="28"/>
        </w:rPr>
      </w:pPr>
      <w:r>
        <w:rPr>
          <w:rFonts w:hint="eastAsia" w:ascii="仿宋" w:hAnsi="仿宋"/>
          <w:b/>
          <w:bCs/>
          <w:szCs w:val="28"/>
        </w:rPr>
        <w:t>三、绩效评价结论</w:t>
      </w:r>
    </w:p>
    <w:p>
      <w:pPr>
        <w:ind w:firstLine="700" w:firstLineChars="250"/>
        <w:rPr>
          <w:rFonts w:ascii="仿宋" w:hAnsi="仿宋"/>
          <w:szCs w:val="28"/>
        </w:rPr>
      </w:pPr>
      <w:r>
        <w:rPr>
          <w:rFonts w:hint="eastAsia"/>
          <w:szCs w:val="28"/>
        </w:rPr>
        <w:t>经上述分析，龙泉街道办事处部门整体支出绩效评价得分</w:t>
      </w:r>
      <w:r>
        <w:rPr>
          <w:szCs w:val="28"/>
        </w:rPr>
        <w:t>87.5</w:t>
      </w:r>
      <w:r>
        <w:rPr>
          <w:rFonts w:hint="eastAsia"/>
          <w:szCs w:val="28"/>
        </w:rPr>
        <w:t>分，其中，投入绩效得分15分、过程绩效得分</w:t>
      </w:r>
      <w:r>
        <w:rPr>
          <w:szCs w:val="28"/>
        </w:rPr>
        <w:t>15</w:t>
      </w:r>
      <w:r>
        <w:rPr>
          <w:rFonts w:hint="eastAsia"/>
          <w:szCs w:val="28"/>
        </w:rPr>
        <w:t>分、产出绩效得分25分、效果绩效得分</w:t>
      </w:r>
      <w:r>
        <w:rPr>
          <w:szCs w:val="28"/>
        </w:rPr>
        <w:t>32.5</w:t>
      </w:r>
      <w:r>
        <w:rPr>
          <w:rFonts w:hint="eastAsia"/>
          <w:szCs w:val="28"/>
        </w:rPr>
        <w:t>分。部门整体支出绩效评价等级为良。</w:t>
      </w:r>
    </w:p>
    <w:p>
      <w:pPr>
        <w:spacing w:before="156" w:beforeLines="50"/>
        <w:ind w:firstLine="492" w:firstLineChars="175"/>
        <w:rPr>
          <w:rFonts w:ascii="仿宋" w:hAnsi="仿宋"/>
          <w:b/>
          <w:bCs/>
          <w:szCs w:val="28"/>
        </w:rPr>
      </w:pPr>
      <w:r>
        <w:rPr>
          <w:rFonts w:hint="eastAsia" w:ascii="仿宋" w:hAnsi="仿宋"/>
          <w:b/>
          <w:bCs/>
          <w:szCs w:val="28"/>
        </w:rPr>
        <w:t>四、项目的经验与问题</w:t>
      </w:r>
    </w:p>
    <w:p>
      <w:pPr>
        <w:ind w:firstLine="560"/>
        <w:rPr>
          <w:rFonts w:ascii="仿宋" w:hAnsi="仿宋"/>
          <w:szCs w:val="28"/>
        </w:rPr>
      </w:pPr>
      <w:r>
        <w:rPr>
          <w:rFonts w:hint="eastAsia" w:ascii="仿宋" w:hAnsi="仿宋"/>
          <w:szCs w:val="28"/>
        </w:rPr>
        <w:t>（一）主要经验及做法</w:t>
      </w:r>
    </w:p>
    <w:p>
      <w:pPr>
        <w:pStyle w:val="19"/>
        <w:numPr>
          <w:ilvl w:val="0"/>
          <w:numId w:val="1"/>
        </w:numPr>
        <w:ind w:firstLineChars="0"/>
        <w:rPr>
          <w:rFonts w:hint="eastAsia"/>
        </w:rPr>
      </w:pPr>
      <w:r>
        <w:rPr>
          <w:rFonts w:hint="eastAsia"/>
        </w:rPr>
        <w:t>认真执行财政政策要求，认真学习财经法规，严格执行财经纪律，防止了违法违纪行为的发生；</w:t>
      </w:r>
    </w:p>
    <w:p>
      <w:pPr>
        <w:pStyle w:val="19"/>
        <w:numPr>
          <w:ilvl w:val="0"/>
          <w:numId w:val="1"/>
        </w:numPr>
        <w:ind w:firstLineChars="0"/>
        <w:rPr>
          <w:rFonts w:hint="eastAsia"/>
        </w:rPr>
      </w:pPr>
      <w:r>
        <w:rPr>
          <w:rFonts w:hint="eastAsia"/>
        </w:rPr>
        <w:t>严格按照厉行节约的要求，精打细算，规范机关事务管理工作，进一步公务用车、公务接待等方面加强集中管理，提高服务质量，降低运行成本，合理配置，提高保障能力；</w:t>
      </w:r>
    </w:p>
    <w:p>
      <w:pPr>
        <w:pStyle w:val="19"/>
        <w:numPr>
          <w:ilvl w:val="0"/>
          <w:numId w:val="1"/>
        </w:numPr>
        <w:ind w:firstLineChars="0"/>
      </w:pPr>
      <w:r>
        <w:rPr>
          <w:rFonts w:hint="eastAsia"/>
        </w:rPr>
        <w:t>确保了专项资金在使用和管理上单独核算、专款专用，推进了专项工作落实。</w:t>
      </w:r>
    </w:p>
    <w:p>
      <w:pPr>
        <w:ind w:firstLine="560"/>
      </w:pPr>
      <w:r>
        <w:rPr>
          <w:rFonts w:hint="eastAsia"/>
        </w:rPr>
        <w:t>（二）存在的问题及原因分析</w:t>
      </w:r>
    </w:p>
    <w:p>
      <w:pPr>
        <w:numPr>
          <w:ilvl w:val="0"/>
          <w:numId w:val="2"/>
        </w:numPr>
        <w:ind w:firstLineChars="0"/>
        <w:rPr>
          <w:rFonts w:hint="eastAsia"/>
          <w:szCs w:val="28"/>
        </w:rPr>
      </w:pPr>
      <w:r>
        <w:rPr>
          <w:rFonts w:hint="eastAsia"/>
          <w:szCs w:val="28"/>
        </w:rPr>
        <w:t>项目申报前期测算不科学，预算脱离实际。实际执行之后，有部分项目还需要改变实施计划，而造成资金暂缓使用，形成了大量的资金结存，有部分项目资金又可能不够，造成项目不能按时按质按量完成，需要继续向财政部门申请资金；</w:t>
      </w:r>
    </w:p>
    <w:p>
      <w:pPr>
        <w:numPr>
          <w:ilvl w:val="0"/>
          <w:numId w:val="2"/>
        </w:numPr>
        <w:ind w:firstLineChars="0"/>
        <w:rPr>
          <w:szCs w:val="28"/>
        </w:rPr>
      </w:pPr>
      <w:r>
        <w:rPr>
          <w:rFonts w:hint="eastAsia"/>
          <w:szCs w:val="28"/>
        </w:rPr>
        <w:t>预算绩效目标编制工作有待细化。预算绩效目标编制不够明确和细化，绩效目标的科学性需要提高；</w:t>
      </w:r>
    </w:p>
    <w:p>
      <w:pPr>
        <w:numPr>
          <w:ilvl w:val="0"/>
          <w:numId w:val="2"/>
        </w:numPr>
        <w:ind w:firstLineChars="0"/>
        <w:rPr>
          <w:szCs w:val="28"/>
        </w:rPr>
      </w:pPr>
      <w:r>
        <w:rPr>
          <w:rFonts w:hint="eastAsia"/>
          <w:szCs w:val="28"/>
        </w:rPr>
        <w:t>缺乏完善的内部控制制度，支出管理制度不健全，容易滋生无控制、不节约，支出随意性大，大手大脚花钱的情况，既造成公共财政的损失浪费、又滋生腐化风气。</w:t>
      </w:r>
    </w:p>
    <w:p>
      <w:pPr>
        <w:ind w:firstLine="280" w:firstLineChars="100"/>
        <w:rPr>
          <w:rFonts w:ascii="仿宋" w:hAnsi="仿宋"/>
          <w:szCs w:val="28"/>
        </w:rPr>
      </w:pPr>
      <w:r>
        <w:rPr>
          <w:rFonts w:hint="eastAsia"/>
        </w:rPr>
        <w:t>（三）建议</w:t>
      </w:r>
    </w:p>
    <w:p>
      <w:pPr>
        <w:ind w:firstLine="560"/>
        <w:rPr>
          <w:rFonts w:hint="eastAsia" w:ascii="仿宋" w:hAnsi="仿宋"/>
          <w:szCs w:val="28"/>
        </w:rPr>
      </w:pPr>
      <w:r>
        <w:rPr>
          <w:rFonts w:ascii="仿宋" w:hAnsi="仿宋"/>
          <w:szCs w:val="28"/>
        </w:rPr>
        <w:fldChar w:fldCharType="begin"/>
      </w:r>
      <w:r>
        <w:rPr>
          <w:rFonts w:ascii="仿宋" w:hAnsi="仿宋"/>
          <w:szCs w:val="28"/>
        </w:rPr>
        <w:instrText xml:space="preserve"> </w:instrText>
      </w:r>
      <w:r>
        <w:rPr>
          <w:rFonts w:hint="eastAsia" w:ascii="仿宋" w:hAnsi="仿宋"/>
          <w:szCs w:val="28"/>
        </w:rPr>
        <w:instrText xml:space="preserve">= 1. \* Arabic</w:instrText>
      </w:r>
      <w:r>
        <w:rPr>
          <w:rFonts w:ascii="仿宋" w:hAnsi="仿宋"/>
          <w:szCs w:val="28"/>
        </w:rPr>
        <w:instrText xml:space="preserve"> </w:instrText>
      </w:r>
      <w:r>
        <w:rPr>
          <w:rFonts w:ascii="仿宋" w:hAnsi="仿宋"/>
          <w:szCs w:val="28"/>
        </w:rPr>
        <w:fldChar w:fldCharType="separate"/>
      </w:r>
      <w:r>
        <w:rPr>
          <w:rFonts w:ascii="仿宋" w:hAnsi="仿宋"/>
          <w:szCs w:val="28"/>
        </w:rPr>
        <w:t>1</w:t>
      </w:r>
      <w:r>
        <w:rPr>
          <w:rFonts w:ascii="仿宋" w:hAnsi="仿宋"/>
          <w:szCs w:val="28"/>
        </w:rPr>
        <w:fldChar w:fldCharType="end"/>
      </w:r>
      <w:r>
        <w:rPr>
          <w:rFonts w:ascii="仿宋" w:hAnsi="仿宋"/>
          <w:szCs w:val="28"/>
        </w:rPr>
        <w:t xml:space="preserve">. </w:t>
      </w:r>
      <w:r>
        <w:rPr>
          <w:rFonts w:hint="eastAsia" w:ascii="仿宋" w:hAnsi="仿宋"/>
          <w:szCs w:val="28"/>
        </w:rPr>
        <w:t>建议加强政策学习，提高思想认识。组织单位人员认真学习《预算法》等相关法规、制度，提高单位领导对全面预算管理的重视程度，增强财务人员的预算意识，坚持先有预算、后有支出，没有预算不得支出的支出理念；</w:t>
      </w:r>
    </w:p>
    <w:p>
      <w:pPr>
        <w:ind w:firstLine="560"/>
        <w:rPr>
          <w:rFonts w:hint="eastAsia" w:ascii="仿宋" w:hAnsi="仿宋"/>
          <w:szCs w:val="28"/>
        </w:rPr>
      </w:pPr>
      <w:r>
        <w:rPr>
          <w:rFonts w:ascii="仿宋" w:hAnsi="仿宋"/>
          <w:szCs w:val="28"/>
        </w:rPr>
        <w:fldChar w:fldCharType="begin"/>
      </w:r>
      <w:r>
        <w:rPr>
          <w:rFonts w:ascii="仿宋" w:hAnsi="仿宋"/>
          <w:szCs w:val="28"/>
        </w:rPr>
        <w:instrText xml:space="preserve"> </w:instrText>
      </w:r>
      <w:r>
        <w:rPr>
          <w:rFonts w:hint="eastAsia" w:ascii="仿宋" w:hAnsi="仿宋"/>
          <w:szCs w:val="28"/>
        </w:rPr>
        <w:instrText xml:space="preserve">= 2 \* Arabic</w:instrText>
      </w:r>
      <w:r>
        <w:rPr>
          <w:rFonts w:ascii="仿宋" w:hAnsi="仿宋"/>
          <w:szCs w:val="28"/>
        </w:rPr>
        <w:instrText xml:space="preserve"> </w:instrText>
      </w:r>
      <w:r>
        <w:rPr>
          <w:rFonts w:ascii="仿宋" w:hAnsi="仿宋"/>
          <w:szCs w:val="28"/>
        </w:rPr>
        <w:fldChar w:fldCharType="separate"/>
      </w:r>
      <w:r>
        <w:rPr>
          <w:rFonts w:ascii="仿宋" w:hAnsi="仿宋"/>
          <w:szCs w:val="28"/>
        </w:rPr>
        <w:t>2</w:t>
      </w:r>
      <w:r>
        <w:rPr>
          <w:rFonts w:ascii="仿宋" w:hAnsi="仿宋"/>
          <w:szCs w:val="28"/>
        </w:rPr>
        <w:fldChar w:fldCharType="end"/>
      </w:r>
      <w:r>
        <w:rPr>
          <w:rFonts w:ascii="仿宋" w:hAnsi="仿宋"/>
          <w:szCs w:val="28"/>
        </w:rPr>
        <w:t xml:space="preserve">. </w:t>
      </w:r>
      <w:r>
        <w:rPr>
          <w:rFonts w:hint="eastAsia" w:ascii="仿宋" w:hAnsi="仿宋"/>
          <w:szCs w:val="28"/>
        </w:rPr>
        <w:t>科学设置预算绩效指标，合理安排经费和各项资金，使其物尽其用，更加贴合街道财务工作的实际情况，能够合理运用现有资源，及时协调并向上级多争取资金，保证各预算绩效指标的顺利实施；</w:t>
      </w:r>
    </w:p>
    <w:p>
      <w:pPr>
        <w:ind w:firstLine="560"/>
        <w:rPr>
          <w:rFonts w:ascii="仿宋" w:hAnsi="仿宋"/>
          <w:szCs w:val="28"/>
        </w:rPr>
      </w:pPr>
      <w:r>
        <w:rPr>
          <w:rFonts w:ascii="仿宋" w:hAnsi="仿宋"/>
          <w:szCs w:val="28"/>
        </w:rPr>
        <w:fldChar w:fldCharType="begin"/>
      </w:r>
      <w:r>
        <w:rPr>
          <w:rFonts w:ascii="仿宋" w:hAnsi="仿宋"/>
          <w:szCs w:val="28"/>
        </w:rPr>
        <w:instrText xml:space="preserve"> </w:instrText>
      </w:r>
      <w:r>
        <w:rPr>
          <w:rFonts w:hint="eastAsia" w:ascii="仿宋" w:hAnsi="仿宋"/>
          <w:szCs w:val="28"/>
        </w:rPr>
        <w:instrText xml:space="preserve">= 3 \* Arabic</w:instrText>
      </w:r>
      <w:r>
        <w:rPr>
          <w:rFonts w:ascii="仿宋" w:hAnsi="仿宋"/>
          <w:szCs w:val="28"/>
        </w:rPr>
        <w:instrText xml:space="preserve"> </w:instrText>
      </w:r>
      <w:r>
        <w:rPr>
          <w:rFonts w:ascii="仿宋" w:hAnsi="仿宋"/>
          <w:szCs w:val="28"/>
        </w:rPr>
        <w:fldChar w:fldCharType="separate"/>
      </w:r>
      <w:r>
        <w:rPr>
          <w:rFonts w:ascii="仿宋" w:hAnsi="仿宋"/>
          <w:szCs w:val="28"/>
        </w:rPr>
        <w:t>3</w:t>
      </w:r>
      <w:r>
        <w:rPr>
          <w:rFonts w:ascii="仿宋" w:hAnsi="仿宋"/>
          <w:szCs w:val="28"/>
        </w:rPr>
        <w:fldChar w:fldCharType="end"/>
      </w:r>
      <w:r>
        <w:rPr>
          <w:rFonts w:ascii="仿宋" w:hAnsi="仿宋"/>
          <w:szCs w:val="28"/>
        </w:rPr>
        <w:t xml:space="preserve">. </w:t>
      </w:r>
      <w:r>
        <w:rPr>
          <w:rFonts w:hint="eastAsia" w:ascii="仿宋" w:hAnsi="仿宋"/>
          <w:szCs w:val="28"/>
        </w:rPr>
        <w:t>建立健全部门单位内部控制制度，保障部门单位顺利履行行政管理职能，防范财务风险，确保财政资金使用安全，控制铺张浪费，让单位所有职工都参与到内部控制的执行中，营造出内部控制的管理氛围。</w:t>
      </w:r>
    </w:p>
    <w:p>
      <w:pPr>
        <w:spacing w:line="520" w:lineRule="exact"/>
        <w:ind w:firstLine="562"/>
        <w:rPr>
          <w:rFonts w:ascii="仿宋" w:hAnsi="仿宋"/>
          <w:b/>
          <w:sz w:val="32"/>
          <w:szCs w:val="32"/>
        </w:rPr>
      </w:pPr>
      <w:r>
        <w:rPr>
          <w:rFonts w:hint="eastAsia" w:ascii="仿宋" w:hAnsi="仿宋"/>
          <w:b/>
          <w:szCs w:val="28"/>
        </w:rPr>
        <w:br w:type="page"/>
      </w:r>
    </w:p>
    <w:p>
      <w:pPr>
        <w:spacing w:line="520" w:lineRule="exact"/>
        <w:ind w:firstLine="643"/>
        <w:jc w:val="center"/>
        <w:rPr>
          <w:rFonts w:ascii="仿宋" w:hAnsi="仿宋"/>
          <w:b/>
          <w:sz w:val="32"/>
          <w:szCs w:val="32"/>
        </w:rPr>
      </w:pPr>
      <w:r>
        <w:rPr>
          <w:rFonts w:hint="eastAsia" w:ascii="仿宋" w:hAnsi="仿宋"/>
          <w:b/>
          <w:sz w:val="32"/>
          <w:szCs w:val="32"/>
        </w:rPr>
        <w:t>武汉东湖新技术开发区龙泉街道办事处整体支出</w:t>
      </w:r>
    </w:p>
    <w:p>
      <w:pPr>
        <w:spacing w:line="520" w:lineRule="exact"/>
        <w:ind w:firstLine="643"/>
        <w:jc w:val="center"/>
        <w:rPr>
          <w:rFonts w:ascii="仿宋" w:hAnsi="仿宋"/>
          <w:b/>
          <w:sz w:val="32"/>
          <w:szCs w:val="32"/>
        </w:rPr>
      </w:pPr>
      <w:r>
        <w:rPr>
          <w:rFonts w:hint="eastAsia" w:ascii="仿宋" w:hAnsi="仿宋"/>
          <w:b/>
          <w:sz w:val="32"/>
          <w:szCs w:val="32"/>
        </w:rPr>
        <w:t>绩效评价报告</w:t>
      </w:r>
    </w:p>
    <w:p>
      <w:pPr>
        <w:spacing w:line="520" w:lineRule="exact"/>
        <w:ind w:firstLine="643"/>
        <w:jc w:val="center"/>
        <w:rPr>
          <w:rFonts w:ascii="仿宋" w:hAnsi="仿宋"/>
          <w:b/>
          <w:sz w:val="32"/>
          <w:szCs w:val="32"/>
        </w:rPr>
      </w:pPr>
      <w:r>
        <w:rPr>
          <w:rFonts w:hint="eastAsia" w:ascii="仿宋" w:hAnsi="仿宋"/>
          <w:b/>
          <w:sz w:val="32"/>
          <w:szCs w:val="32"/>
        </w:rPr>
        <w:t>正   文</w:t>
      </w:r>
    </w:p>
    <w:p>
      <w:pPr>
        <w:pStyle w:val="2"/>
        <w:numPr>
          <w:ilvl w:val="0"/>
          <w:numId w:val="3"/>
        </w:numPr>
        <w:adjustRightInd/>
        <w:snapToGrid/>
        <w:spacing w:before="312" w:beforeLines="100"/>
        <w:ind w:firstLineChars="0"/>
        <w:rPr>
          <w:szCs w:val="28"/>
        </w:rPr>
      </w:pPr>
      <w:bookmarkStart w:id="3" w:name="_Toc523346020"/>
      <w:r>
        <w:rPr>
          <w:rFonts w:hint="eastAsia" w:ascii="仿宋" w:hAnsi="仿宋" w:cs="仿宋"/>
          <w:szCs w:val="28"/>
        </w:rPr>
        <w:t>部门概况</w:t>
      </w:r>
      <w:bookmarkEnd w:id="3"/>
    </w:p>
    <w:p>
      <w:pPr>
        <w:pStyle w:val="3"/>
        <w:numPr>
          <w:ilvl w:val="0"/>
          <w:numId w:val="4"/>
        </w:numPr>
        <w:spacing w:before="156"/>
        <w:ind w:firstLineChars="0"/>
        <w:rPr>
          <w:b w:val="0"/>
        </w:rPr>
      </w:pPr>
      <w:bookmarkStart w:id="4" w:name="_Toc523346021"/>
      <w:r>
        <w:rPr>
          <w:rFonts w:hint="eastAsia"/>
          <w:b w:val="0"/>
        </w:rPr>
        <w:t>基本情况</w:t>
      </w:r>
      <w:bookmarkEnd w:id="4"/>
    </w:p>
    <w:p>
      <w:pPr>
        <w:ind w:firstLine="560"/>
        <w:rPr>
          <w:rFonts w:hint="eastAsia"/>
        </w:rPr>
      </w:pPr>
      <w:r>
        <w:rPr>
          <w:rFonts w:hint="eastAsia"/>
        </w:rPr>
        <w:t>武汉东湖新技术开发区龙泉街道办事处属行政单位，共有编制130人，其中：行政编制47人，事业编制83人。年初在职人员193人，年末在职人员186人，其中：行政编制32人，事业编制154人。与2016年末相比，退休7人，减少了7人；以钱养事单位63人；离退休人员60人，与2016年相比增加了7人。</w:t>
      </w:r>
    </w:p>
    <w:p>
      <w:pPr>
        <w:ind w:firstLine="601" w:firstLineChars="0"/>
        <w:rPr>
          <w:rFonts w:hint="eastAsia" w:ascii="仿宋" w:hAnsi="仿宋"/>
          <w:szCs w:val="28"/>
        </w:rPr>
      </w:pPr>
      <w:r>
        <w:rPr>
          <w:rFonts w:hint="eastAsia" w:ascii="仿宋" w:hAnsi="仿宋"/>
          <w:szCs w:val="28"/>
        </w:rPr>
        <w:t>1、机构设置</w:t>
      </w:r>
    </w:p>
    <w:p>
      <w:pPr>
        <w:ind w:firstLine="601" w:firstLineChars="0"/>
        <w:rPr>
          <w:rFonts w:hint="eastAsia" w:ascii="仿宋" w:hAnsi="仿宋"/>
          <w:szCs w:val="28"/>
        </w:rPr>
      </w:pPr>
      <w:r>
        <w:rPr>
          <w:rFonts w:hint="eastAsia" w:ascii="仿宋" w:hAnsi="仿宋"/>
          <w:szCs w:val="28"/>
        </w:rPr>
        <w:t>龙泉街道办事处内设机构11个，包括：办公室、党建办公室、纪检监察办公室、公共管理办公室、公共服务办公室、公共安全办公室、网格化综合管理中心、政务服务中心、城市管理服务中心、综合事务服务中心、龙泉山风景区管理处。</w:t>
      </w:r>
    </w:p>
    <w:p>
      <w:pPr>
        <w:ind w:firstLine="601" w:firstLineChars="0"/>
        <w:rPr>
          <w:rFonts w:hint="eastAsia" w:ascii="仿宋" w:hAnsi="仿宋"/>
          <w:szCs w:val="28"/>
        </w:rPr>
      </w:pPr>
      <w:r>
        <w:rPr>
          <w:rFonts w:hint="eastAsia" w:ascii="仿宋" w:hAnsi="仿宋"/>
          <w:szCs w:val="28"/>
        </w:rPr>
        <w:t>2、街道办事处主要职能</w:t>
      </w:r>
    </w:p>
    <w:p>
      <w:pPr>
        <w:ind w:firstLine="601" w:firstLineChars="0"/>
        <w:rPr>
          <w:rFonts w:hint="eastAsia" w:ascii="仿宋" w:hAnsi="仿宋"/>
          <w:szCs w:val="28"/>
        </w:rPr>
      </w:pPr>
      <w:r>
        <w:rPr>
          <w:rFonts w:hint="eastAsia" w:ascii="仿宋" w:hAnsi="仿宋"/>
          <w:szCs w:val="28"/>
        </w:rPr>
        <w:t>（1）在开发区党工委、管委会的领导下，贯彻执行党路线、方针、政策和国家的各项法律、法规；负责街辖区内的地区性、群众性、公益性、社会性工作。</w:t>
      </w:r>
    </w:p>
    <w:p>
      <w:pPr>
        <w:ind w:firstLine="601" w:firstLineChars="0"/>
        <w:rPr>
          <w:rFonts w:hint="eastAsia" w:ascii="仿宋" w:hAnsi="仿宋"/>
          <w:szCs w:val="28"/>
        </w:rPr>
      </w:pPr>
      <w:r>
        <w:rPr>
          <w:rFonts w:hint="eastAsia" w:ascii="仿宋" w:hAnsi="仿宋"/>
          <w:szCs w:val="28"/>
        </w:rPr>
        <w:t>（2）负责精神文明建设工作，积极组织以提高市民质素为目的的活动，树立文明新风。</w:t>
      </w:r>
    </w:p>
    <w:p>
      <w:pPr>
        <w:ind w:firstLine="601" w:firstLineChars="0"/>
        <w:rPr>
          <w:rFonts w:hint="eastAsia" w:ascii="仿宋" w:hAnsi="仿宋"/>
          <w:szCs w:val="28"/>
        </w:rPr>
      </w:pPr>
      <w:r>
        <w:rPr>
          <w:rFonts w:hint="eastAsia" w:ascii="仿宋" w:hAnsi="仿宋"/>
          <w:szCs w:val="28"/>
        </w:rPr>
        <w:t>（3）按照职责范围，负责街辖区内的城市管理、市容环境卫生、环境保护等监督、管理、服务工作。</w:t>
      </w:r>
    </w:p>
    <w:p>
      <w:pPr>
        <w:ind w:firstLine="601" w:firstLineChars="0"/>
        <w:rPr>
          <w:rFonts w:hint="eastAsia" w:ascii="仿宋" w:hAnsi="仿宋"/>
          <w:szCs w:val="28"/>
        </w:rPr>
      </w:pPr>
      <w:r>
        <w:rPr>
          <w:rFonts w:hint="eastAsia" w:ascii="仿宋" w:hAnsi="仿宋"/>
          <w:szCs w:val="28"/>
        </w:rPr>
        <w:t>（4）负责街辖区内的维护稳定及社会治安综合治理工作，依照有关规定做好出租屋和外来暂住人员的管理工作；负责民事调解，法律服务工作，维护居民的合法权益。</w:t>
      </w:r>
    </w:p>
    <w:p>
      <w:pPr>
        <w:ind w:firstLine="601" w:firstLineChars="0"/>
        <w:rPr>
          <w:rFonts w:hint="eastAsia" w:ascii="仿宋" w:hAnsi="仿宋"/>
          <w:szCs w:val="28"/>
        </w:rPr>
      </w:pPr>
      <w:r>
        <w:rPr>
          <w:rFonts w:hint="eastAsia" w:ascii="仿宋" w:hAnsi="仿宋"/>
          <w:szCs w:val="28"/>
        </w:rPr>
        <w:t>（5）负责社区建设和管理，积极开展社区服务工作，大力兴办社区福利事业，发动和组织社区成员开展各类社区公益活动；负责拥军优属、优抚安置、社会救济、社会福利、社区文化、科普、体育、教育等工作。</w:t>
      </w:r>
    </w:p>
    <w:p>
      <w:pPr>
        <w:ind w:firstLine="601" w:firstLineChars="0"/>
        <w:rPr>
          <w:rFonts w:hint="eastAsia" w:ascii="仿宋" w:hAnsi="仿宋"/>
          <w:szCs w:val="28"/>
        </w:rPr>
      </w:pPr>
      <w:r>
        <w:rPr>
          <w:rFonts w:hint="eastAsia" w:ascii="仿宋" w:hAnsi="仿宋"/>
          <w:szCs w:val="28"/>
        </w:rPr>
        <w:t>（6）发展街道经济，管理街道自有国有资产和集体资产，为街道经济组织提供人才、科技、信息和各种服务，以经济、法律和必要的行政手段推动街道经济发展和维护市场经济秩序。</w:t>
      </w:r>
    </w:p>
    <w:p>
      <w:pPr>
        <w:ind w:firstLine="601" w:firstLineChars="0"/>
        <w:rPr>
          <w:rFonts w:hint="eastAsia" w:ascii="仿宋" w:hAnsi="仿宋"/>
          <w:szCs w:val="28"/>
        </w:rPr>
      </w:pPr>
      <w:r>
        <w:rPr>
          <w:rFonts w:hint="eastAsia" w:ascii="仿宋" w:hAnsi="仿宋"/>
          <w:szCs w:val="28"/>
        </w:rPr>
        <w:t>（7）负责计划生育、劳动就业、安全生产管理、初级卫生保健、民兵、兵役、侨务等工作；尊重少数民族的风俗习惯，保障少数民族的权益。</w:t>
      </w:r>
    </w:p>
    <w:p>
      <w:pPr>
        <w:ind w:firstLine="601" w:firstLineChars="0"/>
        <w:rPr>
          <w:rFonts w:hint="eastAsia" w:ascii="仿宋" w:hAnsi="仿宋"/>
          <w:szCs w:val="28"/>
        </w:rPr>
      </w:pPr>
      <w:r>
        <w:rPr>
          <w:rFonts w:hint="eastAsia" w:ascii="仿宋" w:hAnsi="仿宋"/>
          <w:szCs w:val="28"/>
        </w:rPr>
        <w:t>（8）指导和帮助居民委员会搞好组织建设和制度建设，发挥居委会的群众自治组织作用。</w:t>
      </w:r>
    </w:p>
    <w:p>
      <w:pPr>
        <w:ind w:firstLine="601" w:firstLineChars="0"/>
        <w:rPr>
          <w:rFonts w:hint="eastAsia" w:ascii="仿宋" w:hAnsi="仿宋"/>
          <w:szCs w:val="28"/>
        </w:rPr>
      </w:pPr>
      <w:r>
        <w:rPr>
          <w:rFonts w:hint="eastAsia" w:ascii="仿宋" w:hAnsi="仿宋"/>
          <w:szCs w:val="28"/>
        </w:rPr>
        <w:t>（9）配合有关部门做好防汛、防风、防火、防震、防灾和抢险工作。</w:t>
      </w:r>
    </w:p>
    <w:p>
      <w:pPr>
        <w:ind w:firstLine="601" w:firstLineChars="0"/>
        <w:rPr>
          <w:rFonts w:hint="eastAsia" w:ascii="仿宋" w:hAnsi="仿宋"/>
          <w:szCs w:val="28"/>
        </w:rPr>
      </w:pPr>
      <w:r>
        <w:rPr>
          <w:rFonts w:hint="eastAsia" w:ascii="仿宋" w:hAnsi="仿宋"/>
          <w:szCs w:val="28"/>
        </w:rPr>
        <w:t>（10）向开发区反映居民群众的意见和要求，办理人民群众来信来访事项。</w:t>
      </w:r>
    </w:p>
    <w:p>
      <w:pPr>
        <w:ind w:firstLine="601" w:firstLineChars="0"/>
        <w:rPr>
          <w:rFonts w:ascii="仿宋" w:hAnsi="仿宋"/>
          <w:szCs w:val="28"/>
        </w:rPr>
      </w:pPr>
      <w:r>
        <w:rPr>
          <w:rFonts w:hint="eastAsia" w:ascii="仿宋" w:hAnsi="仿宋"/>
          <w:szCs w:val="28"/>
        </w:rPr>
        <w:t>（11）承办开发区党工委、管委会和上级部门交办的其他事项。</w:t>
      </w:r>
    </w:p>
    <w:p>
      <w:pPr>
        <w:ind w:left="560" w:firstLine="0" w:firstLineChars="0"/>
        <w:outlineLvl w:val="2"/>
        <w:rPr>
          <w:rFonts w:ascii="仿宋" w:hAnsi="仿宋"/>
          <w:szCs w:val="28"/>
        </w:rPr>
      </w:pPr>
      <w:r>
        <w:rPr>
          <w:rFonts w:hint="eastAsia" w:ascii="仿宋" w:hAnsi="仿宋"/>
          <w:szCs w:val="28"/>
        </w:rPr>
        <w:t>3、预算安排</w:t>
      </w:r>
    </w:p>
    <w:p>
      <w:pPr>
        <w:ind w:firstLine="560"/>
        <w:rPr>
          <w:rFonts w:ascii="仿宋" w:hAnsi="仿宋"/>
          <w:szCs w:val="28"/>
        </w:rPr>
      </w:pPr>
      <w:r>
        <w:rPr>
          <w:rFonts w:hint="eastAsia" w:ascii="仿宋" w:hAnsi="仿宋"/>
          <w:szCs w:val="28"/>
        </w:rPr>
        <w:t>依据龙泉街道办事处编制的《武汉东湖新技术开发区龙泉街道办事处2017年部门预算编制说明》，2017年度部门整体支出6,585万元。主要包括：工资福利支出2,722.67万元、对个人和家庭的补助915.79万元、商品和服务支出435.32万元、项目支出2,511.22万元。</w:t>
      </w:r>
    </w:p>
    <w:p>
      <w:pPr>
        <w:pStyle w:val="3"/>
        <w:numPr>
          <w:ilvl w:val="0"/>
          <w:numId w:val="4"/>
        </w:numPr>
        <w:spacing w:before="156"/>
        <w:ind w:firstLineChars="0"/>
        <w:rPr>
          <w:b w:val="0"/>
        </w:rPr>
      </w:pPr>
      <w:bookmarkStart w:id="5" w:name="_Toc523346022"/>
      <w:r>
        <w:rPr>
          <w:rFonts w:hint="eastAsia"/>
          <w:b w:val="0"/>
        </w:rPr>
        <w:t>部门整体支出预算绩效目标</w:t>
      </w:r>
      <w:bookmarkEnd w:id="5"/>
    </w:p>
    <w:p>
      <w:pPr>
        <w:ind w:firstLine="560" w:firstLineChars="0"/>
        <w:rPr>
          <w:rFonts w:ascii="仿宋" w:hAnsi="仿宋"/>
          <w:szCs w:val="28"/>
        </w:rPr>
      </w:pPr>
      <w:r>
        <w:rPr>
          <w:rFonts w:hint="eastAsia" w:ascii="仿宋" w:hAnsi="仿宋"/>
          <w:szCs w:val="28"/>
        </w:rPr>
        <w:t>年度绩效目标包括产出指标和效果指标，产出指标主要为产出数量指标、产出质量指标；效果指标包括经济效益、社会效益、、环境效益、可持续影响和满意度指标。</w:t>
      </w:r>
    </w:p>
    <w:p>
      <w:pPr>
        <w:pStyle w:val="20"/>
        <w:numPr>
          <w:ilvl w:val="0"/>
          <w:numId w:val="5"/>
        </w:numPr>
        <w:ind w:firstLineChars="0"/>
        <w:rPr>
          <w:rFonts w:ascii="仿宋" w:hAnsi="仿宋"/>
          <w:szCs w:val="28"/>
        </w:rPr>
      </w:pPr>
      <w:r>
        <w:rPr>
          <w:rFonts w:hint="eastAsia" w:ascii="仿宋" w:hAnsi="仿宋"/>
          <w:szCs w:val="28"/>
        </w:rPr>
        <w:t>产出目标</w:t>
      </w:r>
    </w:p>
    <w:p>
      <w:pPr>
        <w:ind w:firstLine="560"/>
        <w:rPr>
          <w:rFonts w:ascii="仿宋" w:hAnsi="仿宋"/>
          <w:szCs w:val="28"/>
        </w:rPr>
      </w:pPr>
      <w:r>
        <w:rPr>
          <w:rFonts w:hint="eastAsia" w:ascii="仿宋" w:hAnsi="仿宋"/>
          <w:szCs w:val="28"/>
        </w:rPr>
        <w:t>根据年度申报表及预算，2017年度达到以下工作目标：人员及经费保障130人，有效管理街道1个社区与13个村，主要工作完成：发展党员20人，处理违纪35人；完成征收集体土地3,095.64亩，拆迁总面积18.56万方；发放民政保障补贴1,000.00万元；加大新农合宣传力度，参合率达到99%以上；安置下岗失业人数35人，新增就业人数495人；全年接待群众来访60批次以上，解决16个信访问题；组织街道文体活动28场。</w:t>
      </w:r>
    </w:p>
    <w:p>
      <w:pPr>
        <w:pStyle w:val="20"/>
        <w:numPr>
          <w:ilvl w:val="0"/>
          <w:numId w:val="5"/>
        </w:numPr>
        <w:ind w:firstLineChars="0"/>
        <w:rPr>
          <w:rFonts w:ascii="仿宋" w:hAnsi="仿宋"/>
          <w:szCs w:val="28"/>
        </w:rPr>
      </w:pPr>
      <w:r>
        <w:rPr>
          <w:rFonts w:hint="eastAsia" w:ascii="仿宋" w:hAnsi="仿宋"/>
          <w:szCs w:val="28"/>
        </w:rPr>
        <w:t>效果目标</w:t>
      </w:r>
    </w:p>
    <w:p>
      <w:pPr>
        <w:ind w:firstLine="560"/>
        <w:rPr>
          <w:rFonts w:ascii="仿宋" w:hAnsi="仿宋"/>
          <w:szCs w:val="28"/>
        </w:rPr>
      </w:pPr>
      <w:r>
        <w:rPr>
          <w:rFonts w:hint="eastAsia" w:ascii="仿宋" w:hAnsi="仿宋"/>
          <w:szCs w:val="28"/>
        </w:rPr>
        <w:t>建成108个门面、约5,000平方米的商业综合体并投入使用，促进经济发展，增加居民收入，改善和保障民生，加强社会管理工作，维护社会稳定，处置侵占湖泊保护蓝线违章建筑400平方米，制止违法填湖现象10次。</w:t>
      </w:r>
    </w:p>
    <w:p>
      <w:pPr>
        <w:pStyle w:val="3"/>
        <w:numPr>
          <w:ilvl w:val="0"/>
          <w:numId w:val="4"/>
        </w:numPr>
        <w:spacing w:before="156"/>
        <w:ind w:firstLineChars="0"/>
        <w:rPr>
          <w:b w:val="0"/>
        </w:rPr>
      </w:pPr>
      <w:bookmarkStart w:id="6" w:name="_Toc523346023"/>
      <w:r>
        <w:rPr>
          <w:rFonts w:hint="eastAsia"/>
          <w:b w:val="0"/>
        </w:rPr>
        <w:t>部门整体支出情况</w:t>
      </w:r>
      <w:bookmarkEnd w:id="6"/>
    </w:p>
    <w:p>
      <w:pPr>
        <w:pStyle w:val="20"/>
        <w:numPr>
          <w:ilvl w:val="0"/>
          <w:numId w:val="6"/>
        </w:numPr>
        <w:ind w:left="981" w:firstLineChars="0"/>
        <w:outlineLvl w:val="2"/>
        <w:rPr>
          <w:rFonts w:ascii="仿宋" w:hAnsi="仿宋"/>
          <w:szCs w:val="28"/>
        </w:rPr>
      </w:pPr>
      <w:bookmarkStart w:id="7" w:name="_Toc395444367"/>
      <w:r>
        <w:rPr>
          <w:rFonts w:hint="eastAsia" w:ascii="仿宋" w:hAnsi="仿宋"/>
          <w:szCs w:val="28"/>
        </w:rPr>
        <w:t>支出规模和结构</w:t>
      </w:r>
    </w:p>
    <w:p>
      <w:pPr>
        <w:ind w:firstLine="560"/>
        <w:rPr>
          <w:rFonts w:ascii="仿宋" w:hAnsi="仿宋"/>
          <w:szCs w:val="28"/>
        </w:rPr>
      </w:pPr>
      <w:r>
        <w:rPr>
          <w:rFonts w:hint="eastAsia" w:ascii="仿宋" w:hAnsi="仿宋"/>
          <w:szCs w:val="28"/>
        </w:rPr>
        <w:t>龙泉街道办事处2017年预算总收入为10,026.55万元，支出决算为10,001.91万元，结转下年资金24.64万元（单位往来资金）。与2016年度相比，支出决算增长758.56万元，增幅为8.21%，增长原因主要为人员经费增长，人均收入提高：</w:t>
      </w:r>
    </w:p>
    <w:tbl>
      <w:tblPr>
        <w:tblStyle w:val="12"/>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990"/>
        <w:gridCol w:w="1966"/>
        <w:gridCol w:w="2427"/>
        <w:gridCol w:w="19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4" w:hRule="exact"/>
        </w:trPr>
        <w:tc>
          <w:tcPr>
            <w:tcW w:w="1196" w:type="pct"/>
            <w:shd w:val="clear" w:color="auto" w:fill="auto"/>
            <w:vAlign w:val="center"/>
          </w:tcPr>
          <w:p>
            <w:pPr>
              <w:spacing w:line="240" w:lineRule="auto"/>
              <w:ind w:firstLine="180" w:firstLineChars="100"/>
              <w:jc w:val="center"/>
              <w:rPr>
                <w:rFonts w:ascii="仿宋" w:hAnsi="仿宋" w:cs="宋体"/>
                <w:color w:val="000000"/>
                <w:sz w:val="18"/>
                <w:szCs w:val="18"/>
              </w:rPr>
            </w:pPr>
            <w:r>
              <w:rPr>
                <w:rFonts w:hint="eastAsia" w:ascii="仿宋" w:hAnsi="仿宋" w:cs="宋体"/>
                <w:color w:val="000000"/>
                <w:sz w:val="18"/>
                <w:szCs w:val="18"/>
              </w:rPr>
              <w:t>项目(按功能分类)</w:t>
            </w:r>
          </w:p>
        </w:tc>
        <w:tc>
          <w:tcPr>
            <w:tcW w:w="1182" w:type="pct"/>
            <w:shd w:val="clear" w:color="auto" w:fill="auto"/>
            <w:vAlign w:val="center"/>
          </w:tcPr>
          <w:p>
            <w:pPr>
              <w:spacing w:line="240" w:lineRule="auto"/>
              <w:ind w:firstLine="540" w:firstLineChars="300"/>
              <w:jc w:val="center"/>
              <w:rPr>
                <w:rFonts w:ascii="仿宋" w:hAnsi="仿宋" w:cs="宋体"/>
                <w:color w:val="000000"/>
                <w:sz w:val="18"/>
                <w:szCs w:val="18"/>
              </w:rPr>
            </w:pPr>
            <w:r>
              <w:rPr>
                <w:rFonts w:hint="eastAsia" w:ascii="仿宋" w:hAnsi="仿宋" w:cs="宋体"/>
                <w:color w:val="000000"/>
                <w:sz w:val="18"/>
                <w:szCs w:val="18"/>
              </w:rPr>
              <w:t>决算数</w:t>
            </w:r>
          </w:p>
        </w:tc>
        <w:tc>
          <w:tcPr>
            <w:tcW w:w="1459" w:type="pct"/>
            <w:shd w:val="clear" w:color="auto" w:fill="auto"/>
            <w:vAlign w:val="center"/>
          </w:tcPr>
          <w:p>
            <w:pPr>
              <w:spacing w:line="240" w:lineRule="auto"/>
              <w:ind w:firstLine="0" w:firstLineChars="0"/>
              <w:jc w:val="center"/>
              <w:rPr>
                <w:rFonts w:ascii="仿宋" w:hAnsi="仿宋" w:cs="宋体"/>
                <w:color w:val="000000"/>
                <w:sz w:val="18"/>
                <w:szCs w:val="18"/>
              </w:rPr>
            </w:pPr>
            <w:r>
              <w:rPr>
                <w:rFonts w:hint="eastAsia" w:ascii="仿宋" w:hAnsi="仿宋" w:cs="宋体"/>
                <w:color w:val="000000"/>
                <w:sz w:val="18"/>
                <w:szCs w:val="18"/>
              </w:rPr>
              <w:t>项目（按支出经济分类）</w:t>
            </w:r>
          </w:p>
        </w:tc>
        <w:tc>
          <w:tcPr>
            <w:tcW w:w="1162" w:type="pct"/>
            <w:shd w:val="clear" w:color="auto" w:fill="auto"/>
            <w:vAlign w:val="center"/>
          </w:tcPr>
          <w:p>
            <w:pPr>
              <w:spacing w:line="240" w:lineRule="auto"/>
              <w:ind w:firstLine="720" w:firstLineChars="400"/>
              <w:jc w:val="center"/>
              <w:rPr>
                <w:rFonts w:ascii="仿宋" w:hAnsi="仿宋" w:cs="宋体"/>
                <w:color w:val="000000"/>
                <w:sz w:val="18"/>
                <w:szCs w:val="18"/>
              </w:rPr>
            </w:pPr>
            <w:r>
              <w:rPr>
                <w:rFonts w:hint="eastAsia" w:ascii="仿宋" w:hAnsi="仿宋" w:cs="宋体"/>
                <w:color w:val="000000"/>
                <w:sz w:val="18"/>
                <w:szCs w:val="18"/>
              </w:rPr>
              <w:t>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exact"/>
        </w:trPr>
        <w:tc>
          <w:tcPr>
            <w:tcW w:w="1196" w:type="pct"/>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一般公共服务支出</w:t>
            </w:r>
          </w:p>
        </w:tc>
        <w:tc>
          <w:tcPr>
            <w:tcW w:w="1182" w:type="pct"/>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61,693,788.92</w:t>
            </w:r>
          </w:p>
        </w:tc>
        <w:tc>
          <w:tcPr>
            <w:tcW w:w="1459" w:type="pct"/>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工资福利支出</w:t>
            </w:r>
          </w:p>
        </w:tc>
        <w:tc>
          <w:tcPr>
            <w:tcW w:w="1162" w:type="pct"/>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47,642,612.24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exact"/>
        </w:trPr>
        <w:tc>
          <w:tcPr>
            <w:tcW w:w="1196" w:type="pct"/>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外交支出</w:t>
            </w:r>
          </w:p>
        </w:tc>
        <w:tc>
          <w:tcPr>
            <w:tcW w:w="1182" w:type="pct"/>
            <w:shd w:val="clear" w:color="auto" w:fill="auto"/>
            <w:vAlign w:val="center"/>
          </w:tcPr>
          <w:p>
            <w:pPr>
              <w:spacing w:line="240" w:lineRule="auto"/>
              <w:ind w:firstLine="360"/>
              <w:jc w:val="center"/>
              <w:rPr>
                <w:rFonts w:ascii="仿宋" w:hAnsi="仿宋" w:cs="宋体"/>
                <w:color w:val="000000"/>
                <w:sz w:val="18"/>
                <w:szCs w:val="18"/>
              </w:rPr>
            </w:pPr>
          </w:p>
        </w:tc>
        <w:tc>
          <w:tcPr>
            <w:tcW w:w="1459" w:type="pct"/>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商品和服务支出</w:t>
            </w:r>
          </w:p>
        </w:tc>
        <w:tc>
          <w:tcPr>
            <w:tcW w:w="1162" w:type="pct"/>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26,608,529.90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exact"/>
        </w:trPr>
        <w:tc>
          <w:tcPr>
            <w:tcW w:w="1196" w:type="pct"/>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国防支出</w:t>
            </w:r>
          </w:p>
        </w:tc>
        <w:tc>
          <w:tcPr>
            <w:tcW w:w="1182" w:type="pct"/>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80,000.00</w:t>
            </w:r>
          </w:p>
        </w:tc>
        <w:tc>
          <w:tcPr>
            <w:tcW w:w="1459" w:type="pct"/>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对个人和家庭的补助</w:t>
            </w:r>
          </w:p>
        </w:tc>
        <w:tc>
          <w:tcPr>
            <w:tcW w:w="1162" w:type="pct"/>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21,994,512.92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exact"/>
        </w:trPr>
        <w:tc>
          <w:tcPr>
            <w:tcW w:w="1196" w:type="pct"/>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公共安全支出</w:t>
            </w:r>
          </w:p>
        </w:tc>
        <w:tc>
          <w:tcPr>
            <w:tcW w:w="1182" w:type="pct"/>
            <w:shd w:val="clear" w:color="auto" w:fill="auto"/>
            <w:vAlign w:val="center"/>
          </w:tcPr>
          <w:p>
            <w:pPr>
              <w:spacing w:line="240" w:lineRule="auto"/>
              <w:ind w:firstLine="360"/>
              <w:jc w:val="center"/>
              <w:rPr>
                <w:rFonts w:ascii="仿宋" w:hAnsi="仿宋" w:cs="宋体"/>
                <w:color w:val="000000"/>
                <w:sz w:val="18"/>
                <w:szCs w:val="18"/>
              </w:rPr>
            </w:pPr>
          </w:p>
        </w:tc>
        <w:tc>
          <w:tcPr>
            <w:tcW w:w="1459" w:type="pct"/>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基本建设支出</w:t>
            </w:r>
          </w:p>
        </w:tc>
        <w:tc>
          <w:tcPr>
            <w:tcW w:w="1162" w:type="pct"/>
            <w:shd w:val="clear" w:color="auto" w:fill="auto"/>
            <w:vAlign w:val="center"/>
          </w:tcPr>
          <w:p>
            <w:pPr>
              <w:spacing w:line="240" w:lineRule="auto"/>
              <w:ind w:firstLine="360"/>
              <w:jc w:val="center"/>
              <w:rPr>
                <w:rFonts w:ascii="仿宋" w:hAnsi="仿宋" w:cs="宋体"/>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exact"/>
        </w:trPr>
        <w:tc>
          <w:tcPr>
            <w:tcW w:w="1196" w:type="pct"/>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教育支出</w:t>
            </w:r>
          </w:p>
        </w:tc>
        <w:tc>
          <w:tcPr>
            <w:tcW w:w="1182" w:type="pct"/>
            <w:shd w:val="clear" w:color="auto" w:fill="auto"/>
            <w:vAlign w:val="center"/>
          </w:tcPr>
          <w:p>
            <w:pPr>
              <w:spacing w:line="240" w:lineRule="auto"/>
              <w:ind w:firstLine="360"/>
              <w:jc w:val="center"/>
              <w:rPr>
                <w:rFonts w:ascii="仿宋" w:hAnsi="仿宋" w:cs="宋体"/>
                <w:color w:val="000000"/>
                <w:sz w:val="18"/>
                <w:szCs w:val="18"/>
              </w:rPr>
            </w:pPr>
          </w:p>
        </w:tc>
        <w:tc>
          <w:tcPr>
            <w:tcW w:w="1459" w:type="pct"/>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其他资本性支出</w:t>
            </w:r>
          </w:p>
        </w:tc>
        <w:tc>
          <w:tcPr>
            <w:tcW w:w="1162" w:type="pct"/>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3,773,396.89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exact"/>
        </w:trPr>
        <w:tc>
          <w:tcPr>
            <w:tcW w:w="1196" w:type="pct"/>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科学技术支出</w:t>
            </w:r>
          </w:p>
        </w:tc>
        <w:tc>
          <w:tcPr>
            <w:tcW w:w="1182" w:type="pct"/>
            <w:shd w:val="clear" w:color="auto" w:fill="auto"/>
            <w:vAlign w:val="center"/>
          </w:tcPr>
          <w:p>
            <w:pPr>
              <w:spacing w:line="240" w:lineRule="auto"/>
              <w:ind w:firstLine="360"/>
              <w:jc w:val="center"/>
              <w:rPr>
                <w:rFonts w:ascii="仿宋" w:hAnsi="仿宋" w:cs="宋体"/>
                <w:color w:val="000000"/>
                <w:sz w:val="18"/>
                <w:szCs w:val="18"/>
              </w:rPr>
            </w:pPr>
          </w:p>
        </w:tc>
        <w:tc>
          <w:tcPr>
            <w:tcW w:w="1459" w:type="pct"/>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对企事业单位的补贴</w:t>
            </w:r>
          </w:p>
        </w:tc>
        <w:tc>
          <w:tcPr>
            <w:tcW w:w="1162" w:type="pct"/>
            <w:shd w:val="clear" w:color="auto" w:fill="auto"/>
            <w:vAlign w:val="center"/>
          </w:tcPr>
          <w:p>
            <w:pPr>
              <w:spacing w:line="240" w:lineRule="auto"/>
              <w:ind w:firstLine="360"/>
              <w:jc w:val="center"/>
              <w:rPr>
                <w:rFonts w:ascii="仿宋" w:hAnsi="仿宋" w:cs="宋体"/>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exact"/>
        </w:trPr>
        <w:tc>
          <w:tcPr>
            <w:tcW w:w="1196" w:type="pct"/>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文化体育与传媒支出</w:t>
            </w:r>
          </w:p>
        </w:tc>
        <w:tc>
          <w:tcPr>
            <w:tcW w:w="1182" w:type="pct"/>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1,637,794.00</w:t>
            </w:r>
          </w:p>
        </w:tc>
        <w:tc>
          <w:tcPr>
            <w:tcW w:w="1459" w:type="pct"/>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债务利息支出</w:t>
            </w:r>
          </w:p>
        </w:tc>
        <w:tc>
          <w:tcPr>
            <w:tcW w:w="1162" w:type="pct"/>
            <w:shd w:val="clear" w:color="auto" w:fill="auto"/>
            <w:vAlign w:val="center"/>
          </w:tcPr>
          <w:p>
            <w:pPr>
              <w:spacing w:line="240" w:lineRule="auto"/>
              <w:ind w:firstLine="360"/>
              <w:jc w:val="center"/>
              <w:rPr>
                <w:rFonts w:ascii="仿宋" w:hAnsi="仿宋" w:cs="宋体"/>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exact"/>
        </w:trPr>
        <w:tc>
          <w:tcPr>
            <w:tcW w:w="1196" w:type="pct"/>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社会保障和就业支出</w:t>
            </w:r>
          </w:p>
        </w:tc>
        <w:tc>
          <w:tcPr>
            <w:tcW w:w="1182" w:type="pct"/>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13,856,862.92</w:t>
            </w:r>
          </w:p>
        </w:tc>
        <w:tc>
          <w:tcPr>
            <w:tcW w:w="1459" w:type="pct"/>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其他支出</w:t>
            </w:r>
          </w:p>
        </w:tc>
        <w:tc>
          <w:tcPr>
            <w:tcW w:w="1162" w:type="pct"/>
            <w:shd w:val="clear" w:color="auto" w:fill="auto"/>
            <w:vAlign w:val="center"/>
          </w:tcPr>
          <w:p>
            <w:pPr>
              <w:spacing w:line="240" w:lineRule="auto"/>
              <w:ind w:firstLine="360"/>
              <w:jc w:val="center"/>
              <w:rPr>
                <w:rFonts w:ascii="仿宋" w:hAnsi="仿宋" w:cs="宋体"/>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exact"/>
        </w:trPr>
        <w:tc>
          <w:tcPr>
            <w:tcW w:w="1196" w:type="pct"/>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医疗卫生与计划生育支出</w:t>
            </w:r>
          </w:p>
        </w:tc>
        <w:tc>
          <w:tcPr>
            <w:tcW w:w="1182" w:type="pct"/>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1,459,079.30</w:t>
            </w:r>
          </w:p>
        </w:tc>
        <w:tc>
          <w:tcPr>
            <w:tcW w:w="1459" w:type="pct"/>
            <w:shd w:val="clear" w:color="auto" w:fill="auto"/>
            <w:vAlign w:val="center"/>
          </w:tcPr>
          <w:p>
            <w:pPr>
              <w:spacing w:line="240" w:lineRule="auto"/>
              <w:ind w:firstLine="360"/>
              <w:jc w:val="center"/>
              <w:rPr>
                <w:rFonts w:ascii="仿宋" w:hAnsi="仿宋" w:cs="宋体"/>
                <w:color w:val="000000"/>
                <w:sz w:val="18"/>
                <w:szCs w:val="18"/>
              </w:rPr>
            </w:pPr>
          </w:p>
        </w:tc>
        <w:tc>
          <w:tcPr>
            <w:tcW w:w="1162" w:type="pct"/>
            <w:shd w:val="clear" w:color="auto" w:fill="auto"/>
            <w:vAlign w:val="center"/>
          </w:tcPr>
          <w:p>
            <w:pPr>
              <w:spacing w:line="240" w:lineRule="auto"/>
              <w:ind w:firstLine="360"/>
              <w:jc w:val="center"/>
              <w:rPr>
                <w:rFonts w:ascii="仿宋" w:hAnsi="仿宋" w:cs="宋体"/>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exact"/>
        </w:trPr>
        <w:tc>
          <w:tcPr>
            <w:tcW w:w="1196" w:type="pct"/>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节能环保支出</w:t>
            </w:r>
          </w:p>
        </w:tc>
        <w:tc>
          <w:tcPr>
            <w:tcW w:w="1182" w:type="pct"/>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115,240.00</w:t>
            </w:r>
          </w:p>
        </w:tc>
        <w:tc>
          <w:tcPr>
            <w:tcW w:w="1459" w:type="pct"/>
            <w:shd w:val="clear" w:color="auto" w:fill="auto"/>
            <w:vAlign w:val="center"/>
          </w:tcPr>
          <w:p>
            <w:pPr>
              <w:spacing w:line="240" w:lineRule="auto"/>
              <w:ind w:firstLine="360"/>
              <w:jc w:val="center"/>
              <w:rPr>
                <w:rFonts w:ascii="仿宋" w:hAnsi="仿宋" w:cs="宋体"/>
                <w:color w:val="000000"/>
                <w:sz w:val="18"/>
                <w:szCs w:val="18"/>
              </w:rPr>
            </w:pPr>
          </w:p>
        </w:tc>
        <w:tc>
          <w:tcPr>
            <w:tcW w:w="1162" w:type="pct"/>
            <w:shd w:val="clear" w:color="auto" w:fill="auto"/>
            <w:vAlign w:val="center"/>
          </w:tcPr>
          <w:p>
            <w:pPr>
              <w:spacing w:line="240" w:lineRule="auto"/>
              <w:ind w:firstLine="360"/>
              <w:jc w:val="center"/>
              <w:rPr>
                <w:rFonts w:ascii="仿宋" w:hAnsi="仿宋" w:cs="宋体"/>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exact"/>
        </w:trPr>
        <w:tc>
          <w:tcPr>
            <w:tcW w:w="1196" w:type="pct"/>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城乡社区支出</w:t>
            </w:r>
          </w:p>
        </w:tc>
        <w:tc>
          <w:tcPr>
            <w:tcW w:w="1182" w:type="pct"/>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4,846,494.67</w:t>
            </w:r>
          </w:p>
        </w:tc>
        <w:tc>
          <w:tcPr>
            <w:tcW w:w="1459" w:type="pct"/>
            <w:shd w:val="clear" w:color="auto" w:fill="auto"/>
            <w:vAlign w:val="center"/>
          </w:tcPr>
          <w:p>
            <w:pPr>
              <w:spacing w:line="240" w:lineRule="auto"/>
              <w:ind w:firstLine="360"/>
              <w:jc w:val="center"/>
              <w:rPr>
                <w:rFonts w:ascii="仿宋" w:hAnsi="仿宋" w:cs="宋体"/>
                <w:color w:val="000000"/>
                <w:sz w:val="18"/>
                <w:szCs w:val="18"/>
              </w:rPr>
            </w:pPr>
          </w:p>
        </w:tc>
        <w:tc>
          <w:tcPr>
            <w:tcW w:w="1162" w:type="pct"/>
            <w:shd w:val="clear" w:color="auto" w:fill="auto"/>
            <w:vAlign w:val="center"/>
          </w:tcPr>
          <w:p>
            <w:pPr>
              <w:spacing w:line="240" w:lineRule="auto"/>
              <w:ind w:firstLine="360"/>
              <w:jc w:val="center"/>
              <w:rPr>
                <w:rFonts w:ascii="仿宋" w:hAnsi="仿宋" w:cs="宋体"/>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exact"/>
        </w:trPr>
        <w:tc>
          <w:tcPr>
            <w:tcW w:w="1196" w:type="pct"/>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农林水支出</w:t>
            </w:r>
          </w:p>
        </w:tc>
        <w:tc>
          <w:tcPr>
            <w:tcW w:w="1182" w:type="pct"/>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12,464,692.14</w:t>
            </w:r>
          </w:p>
        </w:tc>
        <w:tc>
          <w:tcPr>
            <w:tcW w:w="1459" w:type="pct"/>
            <w:shd w:val="clear" w:color="auto" w:fill="auto"/>
            <w:vAlign w:val="center"/>
          </w:tcPr>
          <w:p>
            <w:pPr>
              <w:spacing w:line="240" w:lineRule="auto"/>
              <w:ind w:firstLine="360"/>
              <w:jc w:val="center"/>
              <w:rPr>
                <w:rFonts w:ascii="仿宋" w:hAnsi="仿宋" w:cs="宋体"/>
                <w:color w:val="000000"/>
                <w:sz w:val="18"/>
                <w:szCs w:val="18"/>
              </w:rPr>
            </w:pPr>
          </w:p>
        </w:tc>
        <w:tc>
          <w:tcPr>
            <w:tcW w:w="1162" w:type="pct"/>
            <w:shd w:val="clear" w:color="auto" w:fill="auto"/>
            <w:vAlign w:val="center"/>
          </w:tcPr>
          <w:p>
            <w:pPr>
              <w:spacing w:line="240" w:lineRule="auto"/>
              <w:ind w:firstLine="360"/>
              <w:jc w:val="center"/>
              <w:rPr>
                <w:rFonts w:ascii="仿宋" w:hAnsi="仿宋" w:cs="宋体"/>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exact"/>
        </w:trPr>
        <w:tc>
          <w:tcPr>
            <w:tcW w:w="1196" w:type="pct"/>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交通运输支出</w:t>
            </w:r>
          </w:p>
        </w:tc>
        <w:tc>
          <w:tcPr>
            <w:tcW w:w="1182" w:type="pct"/>
            <w:shd w:val="clear" w:color="auto" w:fill="auto"/>
            <w:vAlign w:val="center"/>
          </w:tcPr>
          <w:p>
            <w:pPr>
              <w:spacing w:line="240" w:lineRule="auto"/>
              <w:ind w:firstLine="360"/>
              <w:jc w:val="center"/>
              <w:rPr>
                <w:rFonts w:ascii="仿宋" w:hAnsi="仿宋" w:cs="宋体"/>
                <w:color w:val="000000"/>
                <w:sz w:val="18"/>
                <w:szCs w:val="18"/>
              </w:rPr>
            </w:pPr>
          </w:p>
        </w:tc>
        <w:tc>
          <w:tcPr>
            <w:tcW w:w="1459" w:type="pct"/>
            <w:shd w:val="clear" w:color="auto" w:fill="auto"/>
            <w:vAlign w:val="center"/>
          </w:tcPr>
          <w:p>
            <w:pPr>
              <w:spacing w:line="240" w:lineRule="auto"/>
              <w:ind w:firstLine="360"/>
              <w:jc w:val="center"/>
              <w:rPr>
                <w:rFonts w:ascii="仿宋" w:hAnsi="仿宋" w:cs="宋体"/>
                <w:color w:val="000000"/>
                <w:sz w:val="18"/>
                <w:szCs w:val="18"/>
              </w:rPr>
            </w:pPr>
          </w:p>
        </w:tc>
        <w:tc>
          <w:tcPr>
            <w:tcW w:w="1162" w:type="pct"/>
            <w:shd w:val="clear" w:color="auto" w:fill="auto"/>
            <w:vAlign w:val="center"/>
          </w:tcPr>
          <w:p>
            <w:pPr>
              <w:spacing w:line="240" w:lineRule="auto"/>
              <w:ind w:firstLine="360"/>
              <w:jc w:val="center"/>
              <w:rPr>
                <w:rFonts w:ascii="仿宋" w:hAnsi="仿宋" w:cs="宋体"/>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exact"/>
        </w:trPr>
        <w:tc>
          <w:tcPr>
            <w:tcW w:w="1196" w:type="pct"/>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资源勘探信息等支出</w:t>
            </w:r>
          </w:p>
        </w:tc>
        <w:tc>
          <w:tcPr>
            <w:tcW w:w="1182" w:type="pct"/>
            <w:shd w:val="clear" w:color="auto" w:fill="auto"/>
            <w:vAlign w:val="center"/>
          </w:tcPr>
          <w:p>
            <w:pPr>
              <w:spacing w:line="240" w:lineRule="auto"/>
              <w:ind w:firstLine="360"/>
              <w:jc w:val="center"/>
              <w:rPr>
                <w:rFonts w:ascii="仿宋" w:hAnsi="仿宋" w:cs="宋体"/>
                <w:color w:val="000000"/>
                <w:sz w:val="18"/>
                <w:szCs w:val="18"/>
              </w:rPr>
            </w:pPr>
          </w:p>
        </w:tc>
        <w:tc>
          <w:tcPr>
            <w:tcW w:w="1459" w:type="pct"/>
            <w:shd w:val="clear" w:color="auto" w:fill="auto"/>
            <w:vAlign w:val="center"/>
          </w:tcPr>
          <w:p>
            <w:pPr>
              <w:spacing w:line="240" w:lineRule="auto"/>
              <w:ind w:firstLine="360"/>
              <w:jc w:val="center"/>
              <w:rPr>
                <w:rFonts w:ascii="仿宋" w:hAnsi="仿宋" w:cs="宋体"/>
                <w:color w:val="000000"/>
                <w:sz w:val="18"/>
                <w:szCs w:val="18"/>
              </w:rPr>
            </w:pPr>
          </w:p>
        </w:tc>
        <w:tc>
          <w:tcPr>
            <w:tcW w:w="1162" w:type="pct"/>
            <w:shd w:val="clear" w:color="auto" w:fill="auto"/>
            <w:vAlign w:val="center"/>
          </w:tcPr>
          <w:p>
            <w:pPr>
              <w:spacing w:line="240" w:lineRule="auto"/>
              <w:ind w:firstLine="360"/>
              <w:jc w:val="center"/>
              <w:rPr>
                <w:rFonts w:ascii="仿宋" w:hAnsi="仿宋" w:cs="宋体"/>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exact"/>
        </w:trPr>
        <w:tc>
          <w:tcPr>
            <w:tcW w:w="1196" w:type="pct"/>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商业服务业等支出</w:t>
            </w:r>
          </w:p>
        </w:tc>
        <w:tc>
          <w:tcPr>
            <w:tcW w:w="1182" w:type="pct"/>
            <w:shd w:val="clear" w:color="auto" w:fill="auto"/>
            <w:vAlign w:val="center"/>
          </w:tcPr>
          <w:p>
            <w:pPr>
              <w:spacing w:line="240" w:lineRule="auto"/>
              <w:ind w:firstLine="360"/>
              <w:jc w:val="center"/>
              <w:rPr>
                <w:rFonts w:ascii="仿宋" w:hAnsi="仿宋" w:cs="宋体"/>
                <w:color w:val="000000"/>
                <w:sz w:val="18"/>
                <w:szCs w:val="18"/>
              </w:rPr>
            </w:pPr>
          </w:p>
        </w:tc>
        <w:tc>
          <w:tcPr>
            <w:tcW w:w="1459" w:type="pct"/>
            <w:shd w:val="clear" w:color="auto" w:fill="auto"/>
            <w:vAlign w:val="center"/>
          </w:tcPr>
          <w:p>
            <w:pPr>
              <w:spacing w:line="240" w:lineRule="auto"/>
              <w:ind w:firstLine="360"/>
              <w:jc w:val="center"/>
              <w:rPr>
                <w:rFonts w:ascii="仿宋" w:hAnsi="仿宋" w:cs="宋体"/>
                <w:color w:val="000000"/>
                <w:sz w:val="18"/>
                <w:szCs w:val="18"/>
              </w:rPr>
            </w:pPr>
          </w:p>
        </w:tc>
        <w:tc>
          <w:tcPr>
            <w:tcW w:w="1162" w:type="pct"/>
            <w:shd w:val="clear" w:color="auto" w:fill="auto"/>
            <w:vAlign w:val="center"/>
          </w:tcPr>
          <w:p>
            <w:pPr>
              <w:spacing w:line="240" w:lineRule="auto"/>
              <w:ind w:firstLine="360"/>
              <w:jc w:val="center"/>
              <w:rPr>
                <w:rFonts w:ascii="仿宋" w:hAnsi="仿宋" w:cs="宋体"/>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exact"/>
        </w:trPr>
        <w:tc>
          <w:tcPr>
            <w:tcW w:w="1196" w:type="pct"/>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金融支出</w:t>
            </w:r>
          </w:p>
        </w:tc>
        <w:tc>
          <w:tcPr>
            <w:tcW w:w="1182" w:type="pct"/>
            <w:shd w:val="clear" w:color="auto" w:fill="auto"/>
            <w:vAlign w:val="center"/>
          </w:tcPr>
          <w:p>
            <w:pPr>
              <w:spacing w:line="240" w:lineRule="auto"/>
              <w:ind w:firstLine="360"/>
              <w:jc w:val="center"/>
              <w:rPr>
                <w:rFonts w:ascii="仿宋" w:hAnsi="仿宋" w:cs="宋体"/>
                <w:color w:val="000000"/>
                <w:sz w:val="18"/>
                <w:szCs w:val="18"/>
              </w:rPr>
            </w:pPr>
          </w:p>
        </w:tc>
        <w:tc>
          <w:tcPr>
            <w:tcW w:w="1459" w:type="pct"/>
            <w:shd w:val="clear" w:color="auto" w:fill="auto"/>
            <w:vAlign w:val="center"/>
          </w:tcPr>
          <w:p>
            <w:pPr>
              <w:spacing w:line="240" w:lineRule="auto"/>
              <w:ind w:firstLine="360"/>
              <w:jc w:val="center"/>
              <w:rPr>
                <w:rFonts w:ascii="仿宋" w:hAnsi="仿宋" w:cs="宋体"/>
                <w:color w:val="000000"/>
                <w:sz w:val="18"/>
                <w:szCs w:val="18"/>
              </w:rPr>
            </w:pPr>
          </w:p>
        </w:tc>
        <w:tc>
          <w:tcPr>
            <w:tcW w:w="1162" w:type="pct"/>
            <w:shd w:val="clear" w:color="auto" w:fill="auto"/>
            <w:vAlign w:val="center"/>
          </w:tcPr>
          <w:p>
            <w:pPr>
              <w:spacing w:line="240" w:lineRule="auto"/>
              <w:ind w:firstLine="360"/>
              <w:jc w:val="center"/>
              <w:rPr>
                <w:rFonts w:ascii="仿宋" w:hAnsi="仿宋" w:cs="宋体"/>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exact"/>
        </w:trPr>
        <w:tc>
          <w:tcPr>
            <w:tcW w:w="1196" w:type="pct"/>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援助其他地区支出</w:t>
            </w:r>
          </w:p>
        </w:tc>
        <w:tc>
          <w:tcPr>
            <w:tcW w:w="1182" w:type="pct"/>
            <w:shd w:val="clear" w:color="auto" w:fill="auto"/>
            <w:vAlign w:val="center"/>
          </w:tcPr>
          <w:p>
            <w:pPr>
              <w:spacing w:line="240" w:lineRule="auto"/>
              <w:ind w:firstLine="360"/>
              <w:jc w:val="center"/>
              <w:rPr>
                <w:rFonts w:ascii="仿宋" w:hAnsi="仿宋" w:cs="宋体"/>
                <w:color w:val="000000"/>
                <w:sz w:val="18"/>
                <w:szCs w:val="18"/>
              </w:rPr>
            </w:pPr>
          </w:p>
        </w:tc>
        <w:tc>
          <w:tcPr>
            <w:tcW w:w="1459" w:type="pct"/>
            <w:shd w:val="clear" w:color="auto" w:fill="auto"/>
            <w:vAlign w:val="center"/>
          </w:tcPr>
          <w:p>
            <w:pPr>
              <w:spacing w:line="240" w:lineRule="auto"/>
              <w:ind w:firstLine="360"/>
              <w:jc w:val="center"/>
              <w:rPr>
                <w:rFonts w:ascii="仿宋" w:hAnsi="仿宋" w:cs="宋体"/>
                <w:color w:val="000000"/>
                <w:sz w:val="18"/>
                <w:szCs w:val="18"/>
              </w:rPr>
            </w:pPr>
          </w:p>
        </w:tc>
        <w:tc>
          <w:tcPr>
            <w:tcW w:w="1162" w:type="pct"/>
            <w:shd w:val="clear" w:color="auto" w:fill="auto"/>
            <w:vAlign w:val="center"/>
          </w:tcPr>
          <w:p>
            <w:pPr>
              <w:spacing w:line="240" w:lineRule="auto"/>
              <w:ind w:firstLine="360"/>
              <w:jc w:val="center"/>
              <w:rPr>
                <w:rFonts w:ascii="仿宋" w:hAnsi="仿宋" w:cs="宋体"/>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exact"/>
        </w:trPr>
        <w:tc>
          <w:tcPr>
            <w:tcW w:w="1196" w:type="pct"/>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国土海洋气象等支出</w:t>
            </w:r>
          </w:p>
        </w:tc>
        <w:tc>
          <w:tcPr>
            <w:tcW w:w="1182" w:type="pct"/>
            <w:shd w:val="clear" w:color="auto" w:fill="auto"/>
            <w:vAlign w:val="center"/>
          </w:tcPr>
          <w:p>
            <w:pPr>
              <w:spacing w:line="240" w:lineRule="auto"/>
              <w:ind w:firstLine="360"/>
              <w:jc w:val="center"/>
              <w:rPr>
                <w:rFonts w:ascii="仿宋" w:hAnsi="仿宋" w:cs="宋体"/>
                <w:color w:val="000000"/>
                <w:sz w:val="18"/>
                <w:szCs w:val="18"/>
              </w:rPr>
            </w:pPr>
          </w:p>
        </w:tc>
        <w:tc>
          <w:tcPr>
            <w:tcW w:w="1459" w:type="pct"/>
            <w:shd w:val="clear" w:color="auto" w:fill="auto"/>
            <w:vAlign w:val="center"/>
          </w:tcPr>
          <w:p>
            <w:pPr>
              <w:spacing w:line="240" w:lineRule="auto"/>
              <w:ind w:firstLine="360"/>
              <w:jc w:val="center"/>
              <w:rPr>
                <w:rFonts w:ascii="仿宋" w:hAnsi="仿宋" w:cs="宋体"/>
                <w:color w:val="000000"/>
                <w:sz w:val="18"/>
                <w:szCs w:val="18"/>
              </w:rPr>
            </w:pPr>
          </w:p>
        </w:tc>
        <w:tc>
          <w:tcPr>
            <w:tcW w:w="1162" w:type="pct"/>
            <w:shd w:val="clear" w:color="auto" w:fill="auto"/>
            <w:vAlign w:val="center"/>
          </w:tcPr>
          <w:p>
            <w:pPr>
              <w:spacing w:line="240" w:lineRule="auto"/>
              <w:ind w:firstLine="360"/>
              <w:jc w:val="center"/>
              <w:rPr>
                <w:rFonts w:ascii="仿宋" w:hAnsi="仿宋" w:cs="宋体"/>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exact"/>
        </w:trPr>
        <w:tc>
          <w:tcPr>
            <w:tcW w:w="1196" w:type="pct"/>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住房保障支出</w:t>
            </w:r>
          </w:p>
        </w:tc>
        <w:tc>
          <w:tcPr>
            <w:tcW w:w="1182" w:type="pct"/>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3,865,100.00</w:t>
            </w:r>
          </w:p>
        </w:tc>
        <w:tc>
          <w:tcPr>
            <w:tcW w:w="1459" w:type="pct"/>
            <w:shd w:val="clear" w:color="auto" w:fill="auto"/>
            <w:vAlign w:val="center"/>
          </w:tcPr>
          <w:p>
            <w:pPr>
              <w:spacing w:line="240" w:lineRule="auto"/>
              <w:ind w:firstLine="360"/>
              <w:jc w:val="center"/>
              <w:rPr>
                <w:rFonts w:ascii="仿宋" w:hAnsi="仿宋" w:cs="宋体"/>
                <w:color w:val="000000"/>
                <w:sz w:val="18"/>
                <w:szCs w:val="18"/>
              </w:rPr>
            </w:pPr>
          </w:p>
        </w:tc>
        <w:tc>
          <w:tcPr>
            <w:tcW w:w="1162" w:type="pct"/>
            <w:shd w:val="clear" w:color="auto" w:fill="auto"/>
            <w:vAlign w:val="center"/>
          </w:tcPr>
          <w:p>
            <w:pPr>
              <w:spacing w:line="240" w:lineRule="auto"/>
              <w:ind w:firstLine="360"/>
              <w:jc w:val="center"/>
              <w:rPr>
                <w:rFonts w:ascii="仿宋" w:hAnsi="仿宋" w:cs="宋体"/>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exact"/>
        </w:trPr>
        <w:tc>
          <w:tcPr>
            <w:tcW w:w="1196" w:type="pct"/>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粮油物资储备支出</w:t>
            </w:r>
          </w:p>
        </w:tc>
        <w:tc>
          <w:tcPr>
            <w:tcW w:w="1182" w:type="pct"/>
            <w:shd w:val="clear" w:color="auto" w:fill="auto"/>
            <w:vAlign w:val="center"/>
          </w:tcPr>
          <w:p>
            <w:pPr>
              <w:spacing w:line="240" w:lineRule="auto"/>
              <w:ind w:firstLine="360"/>
              <w:jc w:val="center"/>
              <w:rPr>
                <w:rFonts w:ascii="仿宋" w:hAnsi="仿宋" w:cs="宋体"/>
                <w:color w:val="000000"/>
                <w:sz w:val="18"/>
                <w:szCs w:val="18"/>
              </w:rPr>
            </w:pPr>
          </w:p>
        </w:tc>
        <w:tc>
          <w:tcPr>
            <w:tcW w:w="1459" w:type="pct"/>
            <w:shd w:val="clear" w:color="auto" w:fill="auto"/>
            <w:vAlign w:val="center"/>
          </w:tcPr>
          <w:p>
            <w:pPr>
              <w:spacing w:line="240" w:lineRule="auto"/>
              <w:ind w:firstLine="360"/>
              <w:jc w:val="center"/>
              <w:rPr>
                <w:rFonts w:ascii="仿宋" w:hAnsi="仿宋" w:cs="宋体"/>
                <w:color w:val="000000"/>
                <w:sz w:val="18"/>
                <w:szCs w:val="18"/>
              </w:rPr>
            </w:pPr>
          </w:p>
        </w:tc>
        <w:tc>
          <w:tcPr>
            <w:tcW w:w="1162" w:type="pct"/>
            <w:shd w:val="clear" w:color="auto" w:fill="auto"/>
            <w:vAlign w:val="center"/>
          </w:tcPr>
          <w:p>
            <w:pPr>
              <w:spacing w:line="240" w:lineRule="auto"/>
              <w:ind w:firstLine="360"/>
              <w:jc w:val="center"/>
              <w:rPr>
                <w:rFonts w:ascii="仿宋" w:hAnsi="仿宋" w:cs="宋体"/>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exact"/>
        </w:trPr>
        <w:tc>
          <w:tcPr>
            <w:tcW w:w="1196" w:type="pct"/>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其他支出</w:t>
            </w:r>
          </w:p>
        </w:tc>
        <w:tc>
          <w:tcPr>
            <w:tcW w:w="1182" w:type="pct"/>
            <w:shd w:val="clear" w:color="auto" w:fill="auto"/>
            <w:vAlign w:val="center"/>
          </w:tcPr>
          <w:p>
            <w:pPr>
              <w:spacing w:line="240" w:lineRule="auto"/>
              <w:ind w:firstLine="360"/>
              <w:jc w:val="center"/>
              <w:rPr>
                <w:rFonts w:ascii="仿宋" w:hAnsi="仿宋" w:cs="宋体"/>
                <w:color w:val="000000"/>
                <w:sz w:val="18"/>
                <w:szCs w:val="18"/>
              </w:rPr>
            </w:pPr>
          </w:p>
        </w:tc>
        <w:tc>
          <w:tcPr>
            <w:tcW w:w="1459" w:type="pct"/>
            <w:shd w:val="clear" w:color="auto" w:fill="auto"/>
            <w:vAlign w:val="center"/>
          </w:tcPr>
          <w:p>
            <w:pPr>
              <w:spacing w:line="240" w:lineRule="auto"/>
              <w:ind w:firstLine="360"/>
              <w:jc w:val="center"/>
              <w:rPr>
                <w:rFonts w:ascii="仿宋" w:hAnsi="仿宋" w:cs="宋体"/>
                <w:color w:val="000000"/>
                <w:sz w:val="18"/>
                <w:szCs w:val="18"/>
              </w:rPr>
            </w:pPr>
          </w:p>
        </w:tc>
        <w:tc>
          <w:tcPr>
            <w:tcW w:w="1162" w:type="pct"/>
            <w:shd w:val="clear" w:color="auto" w:fill="auto"/>
            <w:vAlign w:val="center"/>
          </w:tcPr>
          <w:p>
            <w:pPr>
              <w:spacing w:line="240" w:lineRule="auto"/>
              <w:ind w:firstLine="360"/>
              <w:jc w:val="center"/>
              <w:rPr>
                <w:rFonts w:ascii="仿宋" w:hAnsi="仿宋" w:cs="宋体"/>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exact"/>
        </w:trPr>
        <w:tc>
          <w:tcPr>
            <w:tcW w:w="1196" w:type="pct"/>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债务还本支出</w:t>
            </w:r>
          </w:p>
        </w:tc>
        <w:tc>
          <w:tcPr>
            <w:tcW w:w="1182" w:type="pct"/>
            <w:shd w:val="clear" w:color="auto" w:fill="auto"/>
            <w:vAlign w:val="center"/>
          </w:tcPr>
          <w:p>
            <w:pPr>
              <w:spacing w:line="240" w:lineRule="auto"/>
              <w:ind w:firstLine="360"/>
              <w:jc w:val="center"/>
              <w:rPr>
                <w:rFonts w:ascii="仿宋" w:hAnsi="仿宋" w:cs="宋体"/>
                <w:color w:val="000000"/>
                <w:sz w:val="18"/>
                <w:szCs w:val="18"/>
              </w:rPr>
            </w:pPr>
          </w:p>
        </w:tc>
        <w:tc>
          <w:tcPr>
            <w:tcW w:w="1459" w:type="pct"/>
            <w:shd w:val="clear" w:color="auto" w:fill="auto"/>
            <w:vAlign w:val="center"/>
          </w:tcPr>
          <w:p>
            <w:pPr>
              <w:spacing w:line="240" w:lineRule="auto"/>
              <w:ind w:firstLine="360"/>
              <w:jc w:val="center"/>
              <w:rPr>
                <w:rFonts w:ascii="仿宋" w:hAnsi="仿宋" w:cs="宋体"/>
                <w:color w:val="000000"/>
                <w:sz w:val="18"/>
                <w:szCs w:val="18"/>
              </w:rPr>
            </w:pPr>
          </w:p>
        </w:tc>
        <w:tc>
          <w:tcPr>
            <w:tcW w:w="1162" w:type="pct"/>
            <w:shd w:val="clear" w:color="auto" w:fill="auto"/>
            <w:vAlign w:val="center"/>
          </w:tcPr>
          <w:p>
            <w:pPr>
              <w:spacing w:line="240" w:lineRule="auto"/>
              <w:ind w:firstLine="360"/>
              <w:jc w:val="center"/>
              <w:rPr>
                <w:rFonts w:ascii="仿宋" w:hAnsi="仿宋" w:cs="宋体"/>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exact"/>
        </w:trPr>
        <w:tc>
          <w:tcPr>
            <w:tcW w:w="1196" w:type="pct"/>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债务付息支出</w:t>
            </w:r>
          </w:p>
        </w:tc>
        <w:tc>
          <w:tcPr>
            <w:tcW w:w="1182" w:type="pct"/>
            <w:shd w:val="clear" w:color="auto" w:fill="auto"/>
            <w:vAlign w:val="center"/>
          </w:tcPr>
          <w:p>
            <w:pPr>
              <w:spacing w:line="240" w:lineRule="auto"/>
              <w:ind w:firstLine="360"/>
              <w:jc w:val="center"/>
              <w:rPr>
                <w:rFonts w:ascii="仿宋" w:hAnsi="仿宋" w:cs="宋体"/>
                <w:color w:val="000000"/>
                <w:sz w:val="18"/>
                <w:szCs w:val="18"/>
              </w:rPr>
            </w:pPr>
          </w:p>
        </w:tc>
        <w:tc>
          <w:tcPr>
            <w:tcW w:w="1459" w:type="pct"/>
            <w:shd w:val="clear" w:color="auto" w:fill="auto"/>
            <w:vAlign w:val="center"/>
          </w:tcPr>
          <w:p>
            <w:pPr>
              <w:spacing w:line="240" w:lineRule="auto"/>
              <w:ind w:firstLine="360"/>
              <w:jc w:val="center"/>
              <w:rPr>
                <w:rFonts w:ascii="仿宋" w:hAnsi="仿宋" w:cs="宋体"/>
                <w:color w:val="000000"/>
                <w:sz w:val="18"/>
                <w:szCs w:val="18"/>
              </w:rPr>
            </w:pPr>
          </w:p>
        </w:tc>
        <w:tc>
          <w:tcPr>
            <w:tcW w:w="1162" w:type="pct"/>
            <w:shd w:val="clear" w:color="auto" w:fill="auto"/>
            <w:vAlign w:val="center"/>
          </w:tcPr>
          <w:p>
            <w:pPr>
              <w:spacing w:line="240" w:lineRule="auto"/>
              <w:ind w:firstLine="360"/>
              <w:jc w:val="center"/>
              <w:rPr>
                <w:rFonts w:ascii="仿宋" w:hAnsi="仿宋" w:cs="宋体"/>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exact"/>
        </w:trPr>
        <w:tc>
          <w:tcPr>
            <w:tcW w:w="1196" w:type="pct"/>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合计</w:t>
            </w:r>
          </w:p>
        </w:tc>
        <w:tc>
          <w:tcPr>
            <w:tcW w:w="1182" w:type="pct"/>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100,019,051.95</w:t>
            </w:r>
          </w:p>
        </w:tc>
        <w:tc>
          <w:tcPr>
            <w:tcW w:w="1459" w:type="pct"/>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合计</w:t>
            </w:r>
          </w:p>
        </w:tc>
        <w:tc>
          <w:tcPr>
            <w:tcW w:w="1162" w:type="pct"/>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100,019,051.95</w:t>
            </w:r>
          </w:p>
        </w:tc>
      </w:tr>
    </w:tbl>
    <w:p>
      <w:pPr>
        <w:ind w:firstLine="560"/>
        <w:rPr>
          <w:rFonts w:ascii="仿宋" w:hAnsi="仿宋"/>
          <w:szCs w:val="28"/>
        </w:rPr>
      </w:pPr>
      <w:r>
        <w:rPr>
          <w:rFonts w:hint="eastAsia" w:ascii="仿宋" w:hAnsi="仿宋"/>
          <w:szCs w:val="28"/>
        </w:rPr>
        <w:t>街道按照相法律法规和部门实际，建立健全财务管理制度和约束机制，依法有效地使用财政资金，提高财政资金使用效率，在完成单位目标任务中合理分配人、财、物，使之达到较高的工作效率和水平，提高服务质量，努力完成区委区政府下达的各项指标。</w:t>
      </w:r>
    </w:p>
    <w:p>
      <w:pPr>
        <w:pStyle w:val="20"/>
        <w:numPr>
          <w:ilvl w:val="0"/>
          <w:numId w:val="6"/>
        </w:numPr>
        <w:ind w:left="981" w:firstLineChars="0"/>
        <w:outlineLvl w:val="2"/>
        <w:rPr>
          <w:rFonts w:ascii="仿宋" w:hAnsi="仿宋"/>
          <w:szCs w:val="28"/>
        </w:rPr>
      </w:pPr>
      <w:r>
        <w:rPr>
          <w:rFonts w:hint="eastAsia" w:ascii="仿宋" w:hAnsi="仿宋"/>
          <w:szCs w:val="28"/>
        </w:rPr>
        <w:t>支出情况</w:t>
      </w:r>
    </w:p>
    <w:p>
      <w:pPr>
        <w:ind w:firstLine="560" w:firstLineChars="0"/>
        <w:jc w:val="left"/>
        <w:rPr>
          <w:rFonts w:ascii="仿宋" w:hAnsi="仿宋"/>
          <w:szCs w:val="28"/>
        </w:rPr>
      </w:pPr>
      <w:r>
        <w:rPr>
          <w:rFonts w:hint="eastAsia" w:ascii="仿宋" w:hAnsi="仿宋"/>
          <w:szCs w:val="28"/>
        </w:rPr>
        <w:t>（1）基本支出情况：2017年基本支出6,254.46万元,其中：工资福利支出4,764.26万元;商品和服务支出315.37万元;对个人和家庭的补助及其他等支出1,143.12万元;其他资本性支出31.71万元；</w:t>
      </w:r>
    </w:p>
    <w:p>
      <w:pPr>
        <w:ind w:firstLine="560" w:firstLineChars="0"/>
        <w:jc w:val="left"/>
        <w:rPr>
          <w:rFonts w:hint="eastAsia" w:ascii="仿宋" w:hAnsi="仿宋"/>
          <w:szCs w:val="28"/>
        </w:rPr>
      </w:pPr>
    </w:p>
    <w:tbl>
      <w:tblPr>
        <w:tblStyle w:val="12"/>
        <w:tblW w:w="85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865"/>
        <w:gridCol w:w="36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4865"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微软雅黑"/>
                <w:color w:val="000000"/>
                <w:sz w:val="18"/>
                <w:szCs w:val="18"/>
              </w:rPr>
              <w:t>项目</w:t>
            </w:r>
          </w:p>
        </w:tc>
        <w:tc>
          <w:tcPr>
            <w:tcW w:w="3639" w:type="dxa"/>
            <w:shd w:val="clear" w:color="auto" w:fill="auto"/>
            <w:vAlign w:val="center"/>
          </w:tcPr>
          <w:p>
            <w:pPr>
              <w:spacing w:line="240" w:lineRule="auto"/>
              <w:ind w:firstLine="360"/>
              <w:jc w:val="center"/>
              <w:rPr>
                <w:rFonts w:ascii="仿宋" w:hAnsi="仿宋" w:cs="微软雅黑"/>
                <w:color w:val="000000"/>
                <w:sz w:val="18"/>
                <w:szCs w:val="18"/>
              </w:rPr>
            </w:pPr>
            <w:r>
              <w:rPr>
                <w:rFonts w:hint="eastAsia" w:ascii="仿宋" w:hAnsi="仿宋" w:cs="微软雅黑"/>
                <w:color w:val="000000"/>
                <w:sz w:val="18"/>
                <w:szCs w:val="18"/>
              </w:rPr>
              <w:t>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4865" w:type="dxa"/>
            <w:shd w:val="clear" w:color="auto" w:fill="auto"/>
            <w:vAlign w:val="center"/>
          </w:tcPr>
          <w:p>
            <w:pPr>
              <w:spacing w:line="240" w:lineRule="auto"/>
              <w:ind w:firstLine="360"/>
              <w:jc w:val="center"/>
              <w:rPr>
                <w:rFonts w:ascii="仿宋" w:hAnsi="仿宋" w:cs="微软雅黑"/>
                <w:color w:val="000000"/>
                <w:sz w:val="18"/>
                <w:szCs w:val="18"/>
              </w:rPr>
            </w:pPr>
            <w:r>
              <w:rPr>
                <w:rFonts w:hint="eastAsia" w:ascii="仿宋" w:hAnsi="仿宋" w:cs="微软雅黑"/>
                <w:color w:val="000000"/>
                <w:sz w:val="18"/>
                <w:szCs w:val="18"/>
              </w:rPr>
              <w:t>工资福利支出</w:t>
            </w:r>
          </w:p>
        </w:tc>
        <w:tc>
          <w:tcPr>
            <w:tcW w:w="3639" w:type="dxa"/>
            <w:shd w:val="clear" w:color="auto" w:fill="auto"/>
            <w:vAlign w:val="center"/>
          </w:tcPr>
          <w:p>
            <w:pPr>
              <w:spacing w:line="240" w:lineRule="auto"/>
              <w:ind w:firstLine="360"/>
              <w:jc w:val="center"/>
              <w:rPr>
                <w:rFonts w:ascii="仿宋" w:hAnsi="仿宋" w:cs="微软雅黑"/>
                <w:color w:val="000000"/>
                <w:sz w:val="18"/>
                <w:szCs w:val="18"/>
              </w:rPr>
            </w:pPr>
            <w:r>
              <w:rPr>
                <w:rFonts w:hint="eastAsia" w:ascii="仿宋" w:hAnsi="仿宋" w:cs="微软雅黑"/>
                <w:color w:val="000000"/>
                <w:sz w:val="18"/>
                <w:szCs w:val="18"/>
              </w:rPr>
              <w:t>47,642,612.24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4865" w:type="dxa"/>
            <w:shd w:val="clear" w:color="auto" w:fill="auto"/>
            <w:vAlign w:val="center"/>
          </w:tcPr>
          <w:p>
            <w:pPr>
              <w:spacing w:line="240" w:lineRule="auto"/>
              <w:ind w:firstLine="360"/>
              <w:jc w:val="center"/>
              <w:rPr>
                <w:rFonts w:ascii="仿宋" w:hAnsi="仿宋" w:cs="微软雅黑"/>
                <w:color w:val="000000"/>
                <w:sz w:val="18"/>
                <w:szCs w:val="18"/>
              </w:rPr>
            </w:pPr>
            <w:r>
              <w:rPr>
                <w:rFonts w:hint="eastAsia" w:ascii="仿宋" w:hAnsi="仿宋" w:cs="微软雅黑"/>
                <w:color w:val="000000"/>
                <w:sz w:val="18"/>
                <w:szCs w:val="18"/>
              </w:rPr>
              <w:t>商品和服务支出</w:t>
            </w:r>
          </w:p>
        </w:tc>
        <w:tc>
          <w:tcPr>
            <w:tcW w:w="3639" w:type="dxa"/>
            <w:shd w:val="clear" w:color="auto" w:fill="auto"/>
            <w:vAlign w:val="center"/>
          </w:tcPr>
          <w:p>
            <w:pPr>
              <w:spacing w:line="240" w:lineRule="auto"/>
              <w:ind w:firstLine="360"/>
              <w:jc w:val="center"/>
              <w:rPr>
                <w:rFonts w:ascii="仿宋" w:hAnsi="仿宋" w:cs="微软雅黑"/>
                <w:color w:val="000000"/>
                <w:sz w:val="18"/>
                <w:szCs w:val="18"/>
              </w:rPr>
            </w:pPr>
            <w:r>
              <w:rPr>
                <w:rFonts w:hint="eastAsia" w:ascii="仿宋" w:hAnsi="仿宋" w:cs="微软雅黑"/>
                <w:color w:val="000000"/>
                <w:sz w:val="18"/>
                <w:szCs w:val="18"/>
              </w:rPr>
              <w:t>3,153,659.45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4865" w:type="dxa"/>
            <w:shd w:val="clear" w:color="auto" w:fill="auto"/>
            <w:vAlign w:val="center"/>
          </w:tcPr>
          <w:p>
            <w:pPr>
              <w:spacing w:line="240" w:lineRule="auto"/>
              <w:ind w:firstLine="360"/>
              <w:jc w:val="center"/>
              <w:rPr>
                <w:rFonts w:ascii="仿宋" w:hAnsi="仿宋" w:cs="微软雅黑"/>
                <w:color w:val="000000"/>
                <w:sz w:val="18"/>
                <w:szCs w:val="18"/>
              </w:rPr>
            </w:pPr>
            <w:r>
              <w:rPr>
                <w:rFonts w:hint="eastAsia" w:ascii="仿宋" w:hAnsi="仿宋" w:cs="微软雅黑"/>
                <w:color w:val="000000"/>
                <w:sz w:val="18"/>
                <w:szCs w:val="18"/>
              </w:rPr>
              <w:t>对个人和家庭的补助</w:t>
            </w:r>
          </w:p>
        </w:tc>
        <w:tc>
          <w:tcPr>
            <w:tcW w:w="3639" w:type="dxa"/>
            <w:shd w:val="clear" w:color="auto" w:fill="auto"/>
            <w:vAlign w:val="center"/>
          </w:tcPr>
          <w:p>
            <w:pPr>
              <w:spacing w:line="240" w:lineRule="auto"/>
              <w:ind w:firstLine="360"/>
              <w:jc w:val="center"/>
              <w:rPr>
                <w:rFonts w:ascii="仿宋" w:hAnsi="仿宋" w:cs="微软雅黑"/>
                <w:color w:val="000000"/>
                <w:sz w:val="18"/>
                <w:szCs w:val="18"/>
              </w:rPr>
            </w:pPr>
            <w:r>
              <w:rPr>
                <w:rFonts w:hint="eastAsia" w:ascii="仿宋" w:hAnsi="仿宋" w:cs="微软雅黑"/>
                <w:color w:val="000000"/>
                <w:sz w:val="18"/>
                <w:szCs w:val="18"/>
              </w:rPr>
              <w:t>11,431,195.57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4865" w:type="dxa"/>
            <w:shd w:val="clear" w:color="auto" w:fill="auto"/>
            <w:vAlign w:val="center"/>
          </w:tcPr>
          <w:p>
            <w:pPr>
              <w:spacing w:line="240" w:lineRule="auto"/>
              <w:ind w:firstLine="360"/>
              <w:jc w:val="center"/>
              <w:rPr>
                <w:rFonts w:ascii="仿宋" w:hAnsi="仿宋" w:cs="微软雅黑"/>
                <w:color w:val="000000"/>
                <w:sz w:val="18"/>
                <w:szCs w:val="18"/>
              </w:rPr>
            </w:pPr>
            <w:r>
              <w:rPr>
                <w:rFonts w:hint="eastAsia" w:ascii="仿宋" w:hAnsi="仿宋" w:cs="微软雅黑"/>
                <w:color w:val="000000"/>
                <w:sz w:val="18"/>
                <w:szCs w:val="18"/>
              </w:rPr>
              <w:t>基本建设支出</w:t>
            </w:r>
          </w:p>
        </w:tc>
        <w:tc>
          <w:tcPr>
            <w:tcW w:w="3639" w:type="dxa"/>
            <w:shd w:val="clear" w:color="auto" w:fill="auto"/>
            <w:vAlign w:val="center"/>
          </w:tcPr>
          <w:p>
            <w:pPr>
              <w:spacing w:line="240" w:lineRule="auto"/>
              <w:ind w:firstLine="360"/>
              <w:jc w:val="center"/>
              <w:rPr>
                <w:rFonts w:ascii="仿宋" w:hAnsi="仿宋" w:cs="微软雅黑"/>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4865" w:type="dxa"/>
            <w:shd w:val="clear" w:color="auto" w:fill="auto"/>
            <w:vAlign w:val="center"/>
          </w:tcPr>
          <w:p>
            <w:pPr>
              <w:spacing w:line="240" w:lineRule="auto"/>
              <w:ind w:firstLine="360"/>
              <w:jc w:val="center"/>
              <w:rPr>
                <w:rFonts w:ascii="仿宋" w:hAnsi="仿宋" w:cs="微软雅黑"/>
                <w:color w:val="000000"/>
                <w:sz w:val="18"/>
                <w:szCs w:val="18"/>
              </w:rPr>
            </w:pPr>
            <w:r>
              <w:rPr>
                <w:rFonts w:hint="eastAsia" w:ascii="仿宋" w:hAnsi="仿宋" w:cs="微软雅黑"/>
                <w:color w:val="000000"/>
                <w:sz w:val="18"/>
                <w:szCs w:val="18"/>
              </w:rPr>
              <w:t>其他资本性支出</w:t>
            </w:r>
          </w:p>
        </w:tc>
        <w:tc>
          <w:tcPr>
            <w:tcW w:w="3639" w:type="dxa"/>
            <w:shd w:val="clear" w:color="auto" w:fill="auto"/>
            <w:vAlign w:val="center"/>
          </w:tcPr>
          <w:p>
            <w:pPr>
              <w:spacing w:line="240" w:lineRule="auto"/>
              <w:ind w:firstLine="360"/>
              <w:jc w:val="center"/>
              <w:rPr>
                <w:rFonts w:ascii="仿宋" w:hAnsi="仿宋" w:cs="微软雅黑"/>
                <w:color w:val="000000"/>
                <w:sz w:val="18"/>
                <w:szCs w:val="18"/>
              </w:rPr>
            </w:pPr>
            <w:r>
              <w:rPr>
                <w:rFonts w:hint="eastAsia" w:ascii="仿宋" w:hAnsi="仿宋" w:cs="微软雅黑"/>
                <w:color w:val="000000"/>
                <w:sz w:val="18"/>
                <w:szCs w:val="18"/>
              </w:rPr>
              <w:t>317,100.00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4865" w:type="dxa"/>
            <w:shd w:val="clear" w:color="auto" w:fill="auto"/>
            <w:vAlign w:val="center"/>
          </w:tcPr>
          <w:p>
            <w:pPr>
              <w:spacing w:line="240" w:lineRule="auto"/>
              <w:ind w:firstLine="360"/>
              <w:jc w:val="center"/>
              <w:rPr>
                <w:rFonts w:ascii="仿宋" w:hAnsi="仿宋" w:cs="微软雅黑"/>
                <w:color w:val="000000"/>
                <w:sz w:val="18"/>
                <w:szCs w:val="18"/>
              </w:rPr>
            </w:pPr>
            <w:r>
              <w:rPr>
                <w:rFonts w:hint="eastAsia" w:ascii="仿宋" w:hAnsi="仿宋" w:cs="微软雅黑"/>
                <w:color w:val="000000"/>
                <w:sz w:val="18"/>
                <w:szCs w:val="18"/>
              </w:rPr>
              <w:t>对企事业单位的补贴</w:t>
            </w:r>
          </w:p>
        </w:tc>
        <w:tc>
          <w:tcPr>
            <w:tcW w:w="3639" w:type="dxa"/>
            <w:shd w:val="clear" w:color="auto" w:fill="auto"/>
            <w:vAlign w:val="center"/>
          </w:tcPr>
          <w:p>
            <w:pPr>
              <w:spacing w:line="240" w:lineRule="auto"/>
              <w:ind w:firstLine="360"/>
              <w:jc w:val="center"/>
              <w:rPr>
                <w:rFonts w:ascii="仿宋" w:hAnsi="仿宋" w:cs="微软雅黑"/>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4865" w:type="dxa"/>
            <w:shd w:val="clear" w:color="auto" w:fill="auto"/>
            <w:vAlign w:val="center"/>
          </w:tcPr>
          <w:p>
            <w:pPr>
              <w:spacing w:line="240" w:lineRule="auto"/>
              <w:ind w:firstLine="360"/>
              <w:jc w:val="center"/>
              <w:rPr>
                <w:rFonts w:ascii="仿宋" w:hAnsi="仿宋" w:cs="微软雅黑"/>
                <w:color w:val="000000"/>
                <w:sz w:val="18"/>
                <w:szCs w:val="18"/>
              </w:rPr>
            </w:pPr>
            <w:r>
              <w:rPr>
                <w:rFonts w:hint="eastAsia" w:ascii="仿宋" w:hAnsi="仿宋" w:cs="微软雅黑"/>
                <w:color w:val="000000"/>
                <w:sz w:val="18"/>
                <w:szCs w:val="18"/>
              </w:rPr>
              <w:t>债务利息支出</w:t>
            </w:r>
          </w:p>
        </w:tc>
        <w:tc>
          <w:tcPr>
            <w:tcW w:w="3639" w:type="dxa"/>
            <w:shd w:val="clear" w:color="auto" w:fill="auto"/>
            <w:vAlign w:val="center"/>
          </w:tcPr>
          <w:p>
            <w:pPr>
              <w:spacing w:line="240" w:lineRule="auto"/>
              <w:ind w:firstLine="360"/>
              <w:jc w:val="center"/>
              <w:rPr>
                <w:rFonts w:ascii="仿宋" w:hAnsi="仿宋" w:cs="微软雅黑"/>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4865" w:type="dxa"/>
            <w:shd w:val="clear" w:color="auto" w:fill="auto"/>
            <w:vAlign w:val="center"/>
          </w:tcPr>
          <w:p>
            <w:pPr>
              <w:spacing w:line="240" w:lineRule="auto"/>
              <w:ind w:firstLine="360"/>
              <w:jc w:val="center"/>
              <w:rPr>
                <w:rFonts w:ascii="仿宋" w:hAnsi="仿宋" w:cs="微软雅黑"/>
                <w:color w:val="000000"/>
                <w:sz w:val="18"/>
                <w:szCs w:val="18"/>
              </w:rPr>
            </w:pPr>
            <w:r>
              <w:rPr>
                <w:rFonts w:hint="eastAsia" w:ascii="仿宋" w:hAnsi="仿宋" w:cs="微软雅黑"/>
                <w:color w:val="000000"/>
                <w:sz w:val="18"/>
                <w:szCs w:val="18"/>
              </w:rPr>
              <w:t>其他支出</w:t>
            </w:r>
          </w:p>
        </w:tc>
        <w:tc>
          <w:tcPr>
            <w:tcW w:w="3639" w:type="dxa"/>
            <w:shd w:val="clear" w:color="auto" w:fill="auto"/>
            <w:vAlign w:val="center"/>
          </w:tcPr>
          <w:p>
            <w:pPr>
              <w:spacing w:line="240" w:lineRule="auto"/>
              <w:ind w:firstLine="360"/>
              <w:jc w:val="center"/>
              <w:rPr>
                <w:rFonts w:ascii="仿宋" w:hAnsi="仿宋" w:cs="微软雅黑"/>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4865" w:type="dxa"/>
            <w:shd w:val="clear" w:color="auto" w:fill="auto"/>
            <w:vAlign w:val="center"/>
          </w:tcPr>
          <w:p>
            <w:pPr>
              <w:spacing w:line="240" w:lineRule="auto"/>
              <w:ind w:firstLine="360"/>
              <w:jc w:val="center"/>
              <w:rPr>
                <w:rFonts w:ascii="仿宋" w:hAnsi="仿宋" w:cs="微软雅黑"/>
                <w:color w:val="000000"/>
                <w:sz w:val="18"/>
                <w:szCs w:val="18"/>
              </w:rPr>
            </w:pPr>
            <w:r>
              <w:rPr>
                <w:rFonts w:hint="eastAsia" w:ascii="仿宋" w:hAnsi="仿宋" w:cs="微软雅黑"/>
                <w:color w:val="000000"/>
                <w:sz w:val="18"/>
                <w:szCs w:val="18"/>
              </w:rPr>
              <w:t>合计</w:t>
            </w:r>
          </w:p>
        </w:tc>
        <w:tc>
          <w:tcPr>
            <w:tcW w:w="3639" w:type="dxa"/>
            <w:shd w:val="clear" w:color="auto" w:fill="auto"/>
            <w:vAlign w:val="center"/>
          </w:tcPr>
          <w:p>
            <w:pPr>
              <w:spacing w:line="240" w:lineRule="auto"/>
              <w:ind w:firstLine="360"/>
              <w:jc w:val="center"/>
              <w:rPr>
                <w:rFonts w:ascii="仿宋" w:hAnsi="仿宋" w:cs="微软雅黑"/>
                <w:color w:val="000000"/>
                <w:sz w:val="18"/>
                <w:szCs w:val="18"/>
              </w:rPr>
            </w:pPr>
            <w:r>
              <w:rPr>
                <w:rFonts w:hint="eastAsia" w:ascii="仿宋" w:hAnsi="仿宋" w:cs="微软雅黑"/>
                <w:color w:val="000000"/>
                <w:sz w:val="18"/>
                <w:szCs w:val="18"/>
              </w:rPr>
              <w:t>62,544,567.26</w:t>
            </w:r>
          </w:p>
        </w:tc>
      </w:tr>
    </w:tbl>
    <w:p>
      <w:pPr>
        <w:ind w:firstLine="560" w:firstLineChars="0"/>
        <w:jc w:val="left"/>
        <w:rPr>
          <w:rFonts w:ascii="仿宋" w:hAnsi="仿宋"/>
          <w:szCs w:val="28"/>
        </w:rPr>
      </w:pPr>
    </w:p>
    <w:p>
      <w:pPr>
        <w:ind w:firstLine="560" w:firstLineChars="0"/>
        <w:jc w:val="left"/>
        <w:rPr>
          <w:rFonts w:ascii="仿宋" w:hAnsi="仿宋"/>
          <w:szCs w:val="28"/>
        </w:rPr>
      </w:pPr>
      <w:r>
        <w:rPr>
          <w:rFonts w:hint="eastAsia" w:ascii="仿宋" w:hAnsi="仿宋"/>
          <w:szCs w:val="28"/>
        </w:rPr>
        <w:t>（</w:t>
      </w:r>
      <w:r>
        <w:rPr>
          <w:rFonts w:ascii="仿宋" w:hAnsi="仿宋"/>
          <w:szCs w:val="28"/>
        </w:rPr>
        <w:t>2</w:t>
      </w:r>
      <w:r>
        <w:rPr>
          <w:rFonts w:hint="eastAsia" w:ascii="仿宋" w:hAnsi="仿宋"/>
          <w:szCs w:val="28"/>
        </w:rPr>
        <w:t>）项目支出情况：2017年，为保障完成特定的行政工作任务或事业发展目标，街道用于专项业务工作的经费支出3,747.45元,同比下降21.27%，具体项目开支情况如下：</w:t>
      </w:r>
    </w:p>
    <w:tbl>
      <w:tblPr>
        <w:tblStyle w:val="12"/>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2"/>
        <w:gridCol w:w="2106"/>
        <w:gridCol w:w="21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292"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项目</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收入数</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支出数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292"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政府办公厅（室）及相关机构事务</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6,609,221.66</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6,404,821.66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292"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财政事务</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100,000.00</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100,000.00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292"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其他一般公共服务支出</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100,000.00</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100,000.00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292"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国防动员</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80,000.00</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80,000.00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292"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文化</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262,794.00</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262,794.00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292"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文物</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1,265,000.00</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1,265,000.00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292"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体育</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110,000.00</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110,000.00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292"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民政管理事务</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5,755,601.85</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5,755,601.85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292"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就业补助</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681,282.65</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681,282.65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292"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抚恤</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521,310.10</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521,310.10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292"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社会福利</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543,200.00</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543,200.00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292"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残疾人事业</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669,790.00</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669,790.00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292"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最低生活保障</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2,455,323.32</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2,455,323.32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292"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临时救助</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44,500.00</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44,500.00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292"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特困人员救助供养</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107,255.00</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107,255.00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292"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其他生活救助</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10,000.00</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10,000.00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292"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其他社会保障和就业支出</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113,000.00</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113,000.00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292"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计划生育事务</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782,226.80</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782,226.80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292"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优抚对象医疗</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41,952.50</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41,952.50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292"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退耕还林</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115,240.00</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115,240.00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292"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城乡社区管理事务</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255,000.00</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255,000.00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292"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城乡社区环境卫生</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3,483,509.00</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3,441,494.67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292"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其他城乡社区支出</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1,150,000.00</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1,150,000.00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292"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农业</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7,337,607.50</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7,337,607.50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292"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林业</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1,429,155.00</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1,429,155.00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292"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水利</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300,000.00</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300,000.00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292"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扶贫</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570,000.00</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570,000.00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292"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农业综合开发</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157,384.02</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157,384.02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292"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农村综合改革</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2,670,545.62</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2,670,545.62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292"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合计</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37,720,899.02</w:t>
            </w:r>
          </w:p>
        </w:tc>
        <w:tc>
          <w:tcPr>
            <w:tcW w:w="2106" w:type="dxa"/>
            <w:shd w:val="clear" w:color="auto" w:fill="auto"/>
            <w:vAlign w:val="center"/>
          </w:tcPr>
          <w:p>
            <w:pPr>
              <w:spacing w:line="240" w:lineRule="auto"/>
              <w:ind w:firstLine="360"/>
              <w:jc w:val="center"/>
              <w:rPr>
                <w:rFonts w:ascii="仿宋" w:hAnsi="仿宋" w:cs="宋体"/>
                <w:color w:val="000000"/>
                <w:sz w:val="18"/>
                <w:szCs w:val="18"/>
              </w:rPr>
            </w:pPr>
            <w:r>
              <w:rPr>
                <w:rFonts w:hint="eastAsia" w:ascii="仿宋" w:hAnsi="仿宋" w:cs="宋体"/>
                <w:color w:val="000000"/>
                <w:sz w:val="18"/>
                <w:szCs w:val="18"/>
              </w:rPr>
              <w:t>37,474,484.69</w:t>
            </w:r>
          </w:p>
        </w:tc>
      </w:tr>
    </w:tbl>
    <w:p>
      <w:pPr>
        <w:ind w:firstLine="560" w:firstLineChars="0"/>
        <w:jc w:val="left"/>
        <w:rPr>
          <w:rFonts w:hint="eastAsia" w:ascii="仿宋" w:hAnsi="仿宋"/>
          <w:szCs w:val="28"/>
        </w:rPr>
      </w:pPr>
    </w:p>
    <w:p>
      <w:pPr>
        <w:pStyle w:val="20"/>
        <w:numPr>
          <w:ilvl w:val="0"/>
          <w:numId w:val="6"/>
        </w:numPr>
        <w:spacing w:before="156" w:beforeLines="50"/>
        <w:ind w:left="981" w:firstLineChars="0"/>
        <w:outlineLvl w:val="2"/>
        <w:rPr>
          <w:rFonts w:ascii="仿宋" w:hAnsi="仿宋"/>
          <w:szCs w:val="28"/>
        </w:rPr>
      </w:pPr>
      <w:r>
        <w:rPr>
          <w:rFonts w:hint="eastAsia" w:ascii="仿宋" w:hAnsi="仿宋"/>
          <w:szCs w:val="28"/>
        </w:rPr>
        <w:t>“三公”经费情况</w:t>
      </w:r>
    </w:p>
    <w:p>
      <w:pPr>
        <w:ind w:firstLine="560" w:firstLineChars="0"/>
        <w:jc w:val="left"/>
        <w:rPr>
          <w:rFonts w:ascii="仿宋" w:hAnsi="仿宋"/>
          <w:sz w:val="24"/>
        </w:rPr>
      </w:pPr>
      <w:bookmarkStart w:id="8" w:name="_Hlk516581718"/>
      <w:r>
        <w:rPr>
          <w:rFonts w:hint="eastAsia" w:ascii="仿宋" w:hAnsi="仿宋"/>
          <w:szCs w:val="28"/>
        </w:rPr>
        <w:t>2017年度“三公”经费财政拨款支出预算为38万元，支出决算数为10万元，完成预算的26.32%，其中：因公出国（境）费支出决算为0万元，完成预算的0%；公务接待费支出决算为0万元，完成预算的0%；公务用车购置及运行费支出决算为10万元，完成预算的100%。相比2016年“三公”经费支出下降52%。认真贯彻落实</w:t>
      </w:r>
      <w:bookmarkStart w:id="31" w:name="_GoBack"/>
      <w:r>
        <w:rPr>
          <w:rFonts w:hint="eastAsia" w:ascii="仿宋" w:hAnsi="仿宋"/>
          <w:szCs w:val="28"/>
          <w:lang w:eastAsia="zh-CN"/>
        </w:rPr>
        <w:t>中央八项规定</w:t>
      </w:r>
      <w:r>
        <w:rPr>
          <w:rFonts w:hint="eastAsia" w:ascii="仿宋" w:hAnsi="仿宋"/>
          <w:szCs w:val="28"/>
        </w:rPr>
        <w:t>精神</w:t>
      </w:r>
      <w:bookmarkEnd w:id="31"/>
      <w:r>
        <w:rPr>
          <w:rFonts w:hint="eastAsia" w:ascii="仿宋" w:hAnsi="仿宋"/>
          <w:szCs w:val="28"/>
        </w:rPr>
        <w:t>和厉行节约要求，进一步从严控制“三公”经费开支，全年实际支出比预算及上年度预算支出都有所节约与下降。</w:t>
      </w:r>
    </w:p>
    <w:bookmarkEnd w:id="7"/>
    <w:bookmarkEnd w:id="8"/>
    <w:p>
      <w:pPr>
        <w:pStyle w:val="2"/>
        <w:spacing w:before="156"/>
        <w:ind w:firstLine="481" w:firstLineChars="171"/>
      </w:pPr>
      <w:bookmarkStart w:id="9" w:name="_Toc523346024"/>
      <w:r>
        <w:rPr>
          <w:rFonts w:hint="eastAsia"/>
        </w:rPr>
        <w:t>二、绩效评价工作情况</w:t>
      </w:r>
      <w:bookmarkEnd w:id="9"/>
    </w:p>
    <w:p>
      <w:pPr>
        <w:pStyle w:val="3"/>
        <w:spacing w:before="156"/>
        <w:ind w:firstLine="562"/>
      </w:pPr>
      <w:bookmarkStart w:id="10" w:name="_Toc523346025"/>
      <w:r>
        <w:rPr>
          <w:rFonts w:hint="eastAsia"/>
        </w:rPr>
        <w:t>（一）绩效评价目的</w:t>
      </w:r>
      <w:bookmarkEnd w:id="10"/>
    </w:p>
    <w:p>
      <w:pPr>
        <w:ind w:firstLine="560"/>
        <w:jc w:val="left"/>
        <w:rPr>
          <w:rFonts w:ascii="仿宋" w:hAnsi="仿宋"/>
          <w:szCs w:val="28"/>
        </w:rPr>
      </w:pPr>
      <w:r>
        <w:rPr>
          <w:rFonts w:ascii="仿宋" w:hAnsi="仿宋"/>
          <w:szCs w:val="28"/>
        </w:rPr>
        <w:t>为进一步提高</w:t>
      </w:r>
      <w:r>
        <w:rPr>
          <w:rFonts w:hint="eastAsia" w:ascii="仿宋" w:hAnsi="仿宋"/>
          <w:szCs w:val="28"/>
        </w:rPr>
        <w:t>预算资金</w:t>
      </w:r>
      <w:r>
        <w:rPr>
          <w:rFonts w:ascii="仿宋" w:hAnsi="仿宋"/>
          <w:szCs w:val="28"/>
        </w:rPr>
        <w:t>的安全性、规范性和有效性，探索建立科学、规范的</w:t>
      </w:r>
      <w:r>
        <w:rPr>
          <w:rFonts w:hint="eastAsia" w:ascii="仿宋" w:hAnsi="仿宋"/>
          <w:szCs w:val="28"/>
        </w:rPr>
        <w:t>预算</w:t>
      </w:r>
      <w:r>
        <w:rPr>
          <w:rFonts w:ascii="仿宋" w:hAnsi="仿宋"/>
          <w:szCs w:val="28"/>
        </w:rPr>
        <w:t>资金分配管理机制，</w:t>
      </w:r>
      <w:r>
        <w:rPr>
          <w:rFonts w:hint="eastAsia" w:ascii="仿宋" w:hAnsi="仿宋"/>
          <w:szCs w:val="28"/>
        </w:rPr>
        <w:t>为对项目资金的落实情况、资金使用效率、资金管理及项目执行情况进行全面细致的了解，湖北永兴会计师事务有限责任公司依据财政部《财政支出绩效评价管理暂行办法》（财预〔2011〕285号）、《省财政厅关于印发&lt;湖北省省级财政项目资金绩效评价实施暂行办法&gt;的通知》（鄂财绩发〔2012〕5号）、《武汉东湖新技术开发区预算绩效管理工作方案的通知》（武新管财字[2018]26号）等文件的要求，结合项目状况，对2017年度部门整体支出进行绩效评价。</w:t>
      </w:r>
    </w:p>
    <w:p>
      <w:pPr>
        <w:ind w:firstLine="560"/>
        <w:jc w:val="left"/>
        <w:rPr>
          <w:rFonts w:ascii="仿宋" w:hAnsi="仿宋"/>
          <w:szCs w:val="28"/>
        </w:rPr>
      </w:pPr>
      <w:r>
        <w:rPr>
          <w:rFonts w:hint="eastAsia" w:ascii="仿宋" w:hAnsi="仿宋"/>
          <w:szCs w:val="28"/>
        </w:rPr>
        <w:t>本次绩效评价目的旨在通过核查201</w:t>
      </w:r>
      <w:r>
        <w:rPr>
          <w:rFonts w:ascii="仿宋" w:hAnsi="仿宋"/>
          <w:szCs w:val="28"/>
        </w:rPr>
        <w:t>7</w:t>
      </w:r>
      <w:r>
        <w:rPr>
          <w:rFonts w:hint="eastAsia" w:ascii="仿宋" w:hAnsi="仿宋"/>
          <w:szCs w:val="28"/>
        </w:rPr>
        <w:t>年部门整体支出情况，考核资金使用效率和综合绩效，总结项目管理与执行经验，为相关部门决策、管理提供参考依据；推动建立以绩效评价结果为导向的财政资金分配与管理制度，提升财政资金科学化、精细化管理水平；为以后经费预算安排提供重要依据。</w:t>
      </w:r>
    </w:p>
    <w:p>
      <w:pPr>
        <w:pStyle w:val="3"/>
        <w:spacing w:before="156"/>
        <w:ind w:firstLine="562"/>
      </w:pPr>
      <w:bookmarkStart w:id="11" w:name="_Toc523346026"/>
      <w:r>
        <w:rPr>
          <w:rFonts w:hint="eastAsia"/>
        </w:rPr>
        <w:t>（二）绩效评价框架</w:t>
      </w:r>
      <w:bookmarkEnd w:id="11"/>
    </w:p>
    <w:p>
      <w:pPr>
        <w:pStyle w:val="4"/>
        <w:spacing w:before="156"/>
        <w:ind w:firstLine="480"/>
        <w:rPr>
          <w:rFonts w:ascii="仿宋" w:hAnsi="仿宋"/>
          <w:szCs w:val="28"/>
        </w:rPr>
      </w:pPr>
      <w:r>
        <w:rPr>
          <w:rFonts w:hint="eastAsia" w:ascii="仿宋" w:hAnsi="仿宋"/>
          <w:sz w:val="24"/>
        </w:rPr>
        <w:t>1</w:t>
      </w:r>
      <w:r>
        <w:rPr>
          <w:rFonts w:hint="eastAsia" w:ascii="仿宋" w:hAnsi="仿宋"/>
          <w:szCs w:val="28"/>
        </w:rPr>
        <w:t>、绩效评价指标体系表</w:t>
      </w:r>
    </w:p>
    <w:p>
      <w:pPr>
        <w:spacing w:line="520" w:lineRule="exact"/>
        <w:ind w:firstLine="560"/>
        <w:rPr>
          <w:rFonts w:ascii="仿宋" w:hAnsi="仿宋"/>
          <w:szCs w:val="28"/>
        </w:rPr>
      </w:pPr>
      <w:r>
        <w:rPr>
          <w:rFonts w:hint="eastAsia" w:ascii="仿宋" w:hAnsi="仿宋"/>
          <w:szCs w:val="28"/>
        </w:rPr>
        <w:t>本次绩效评价工作参考《武汉东湖新技术开发区预算绩效管理工作方案的通知》（武新管财字[2018]26号）</w:t>
      </w:r>
      <w:r>
        <w:rPr>
          <w:rFonts w:hint="eastAsia"/>
          <w:szCs w:val="28"/>
        </w:rPr>
        <w:t>等文件的要求设置评价指标体系。指标共分为三级，总分100分。一级指标设计了投入、过程、产出和效果四项指标。二级指标和三级指标的情况及分值见附件1。</w:t>
      </w:r>
    </w:p>
    <w:p>
      <w:pPr>
        <w:pStyle w:val="4"/>
        <w:spacing w:before="156"/>
        <w:ind w:firstLine="560"/>
      </w:pPr>
      <w:r>
        <w:rPr>
          <w:rFonts w:hint="eastAsia"/>
        </w:rPr>
        <w:t>2、本次绩效评价采用的评价方法</w:t>
      </w:r>
    </w:p>
    <w:p>
      <w:pPr>
        <w:ind w:firstLine="560"/>
        <w:rPr>
          <w:rFonts w:hint="eastAsia"/>
        </w:rPr>
      </w:pPr>
      <w:r>
        <w:rPr>
          <w:rFonts w:hint="eastAsia"/>
        </w:rPr>
        <w:t>本次绩效评价采用目标比较法、统计计算法、实地考察相结合的方法。</w:t>
      </w:r>
    </w:p>
    <w:p>
      <w:pPr>
        <w:ind w:firstLine="560"/>
        <w:rPr>
          <w:rFonts w:hint="eastAsia"/>
        </w:rPr>
      </w:pPr>
      <w:r>
        <w:rPr>
          <w:rFonts w:hint="eastAsia"/>
        </w:rPr>
        <w:t>（1）目标比较法。目标比较法是指通过对项目绩效的实际产出与预定目标的比较，分析完成目标或未完成目标的原因，从而评价绩效状况的方法。</w:t>
      </w:r>
    </w:p>
    <w:p>
      <w:pPr>
        <w:ind w:firstLine="560"/>
        <w:rPr>
          <w:rFonts w:hint="eastAsia"/>
        </w:rPr>
      </w:pPr>
      <w:r>
        <w:rPr>
          <w:rFonts w:hint="eastAsia"/>
        </w:rPr>
        <w:t>（2）统计计算法。采用各种专业（或专门）指标的计算方法，通过收集项目实施的相关数据，采用统计或核算等方式进行计算实际完成或达到的结果，评价绩效目标实现程度。项目小组根据相关文件依据，设计符合项目特点的评价指标体系，然后采集数据依据计算公式进行计算分析，并根据计算结果分析项目的绩效目标实现程度。</w:t>
      </w:r>
    </w:p>
    <w:p>
      <w:pPr>
        <w:ind w:firstLine="560"/>
        <w:rPr>
          <w:rFonts w:hint="eastAsia"/>
        </w:rPr>
      </w:pPr>
      <w:r>
        <w:rPr>
          <w:rFonts w:hint="eastAsia"/>
        </w:rPr>
        <w:t>（3）实地考察。绩效评价项目组前往项目具体实施地进行考察，了解项目的实施情况，评价项目绩效目标实现程度，核实项目实际实施情况，与收集的资料进行验证核对。</w:t>
      </w:r>
    </w:p>
    <w:p>
      <w:pPr>
        <w:ind w:firstLine="560"/>
      </w:pPr>
      <w:r>
        <w:rPr>
          <w:rFonts w:hint="eastAsia"/>
        </w:rPr>
        <w:t>绩效评价评定结果判定标准如下：</w:t>
      </w:r>
    </w:p>
    <w:p>
      <w:pPr>
        <w:ind w:firstLine="560"/>
        <w:jc w:val="center"/>
      </w:pPr>
      <w:r>
        <w:t>财政支出专项资金绩效评价结果判定</w:t>
      </w:r>
    </w:p>
    <w:tbl>
      <w:tblPr>
        <w:tblStyle w:val="12"/>
        <w:tblW w:w="81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0"/>
        <w:gridCol w:w="2004"/>
        <w:gridCol w:w="1671"/>
        <w:gridCol w:w="1440"/>
        <w:gridCol w:w="16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80" w:type="dxa"/>
            <w:tcBorders>
              <w:top w:val="single" w:color="auto" w:sz="4" w:space="0"/>
              <w:left w:val="single" w:color="auto" w:sz="4" w:space="0"/>
              <w:bottom w:val="single" w:color="auto" w:sz="4" w:space="0"/>
              <w:right w:val="single" w:color="auto" w:sz="4" w:space="0"/>
            </w:tcBorders>
            <w:vAlign w:val="bottom"/>
          </w:tcPr>
          <w:p>
            <w:pPr>
              <w:widowControl/>
              <w:ind w:firstLine="0" w:firstLineChars="0"/>
              <w:jc w:val="center"/>
              <w:rPr>
                <w:rFonts w:ascii="仿宋" w:hAnsi="仿宋"/>
                <w:szCs w:val="28"/>
              </w:rPr>
            </w:pPr>
            <w:r>
              <w:rPr>
                <w:rFonts w:ascii="仿宋" w:hAnsi="仿宋"/>
                <w:szCs w:val="28"/>
              </w:rPr>
              <w:t>评价总分</w:t>
            </w:r>
          </w:p>
        </w:tc>
        <w:tc>
          <w:tcPr>
            <w:tcW w:w="2004" w:type="dxa"/>
            <w:tcBorders>
              <w:top w:val="single" w:color="auto" w:sz="4" w:space="0"/>
              <w:left w:val="single" w:color="auto" w:sz="4" w:space="0"/>
              <w:bottom w:val="single" w:color="auto" w:sz="4" w:space="0"/>
              <w:right w:val="single" w:color="auto" w:sz="4" w:space="0"/>
            </w:tcBorders>
            <w:vAlign w:val="bottom"/>
          </w:tcPr>
          <w:p>
            <w:pPr>
              <w:widowControl/>
              <w:ind w:firstLine="0" w:firstLineChars="0"/>
              <w:jc w:val="center"/>
              <w:rPr>
                <w:rFonts w:ascii="仿宋" w:hAnsi="仿宋"/>
                <w:szCs w:val="28"/>
              </w:rPr>
            </w:pPr>
            <w:r>
              <w:rPr>
                <w:rFonts w:hint="eastAsia" w:ascii="仿宋" w:hAnsi="仿宋"/>
                <w:szCs w:val="28"/>
              </w:rPr>
              <w:t>90</w:t>
            </w:r>
            <w:r>
              <w:rPr>
                <w:rFonts w:ascii="仿宋" w:hAnsi="仿宋"/>
                <w:szCs w:val="28"/>
              </w:rPr>
              <w:t>分及以上</w:t>
            </w:r>
          </w:p>
        </w:tc>
        <w:tc>
          <w:tcPr>
            <w:tcW w:w="1671" w:type="dxa"/>
            <w:tcBorders>
              <w:top w:val="single" w:color="auto" w:sz="4" w:space="0"/>
              <w:left w:val="single" w:color="auto" w:sz="4" w:space="0"/>
              <w:bottom w:val="single" w:color="auto" w:sz="4" w:space="0"/>
              <w:right w:val="single" w:color="auto" w:sz="4" w:space="0"/>
            </w:tcBorders>
            <w:vAlign w:val="bottom"/>
          </w:tcPr>
          <w:p>
            <w:pPr>
              <w:widowControl/>
              <w:ind w:firstLine="0" w:firstLineChars="0"/>
              <w:jc w:val="center"/>
              <w:rPr>
                <w:rFonts w:ascii="仿宋" w:hAnsi="仿宋"/>
                <w:szCs w:val="28"/>
              </w:rPr>
            </w:pPr>
            <w:r>
              <w:rPr>
                <w:rFonts w:hint="eastAsia" w:ascii="仿宋" w:hAnsi="仿宋"/>
                <w:szCs w:val="28"/>
              </w:rPr>
              <w:t>80</w:t>
            </w:r>
            <w:r>
              <w:rPr>
                <w:rFonts w:ascii="仿宋" w:hAnsi="仿宋"/>
                <w:szCs w:val="28"/>
              </w:rPr>
              <w:t>―</w:t>
            </w:r>
            <w:r>
              <w:rPr>
                <w:rFonts w:hint="eastAsia" w:ascii="仿宋" w:hAnsi="仿宋"/>
                <w:szCs w:val="28"/>
              </w:rPr>
              <w:t>89</w:t>
            </w:r>
            <w:r>
              <w:rPr>
                <w:rFonts w:ascii="仿宋" w:hAnsi="仿宋"/>
                <w:szCs w:val="28"/>
              </w:rPr>
              <w:t>分</w:t>
            </w:r>
          </w:p>
        </w:tc>
        <w:tc>
          <w:tcPr>
            <w:tcW w:w="1440" w:type="dxa"/>
            <w:tcBorders>
              <w:top w:val="single" w:color="auto" w:sz="4" w:space="0"/>
              <w:left w:val="single" w:color="auto" w:sz="4" w:space="0"/>
              <w:bottom w:val="single" w:color="auto" w:sz="4" w:space="0"/>
              <w:right w:val="single" w:color="auto" w:sz="4" w:space="0"/>
            </w:tcBorders>
            <w:vAlign w:val="bottom"/>
          </w:tcPr>
          <w:p>
            <w:pPr>
              <w:widowControl/>
              <w:ind w:firstLine="0" w:firstLineChars="0"/>
              <w:jc w:val="center"/>
              <w:rPr>
                <w:rFonts w:ascii="仿宋" w:hAnsi="仿宋"/>
                <w:szCs w:val="28"/>
              </w:rPr>
            </w:pPr>
            <w:r>
              <w:rPr>
                <w:rFonts w:hint="eastAsia" w:ascii="仿宋" w:hAnsi="仿宋"/>
                <w:szCs w:val="28"/>
              </w:rPr>
              <w:t>6</w:t>
            </w:r>
            <w:r>
              <w:rPr>
                <w:rFonts w:ascii="仿宋" w:hAnsi="仿宋"/>
                <w:szCs w:val="28"/>
              </w:rPr>
              <w:t>0―</w:t>
            </w:r>
            <w:r>
              <w:rPr>
                <w:rFonts w:hint="eastAsia" w:ascii="仿宋" w:hAnsi="仿宋"/>
                <w:szCs w:val="28"/>
              </w:rPr>
              <w:t>79</w:t>
            </w:r>
            <w:r>
              <w:rPr>
                <w:rFonts w:ascii="仿宋" w:hAnsi="仿宋"/>
                <w:szCs w:val="28"/>
              </w:rPr>
              <w:t>分</w:t>
            </w:r>
          </w:p>
        </w:tc>
        <w:tc>
          <w:tcPr>
            <w:tcW w:w="1602" w:type="dxa"/>
            <w:tcBorders>
              <w:top w:val="single" w:color="auto" w:sz="4" w:space="0"/>
              <w:left w:val="single" w:color="auto" w:sz="4" w:space="0"/>
              <w:bottom w:val="single" w:color="auto" w:sz="4" w:space="0"/>
              <w:right w:val="single" w:color="auto" w:sz="4" w:space="0"/>
            </w:tcBorders>
            <w:vAlign w:val="bottom"/>
          </w:tcPr>
          <w:p>
            <w:pPr>
              <w:widowControl/>
              <w:ind w:firstLine="0" w:firstLineChars="0"/>
              <w:jc w:val="center"/>
              <w:rPr>
                <w:rFonts w:ascii="仿宋" w:hAnsi="仿宋"/>
                <w:szCs w:val="28"/>
              </w:rPr>
            </w:pPr>
            <w:r>
              <w:rPr>
                <w:rFonts w:ascii="仿宋" w:hAnsi="仿宋"/>
                <w:szCs w:val="28"/>
              </w:rPr>
              <w:t>60分以下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1480" w:type="dxa"/>
            <w:tcBorders>
              <w:top w:val="single" w:color="auto" w:sz="4" w:space="0"/>
              <w:left w:val="single" w:color="auto" w:sz="4" w:space="0"/>
              <w:bottom w:val="single" w:color="auto" w:sz="4" w:space="0"/>
              <w:right w:val="single" w:color="auto" w:sz="4" w:space="0"/>
            </w:tcBorders>
            <w:vAlign w:val="bottom"/>
          </w:tcPr>
          <w:p>
            <w:pPr>
              <w:widowControl/>
              <w:ind w:firstLine="0" w:firstLineChars="0"/>
              <w:jc w:val="center"/>
              <w:rPr>
                <w:rFonts w:ascii="仿宋" w:hAnsi="仿宋"/>
                <w:szCs w:val="28"/>
              </w:rPr>
            </w:pPr>
            <w:r>
              <w:rPr>
                <w:rFonts w:ascii="仿宋" w:hAnsi="仿宋"/>
                <w:szCs w:val="28"/>
              </w:rPr>
              <w:t>评价等级</w:t>
            </w:r>
          </w:p>
        </w:tc>
        <w:tc>
          <w:tcPr>
            <w:tcW w:w="2004" w:type="dxa"/>
            <w:tcBorders>
              <w:top w:val="single" w:color="auto" w:sz="4" w:space="0"/>
              <w:left w:val="single" w:color="auto" w:sz="4" w:space="0"/>
              <w:bottom w:val="single" w:color="auto" w:sz="4" w:space="0"/>
              <w:right w:val="single" w:color="auto" w:sz="4" w:space="0"/>
            </w:tcBorders>
            <w:vAlign w:val="bottom"/>
          </w:tcPr>
          <w:p>
            <w:pPr>
              <w:widowControl/>
              <w:ind w:firstLine="0" w:firstLineChars="0"/>
              <w:jc w:val="center"/>
              <w:rPr>
                <w:rFonts w:ascii="仿宋" w:hAnsi="仿宋"/>
                <w:szCs w:val="28"/>
              </w:rPr>
            </w:pPr>
            <w:r>
              <w:rPr>
                <w:rFonts w:ascii="仿宋" w:hAnsi="仿宋"/>
                <w:szCs w:val="28"/>
              </w:rPr>
              <w:t>优</w:t>
            </w:r>
          </w:p>
        </w:tc>
        <w:tc>
          <w:tcPr>
            <w:tcW w:w="1671" w:type="dxa"/>
            <w:tcBorders>
              <w:top w:val="single" w:color="auto" w:sz="4" w:space="0"/>
              <w:left w:val="single" w:color="auto" w:sz="4" w:space="0"/>
              <w:bottom w:val="single" w:color="auto" w:sz="4" w:space="0"/>
              <w:right w:val="single" w:color="auto" w:sz="4" w:space="0"/>
            </w:tcBorders>
            <w:vAlign w:val="bottom"/>
          </w:tcPr>
          <w:p>
            <w:pPr>
              <w:widowControl/>
              <w:ind w:firstLine="0" w:firstLineChars="0"/>
              <w:jc w:val="center"/>
              <w:rPr>
                <w:rFonts w:ascii="仿宋" w:hAnsi="仿宋"/>
                <w:szCs w:val="28"/>
              </w:rPr>
            </w:pPr>
            <w:r>
              <w:rPr>
                <w:rFonts w:ascii="仿宋" w:hAnsi="仿宋"/>
                <w:szCs w:val="28"/>
              </w:rPr>
              <w:t>良</w:t>
            </w:r>
          </w:p>
        </w:tc>
        <w:tc>
          <w:tcPr>
            <w:tcW w:w="1440" w:type="dxa"/>
            <w:tcBorders>
              <w:top w:val="single" w:color="auto" w:sz="4" w:space="0"/>
              <w:left w:val="single" w:color="auto" w:sz="4" w:space="0"/>
              <w:bottom w:val="single" w:color="auto" w:sz="4" w:space="0"/>
              <w:right w:val="single" w:color="auto" w:sz="4" w:space="0"/>
            </w:tcBorders>
            <w:vAlign w:val="bottom"/>
          </w:tcPr>
          <w:p>
            <w:pPr>
              <w:widowControl/>
              <w:ind w:firstLine="0" w:firstLineChars="0"/>
              <w:jc w:val="center"/>
              <w:rPr>
                <w:rFonts w:ascii="仿宋" w:hAnsi="仿宋"/>
                <w:szCs w:val="28"/>
              </w:rPr>
            </w:pPr>
            <w:r>
              <w:rPr>
                <w:rFonts w:ascii="仿宋" w:hAnsi="仿宋"/>
                <w:szCs w:val="28"/>
              </w:rPr>
              <w:t>中</w:t>
            </w:r>
          </w:p>
        </w:tc>
        <w:tc>
          <w:tcPr>
            <w:tcW w:w="1602" w:type="dxa"/>
            <w:tcBorders>
              <w:top w:val="single" w:color="auto" w:sz="4" w:space="0"/>
              <w:left w:val="single" w:color="auto" w:sz="4" w:space="0"/>
              <w:bottom w:val="single" w:color="auto" w:sz="4" w:space="0"/>
              <w:right w:val="single" w:color="auto" w:sz="4" w:space="0"/>
            </w:tcBorders>
            <w:vAlign w:val="bottom"/>
          </w:tcPr>
          <w:p>
            <w:pPr>
              <w:widowControl/>
              <w:ind w:firstLine="0" w:firstLineChars="0"/>
              <w:jc w:val="center"/>
              <w:rPr>
                <w:rFonts w:ascii="仿宋" w:hAnsi="仿宋"/>
                <w:szCs w:val="28"/>
              </w:rPr>
            </w:pPr>
            <w:r>
              <w:rPr>
                <w:rFonts w:ascii="仿宋" w:hAnsi="仿宋"/>
                <w:szCs w:val="28"/>
              </w:rPr>
              <w:t>差</w:t>
            </w:r>
          </w:p>
        </w:tc>
      </w:tr>
    </w:tbl>
    <w:p>
      <w:pPr>
        <w:pStyle w:val="3"/>
        <w:spacing w:before="156"/>
        <w:ind w:firstLine="562"/>
      </w:pPr>
      <w:bookmarkStart w:id="12" w:name="_Toc523346027"/>
      <w:r>
        <w:rPr>
          <w:rFonts w:hint="eastAsia"/>
        </w:rPr>
        <w:t>（三）评价抽样情况概述</w:t>
      </w:r>
      <w:bookmarkEnd w:id="12"/>
    </w:p>
    <w:p>
      <w:pPr>
        <w:ind w:firstLine="560"/>
      </w:pPr>
      <w:r>
        <w:t>本次证据收集主要包括前期资料收集、现场调研、证据整理</w:t>
      </w:r>
      <w:r>
        <w:rPr>
          <w:rFonts w:hint="eastAsia"/>
        </w:rPr>
        <w:t>。绩效评价工作组首先从龙泉街道办事处调取预决算文件资料，从会计核算系统、记录搜集了部分资料，将所有文件资料汇集整理后，进行了案卷研究。然后将所有从案卷研究中获得的证据与从实地调研、问卷调查、会计核算系统和龙泉街道办事处获得的证据汇集起来，对同一指标在不同文件资料中的证据进行对比、印证、核实和补充，经过验证和确定后得到了准确、可靠和有效的证据。最后，绩效评价工作组对证据进行了判断分析，形成评价依据。</w:t>
      </w:r>
    </w:p>
    <w:p>
      <w:pPr>
        <w:pStyle w:val="2"/>
        <w:spacing w:before="156"/>
        <w:ind w:firstLine="562"/>
      </w:pPr>
      <w:bookmarkStart w:id="13" w:name="_Toc523346028"/>
      <w:r>
        <w:rPr>
          <w:rFonts w:hint="eastAsia"/>
        </w:rPr>
        <w:t>三、绩效分析</w:t>
      </w:r>
      <w:bookmarkEnd w:id="13"/>
    </w:p>
    <w:p>
      <w:pPr>
        <w:pStyle w:val="3"/>
        <w:spacing w:before="156"/>
        <w:ind w:firstLine="562"/>
      </w:pPr>
      <w:bookmarkStart w:id="14" w:name="_Toc523346029"/>
      <w:r>
        <w:rPr>
          <w:rFonts w:hint="eastAsia"/>
        </w:rPr>
        <w:t>（一）投入分析</w:t>
      </w:r>
      <w:bookmarkEnd w:id="14"/>
    </w:p>
    <w:p>
      <w:pPr>
        <w:pStyle w:val="4"/>
        <w:numPr>
          <w:ilvl w:val="0"/>
          <w:numId w:val="7"/>
        </w:numPr>
        <w:spacing w:before="156"/>
        <w:ind w:firstLineChars="0"/>
      </w:pPr>
      <w:r>
        <w:rPr>
          <w:rFonts w:hint="eastAsia"/>
        </w:rPr>
        <w:t>项目申报</w:t>
      </w:r>
    </w:p>
    <w:p>
      <w:pPr>
        <w:ind w:firstLine="560"/>
      </w:pPr>
      <w:r>
        <w:rPr>
          <w:rFonts w:hint="eastAsia"/>
        </w:rPr>
        <w:t>（1）绩效目标合理性</w:t>
      </w:r>
    </w:p>
    <w:p>
      <w:pPr>
        <w:ind w:firstLine="560"/>
      </w:pPr>
      <w:r>
        <w:rPr>
          <w:rFonts w:hint="eastAsia"/>
        </w:rPr>
        <w:t>绩效目标合理性指标评价要点包括：①部门（单位）所设立的整体绩效目标中长期绩效目标和年度绩效目标是否与国家和省相关政策要求相匹配；②长期绩效目标和年度绩效目标是否符合部门制定的中长期实施规划；③是否符合部门“三定”方案确定的职责。</w:t>
      </w:r>
    </w:p>
    <w:p>
      <w:pPr>
        <w:ind w:firstLine="560"/>
      </w:pPr>
      <w:r>
        <w:rPr>
          <w:rFonts w:hint="eastAsia"/>
        </w:rPr>
        <w:t>评价标准为：部门（单位）所设立的整体绩效目标中长期绩效目标和年度绩效目标是否与国家和省相关政策要求相匹配（</w:t>
      </w:r>
      <w:r>
        <w:t>2</w:t>
      </w:r>
      <w:r>
        <w:rPr>
          <w:rFonts w:hint="eastAsia"/>
        </w:rPr>
        <w:t>分）；长期绩效目标和年度绩效目标是否符合部门制定的中长期实施规划（</w:t>
      </w:r>
      <w:r>
        <w:t>2</w:t>
      </w:r>
      <w:r>
        <w:rPr>
          <w:rFonts w:hint="eastAsia"/>
        </w:rPr>
        <w:t>分）；符合部门“三定”方案确定的职责（</w:t>
      </w:r>
      <w:r>
        <w:t>1</w:t>
      </w:r>
      <w:r>
        <w:rPr>
          <w:rFonts w:hint="eastAsia"/>
        </w:rPr>
        <w:t>分）。</w:t>
      </w:r>
    </w:p>
    <w:p>
      <w:pPr>
        <w:ind w:firstLine="560"/>
      </w:pPr>
      <w:r>
        <w:rPr>
          <w:rFonts w:hint="eastAsia"/>
        </w:rPr>
        <w:t>经查看龙泉街道办事处编制的《武汉东湖新技术开发区龙泉街道办事处2017年部门预算编制说明》，对经费的使用方向进行了明确说明，经费用途明确。另外，龙泉街道办事处编制了201</w:t>
      </w:r>
      <w:r>
        <w:t>7</w:t>
      </w:r>
      <w:r>
        <w:rPr>
          <w:rFonts w:hint="eastAsia"/>
        </w:rPr>
        <w:t>工作任务和工作目标。对2017年度的工作任务进行了明确。符合部门“三定”方案确定的职责，根据情况该指标得分5分。</w:t>
      </w:r>
    </w:p>
    <w:p>
      <w:pPr>
        <w:pStyle w:val="4"/>
        <w:numPr>
          <w:ilvl w:val="0"/>
          <w:numId w:val="7"/>
        </w:numPr>
        <w:spacing w:before="156"/>
        <w:ind w:firstLineChars="0"/>
      </w:pPr>
      <w:r>
        <w:rPr>
          <w:rFonts w:hint="eastAsia"/>
        </w:rPr>
        <w:t>预算执行</w:t>
      </w:r>
    </w:p>
    <w:p>
      <w:pPr>
        <w:ind w:firstLine="560"/>
      </w:pPr>
      <w:r>
        <w:rPr>
          <w:rFonts w:hint="eastAsia" w:ascii="仿宋" w:hAnsi="仿宋"/>
        </w:rPr>
        <w:t>（1）预算完成率</w:t>
      </w:r>
    </w:p>
    <w:p>
      <w:pPr>
        <w:ind w:firstLine="560"/>
      </w:pPr>
      <w:r>
        <w:rPr>
          <w:rFonts w:hint="eastAsia"/>
        </w:rPr>
        <w:t xml:space="preserve"> 用以反映和考核部门（单位）预算完成程度。预算完成率=（预算完成数/预算数）×100%。</w:t>
      </w:r>
    </w:p>
    <w:p>
      <w:pPr>
        <w:ind w:firstLine="560"/>
      </w:pPr>
      <w:r>
        <w:rPr>
          <w:rFonts w:hint="eastAsia"/>
        </w:rPr>
        <w:t>龙泉街道办事处2</w:t>
      </w:r>
      <w:r>
        <w:t>017</w:t>
      </w:r>
      <w:r>
        <w:rPr>
          <w:rFonts w:hint="eastAsia"/>
        </w:rPr>
        <w:t>年度支出决算为10,001.91万元，完成预算数（调整后）的1</w:t>
      </w:r>
      <w:r>
        <w:t>00</w:t>
      </w:r>
      <w:r>
        <w:rPr>
          <w:rFonts w:hint="eastAsia"/>
        </w:rPr>
        <w:t>%。该项指标得分为</w:t>
      </w:r>
      <w:r>
        <w:t>5</w:t>
      </w:r>
      <w:r>
        <w:rPr>
          <w:rFonts w:hint="eastAsia"/>
        </w:rPr>
        <w:t>分。</w:t>
      </w:r>
    </w:p>
    <w:p>
      <w:pPr>
        <w:ind w:firstLine="560"/>
      </w:pPr>
      <w:r>
        <w:rPr>
          <w:rFonts w:hint="eastAsia"/>
        </w:rPr>
        <w:t>（2）预算调整率</w:t>
      </w:r>
    </w:p>
    <w:p>
      <w:pPr>
        <w:ind w:firstLine="560"/>
      </w:pPr>
      <w:r>
        <w:rPr>
          <w:rFonts w:hint="eastAsia"/>
        </w:rPr>
        <w:t>用以反映和考核部门（单位）预算的调整程度。预算调整率=（预算调整数/预算数）×100%。</w:t>
      </w:r>
    </w:p>
    <w:p>
      <w:pPr>
        <w:ind w:firstLine="560"/>
      </w:pPr>
      <w:r>
        <w:rPr>
          <w:rFonts w:hint="eastAsia"/>
        </w:rPr>
        <w:t>龙泉街道办事处2</w:t>
      </w:r>
      <w:r>
        <w:t>017</w:t>
      </w:r>
      <w:r>
        <w:rPr>
          <w:rFonts w:hint="eastAsia"/>
        </w:rPr>
        <w:t>年度年初预算6,585万元。，支出决算为10,001.91万元。预算调整率5</w:t>
      </w:r>
      <w:r>
        <w:t>2</w:t>
      </w:r>
      <w:r>
        <w:rPr>
          <w:rFonts w:hint="eastAsia"/>
        </w:rPr>
        <w:t>%，该项指标得分为</w:t>
      </w:r>
      <w:r>
        <w:t>0</w:t>
      </w:r>
      <w:r>
        <w:rPr>
          <w:rFonts w:hint="eastAsia"/>
        </w:rPr>
        <w:t>分。</w:t>
      </w:r>
    </w:p>
    <w:p>
      <w:pPr>
        <w:ind w:firstLine="560"/>
      </w:pPr>
      <w:r>
        <w:rPr>
          <w:rFonts w:hint="eastAsia"/>
        </w:rPr>
        <w:t>（</w:t>
      </w:r>
      <w:r>
        <w:t>3</w:t>
      </w:r>
      <w:r>
        <w:rPr>
          <w:rFonts w:hint="eastAsia"/>
        </w:rPr>
        <w:t>）支出进度率</w:t>
      </w:r>
    </w:p>
    <w:p>
      <w:pPr>
        <w:ind w:firstLine="560"/>
      </w:pPr>
      <w:r>
        <w:rPr>
          <w:rFonts w:hint="eastAsia"/>
        </w:rPr>
        <w:t>用以反映和考核部门（单位）预算执行的及时性和均衡性程度。支出进度率=（实际支出/支出预算）×100%。</w:t>
      </w:r>
    </w:p>
    <w:p>
      <w:pPr>
        <w:ind w:firstLine="560"/>
        <w:rPr>
          <w:rFonts w:hint="eastAsia"/>
        </w:rPr>
      </w:pPr>
      <w:r>
        <w:rPr>
          <w:rFonts w:hint="eastAsia"/>
        </w:rPr>
        <w:t>龙泉街道办事处基本经费和项目经费按进度支付，该项指标得分为</w:t>
      </w:r>
      <w:r>
        <w:t>5</w:t>
      </w:r>
      <w:r>
        <w:rPr>
          <w:rFonts w:hint="eastAsia"/>
        </w:rPr>
        <w:t>分。</w:t>
      </w:r>
    </w:p>
    <w:p>
      <w:pPr>
        <w:ind w:firstLine="560"/>
      </w:pPr>
      <w:r>
        <w:rPr>
          <w:rFonts w:hint="eastAsia"/>
        </w:rPr>
        <w:t>（</w:t>
      </w:r>
      <w:r>
        <w:t>4</w:t>
      </w:r>
      <w:r>
        <w:rPr>
          <w:rFonts w:hint="eastAsia"/>
        </w:rPr>
        <w:t>）预算编制准确率</w:t>
      </w:r>
    </w:p>
    <w:p>
      <w:pPr>
        <w:ind w:firstLine="560"/>
      </w:pPr>
      <w:r>
        <w:rPr>
          <w:rFonts w:hint="eastAsia"/>
        </w:rPr>
        <w:t>用以考察部门预算中除财政拨款外的其他收入预算与决算差异率，预算编制准确率＝其他收入决算数/其他收入预算数×100%-100%。</w:t>
      </w:r>
    </w:p>
    <w:p>
      <w:pPr>
        <w:ind w:firstLine="560"/>
        <w:rPr>
          <w:rFonts w:hint="eastAsia"/>
        </w:rPr>
      </w:pPr>
      <w:r>
        <w:rPr>
          <w:rFonts w:hint="eastAsia"/>
        </w:rPr>
        <w:t>龙泉街道办事处其他收入预算编制差异率53.31%，该项指标得分为</w:t>
      </w:r>
      <w:r>
        <w:t>0</w:t>
      </w:r>
      <w:r>
        <w:rPr>
          <w:rFonts w:hint="eastAsia"/>
        </w:rPr>
        <w:t>分。</w:t>
      </w:r>
    </w:p>
    <w:p>
      <w:pPr>
        <w:pStyle w:val="3"/>
        <w:spacing w:before="156"/>
        <w:ind w:firstLine="562"/>
      </w:pPr>
      <w:bookmarkStart w:id="15" w:name="_Toc523346030"/>
      <w:r>
        <w:rPr>
          <w:rFonts w:hint="eastAsia"/>
        </w:rPr>
        <w:t>（二）项目过程分析</w:t>
      </w:r>
      <w:bookmarkEnd w:id="15"/>
    </w:p>
    <w:p>
      <w:pPr>
        <w:pStyle w:val="4"/>
        <w:numPr>
          <w:ilvl w:val="0"/>
          <w:numId w:val="8"/>
        </w:numPr>
        <w:spacing w:before="156"/>
        <w:ind w:firstLineChars="0"/>
      </w:pPr>
      <w:r>
        <w:rPr>
          <w:rFonts w:hint="eastAsia"/>
        </w:rPr>
        <w:t>预算管理</w:t>
      </w:r>
    </w:p>
    <w:p>
      <w:pPr>
        <w:ind w:firstLine="560"/>
      </w:pPr>
      <w:r>
        <w:rPr>
          <w:rFonts w:hint="eastAsia"/>
        </w:rPr>
        <w:t>（1）“三公经费”控制率</w:t>
      </w:r>
    </w:p>
    <w:p>
      <w:pPr>
        <w:ind w:firstLine="560"/>
      </w:pPr>
      <w:r>
        <w:rPr>
          <w:rFonts w:hint="eastAsia"/>
        </w:rPr>
        <w:t>该指标用以反映和考核部门（单位）对“三公经费”的实际控制程度。“三公经费”控制率=（“三公经费”实际支出数/“三公经费”预算安排数）×100%。</w:t>
      </w:r>
    </w:p>
    <w:p>
      <w:pPr>
        <w:ind w:firstLine="560"/>
      </w:pPr>
      <w:r>
        <w:rPr>
          <w:rFonts w:hint="eastAsia"/>
        </w:rPr>
        <w:t>龙泉街道办事处三公经费预算率控制26.32%，该项指标得分为</w:t>
      </w:r>
      <w:r>
        <w:t>5</w:t>
      </w:r>
      <w:r>
        <w:rPr>
          <w:rFonts w:hint="eastAsia"/>
        </w:rPr>
        <w:t>分。</w:t>
      </w:r>
    </w:p>
    <w:p>
      <w:pPr>
        <w:pStyle w:val="4"/>
        <w:spacing w:before="156"/>
        <w:ind w:firstLine="560"/>
      </w:pPr>
      <w:r>
        <w:rPr>
          <w:rFonts w:hint="eastAsia"/>
        </w:rPr>
        <w:t>2、财务管理指标</w:t>
      </w:r>
    </w:p>
    <w:p>
      <w:pPr>
        <w:spacing w:before="156" w:beforeLines="50"/>
        <w:ind w:firstLine="480"/>
        <w:outlineLvl w:val="0"/>
        <w:rPr>
          <w:rFonts w:ascii="仿宋" w:hAnsi="仿宋"/>
          <w:sz w:val="24"/>
        </w:rPr>
      </w:pPr>
      <w:bookmarkStart w:id="16" w:name="_Toc5523"/>
      <w:bookmarkStart w:id="17" w:name="_Toc523346031"/>
      <w:r>
        <w:rPr>
          <w:rFonts w:hint="eastAsia" w:ascii="仿宋" w:hAnsi="仿宋"/>
          <w:sz w:val="24"/>
        </w:rPr>
        <w:t>（1）</w:t>
      </w:r>
      <w:bookmarkEnd w:id="16"/>
      <w:bookmarkEnd w:id="17"/>
      <w:r>
        <w:rPr>
          <w:rFonts w:hint="eastAsia" w:ascii="仿宋" w:hAnsi="仿宋"/>
          <w:szCs w:val="28"/>
        </w:rPr>
        <w:t>资产管理规范性</w:t>
      </w:r>
    </w:p>
    <w:p>
      <w:pPr>
        <w:ind w:firstLine="560"/>
      </w:pPr>
      <w:r>
        <w:rPr>
          <w:rFonts w:hint="eastAsia"/>
        </w:rPr>
        <w:t>该指标用以反映和考核部门（单位）资产管理情况：新增资产配置按预算执行；资产有偿使用、处置按规定程序审批；资产收益及时、足额上缴财政。</w:t>
      </w:r>
    </w:p>
    <w:p>
      <w:pPr>
        <w:ind w:firstLine="560"/>
      </w:pPr>
      <w:r>
        <w:rPr>
          <w:rFonts w:hint="eastAsia"/>
        </w:rPr>
        <w:t>龙泉街道办事处资产管理规范，该项指标得分为</w:t>
      </w:r>
      <w:r>
        <w:t>5</w:t>
      </w:r>
      <w:r>
        <w:rPr>
          <w:rFonts w:hint="eastAsia"/>
        </w:rPr>
        <w:t>分。</w:t>
      </w:r>
    </w:p>
    <w:p>
      <w:pPr>
        <w:spacing w:before="156" w:beforeLines="50"/>
        <w:ind w:firstLine="560"/>
        <w:outlineLvl w:val="0"/>
        <w:rPr>
          <w:rFonts w:ascii="仿宋" w:hAnsi="仿宋"/>
          <w:szCs w:val="28"/>
        </w:rPr>
      </w:pPr>
      <w:bookmarkStart w:id="18" w:name="_Toc16851"/>
      <w:bookmarkStart w:id="19" w:name="_Toc523346032"/>
      <w:r>
        <w:rPr>
          <w:rFonts w:hint="eastAsia" w:ascii="仿宋" w:hAnsi="仿宋"/>
          <w:szCs w:val="28"/>
        </w:rPr>
        <w:t>（2）资金使用合规性</w:t>
      </w:r>
      <w:bookmarkEnd w:id="18"/>
      <w:bookmarkEnd w:id="19"/>
    </w:p>
    <w:p>
      <w:pPr>
        <w:ind w:firstLine="560"/>
      </w:pPr>
      <w:r>
        <w:rPr>
          <w:rFonts w:hint="eastAsia"/>
        </w:rPr>
        <w:t>该指标用以反映和考核部门（单位）预算资金的规范运行情况：符合国家财经法规和财务管理制度规定以及有关专项资金管理办法的规定；资金的拨付有完整的审批程序和手续；重大项目开支经过评估论证；符合部门预算批复的用途；不存在截留、挤占、挪用、虚列支出等情况。</w:t>
      </w:r>
    </w:p>
    <w:p>
      <w:pPr>
        <w:ind w:firstLine="560"/>
        <w:rPr>
          <w:rFonts w:hint="eastAsia"/>
        </w:rPr>
      </w:pPr>
      <w:r>
        <w:rPr>
          <w:rFonts w:hint="eastAsia"/>
        </w:rPr>
        <w:t>龙泉街道办事处符合相关制度规定，，支出经过审批，重大项目经集体决策，符合预算批复用途，该项指标得分为</w:t>
      </w:r>
      <w:r>
        <w:t>5</w:t>
      </w:r>
      <w:r>
        <w:rPr>
          <w:rFonts w:hint="eastAsia"/>
        </w:rPr>
        <w:t>分。</w:t>
      </w:r>
    </w:p>
    <w:p>
      <w:pPr>
        <w:pStyle w:val="3"/>
        <w:spacing w:before="156"/>
        <w:ind w:firstLine="562"/>
      </w:pPr>
      <w:bookmarkStart w:id="20" w:name="_Toc523346034"/>
      <w:r>
        <w:rPr>
          <w:rFonts w:hint="eastAsia"/>
        </w:rPr>
        <w:t>（三）产出分析</w:t>
      </w:r>
      <w:bookmarkEnd w:id="20"/>
    </w:p>
    <w:p>
      <w:pPr>
        <w:pStyle w:val="4"/>
        <w:numPr>
          <w:ilvl w:val="0"/>
          <w:numId w:val="9"/>
        </w:numPr>
        <w:spacing w:before="156"/>
        <w:ind w:firstLine="480" w:firstLineChars="0"/>
      </w:pPr>
      <w:r>
        <w:rPr>
          <w:rFonts w:hint="eastAsia"/>
        </w:rPr>
        <w:t>产出数量指标</w:t>
      </w:r>
    </w:p>
    <w:p>
      <w:pPr>
        <w:pStyle w:val="4"/>
        <w:numPr>
          <w:ilvl w:val="0"/>
          <w:numId w:val="10"/>
        </w:numPr>
        <w:spacing w:before="156"/>
        <w:ind w:firstLineChars="0"/>
      </w:pPr>
      <w:r>
        <w:rPr>
          <w:rFonts w:hint="eastAsia"/>
        </w:rPr>
        <w:t xml:space="preserve"> 人员及经费得到保障</w:t>
      </w:r>
    </w:p>
    <w:p>
      <w:pPr>
        <w:ind w:firstLine="560"/>
      </w:pPr>
      <w:r>
        <w:rPr>
          <w:rFonts w:hint="eastAsia"/>
        </w:rPr>
        <w:t>完成率=（实际数量/计划数量）×100%。计划数量：编制130人。实际情况：在职186人。</w:t>
      </w:r>
    </w:p>
    <w:p>
      <w:pPr>
        <w:ind w:firstLine="560"/>
        <w:rPr>
          <w:rFonts w:ascii="仿宋" w:hAnsi="仿宋"/>
        </w:rPr>
      </w:pPr>
      <w:r>
        <w:rPr>
          <w:rFonts w:hint="eastAsia"/>
        </w:rPr>
        <w:t>该项指标得分为</w:t>
      </w:r>
      <w:r>
        <w:t>2</w:t>
      </w:r>
      <w:r>
        <w:rPr>
          <w:rFonts w:hint="eastAsia"/>
        </w:rPr>
        <w:t>分。</w:t>
      </w:r>
    </w:p>
    <w:p>
      <w:pPr>
        <w:pStyle w:val="4"/>
        <w:numPr>
          <w:ilvl w:val="0"/>
          <w:numId w:val="10"/>
        </w:numPr>
        <w:spacing w:before="156"/>
        <w:ind w:firstLineChars="0"/>
      </w:pPr>
      <w:r>
        <w:rPr>
          <w:rFonts w:hint="eastAsia"/>
        </w:rPr>
        <w:t xml:space="preserve"> 有效管理街道所属社区与村</w:t>
      </w:r>
    </w:p>
    <w:p>
      <w:pPr>
        <w:ind w:firstLine="560"/>
      </w:pPr>
      <w:r>
        <w:rPr>
          <w:rFonts w:hint="eastAsia"/>
        </w:rPr>
        <w:t>完成率=（实际数量/计划数量）×100%。计划数量：1个社区13个村。实际情况：有效管辖1个社区13个村。</w:t>
      </w:r>
    </w:p>
    <w:p>
      <w:pPr>
        <w:pStyle w:val="20"/>
        <w:ind w:left="400" w:firstLine="280" w:firstLineChars="100"/>
        <w:rPr>
          <w:rFonts w:ascii="仿宋" w:hAnsi="仿宋"/>
        </w:rPr>
      </w:pPr>
      <w:r>
        <w:rPr>
          <w:rFonts w:hint="eastAsia"/>
        </w:rPr>
        <w:t>该项指标得分为</w:t>
      </w:r>
      <w:r>
        <w:t>2</w:t>
      </w:r>
      <w:r>
        <w:rPr>
          <w:rFonts w:hint="eastAsia"/>
        </w:rPr>
        <w:t>分。</w:t>
      </w:r>
    </w:p>
    <w:p>
      <w:pPr>
        <w:pStyle w:val="4"/>
        <w:numPr>
          <w:ilvl w:val="0"/>
          <w:numId w:val="10"/>
        </w:numPr>
        <w:spacing w:before="156"/>
        <w:ind w:firstLineChars="0"/>
      </w:pPr>
      <w:r>
        <w:rPr>
          <w:rFonts w:hint="eastAsia"/>
        </w:rPr>
        <w:t xml:space="preserve"> 主要工作完成情况</w:t>
      </w:r>
    </w:p>
    <w:p>
      <w:pPr>
        <w:ind w:firstLine="560"/>
      </w:pPr>
      <w:r>
        <w:rPr>
          <w:rFonts w:hint="eastAsia"/>
        </w:rPr>
        <w:t>完成率=（实际数量/计划数量）×100%。计划数量：发展党员20人，处理违纪35人；完成征收集体土地3,095.64亩，拆迁总面积18.56万方；发放民政保障补贴1,000.00万元；加大新农合宣传力度，参合率达到99%以上；安置下岗失业人数35人，新增就业人数495人；全年接待群众来访60批次以上，解决16个信访问题；组织街道文体活动28场。实际情况：发展党员20人，处理违纪35人；完成征收集体土地3,095.64亩，拆迁总面积18.56万方；发放民政保障补贴1,</w:t>
      </w:r>
      <w:r>
        <w:t>1</w:t>
      </w:r>
      <w:r>
        <w:rPr>
          <w:rFonts w:hint="eastAsia"/>
        </w:rPr>
        <w:t>0</w:t>
      </w:r>
      <w:r>
        <w:t>2</w:t>
      </w:r>
      <w:r>
        <w:rPr>
          <w:rFonts w:hint="eastAsia"/>
        </w:rPr>
        <w:t>.</w:t>
      </w:r>
      <w:r>
        <w:t>4</w:t>
      </w:r>
      <w:r>
        <w:rPr>
          <w:rFonts w:hint="eastAsia"/>
        </w:rPr>
        <w:t>0万元；加大新农合宣传力度，参合率达到99</w:t>
      </w:r>
      <w:r>
        <w:t>.95</w:t>
      </w:r>
      <w:r>
        <w:rPr>
          <w:rFonts w:hint="eastAsia"/>
        </w:rPr>
        <w:t>%以上；安置下岗失业人数35人，新增就业人数495人；全年接待群众来访6</w:t>
      </w:r>
      <w:r>
        <w:t>6</w:t>
      </w:r>
      <w:r>
        <w:rPr>
          <w:rFonts w:hint="eastAsia"/>
        </w:rPr>
        <w:t>批次，解决16个信访问题；组织街道文体活动28场。</w:t>
      </w:r>
    </w:p>
    <w:p>
      <w:pPr>
        <w:pStyle w:val="20"/>
        <w:ind w:left="400" w:firstLine="280" w:firstLineChars="100"/>
      </w:pPr>
      <w:r>
        <w:rPr>
          <w:rFonts w:hint="eastAsia"/>
        </w:rPr>
        <w:t>该项指标得分为</w:t>
      </w:r>
      <w:r>
        <w:t>16</w:t>
      </w:r>
      <w:r>
        <w:rPr>
          <w:rFonts w:hint="eastAsia"/>
        </w:rPr>
        <w:t>分。</w:t>
      </w:r>
    </w:p>
    <w:p>
      <w:pPr>
        <w:pStyle w:val="4"/>
        <w:numPr>
          <w:ilvl w:val="0"/>
          <w:numId w:val="9"/>
        </w:numPr>
        <w:spacing w:before="156"/>
        <w:ind w:firstLine="480" w:firstLineChars="0"/>
      </w:pPr>
      <w:r>
        <w:rPr>
          <w:rFonts w:hint="eastAsia"/>
        </w:rPr>
        <w:t>产出质量指标</w:t>
      </w:r>
    </w:p>
    <w:p>
      <w:pPr>
        <w:ind w:firstLine="560"/>
      </w:pPr>
      <w:r>
        <w:rPr>
          <w:rFonts w:hint="eastAsia"/>
        </w:rPr>
        <w:t>街道实施项目符合国家政策，促进社会和谐有序发展。街道组织实施的项目是否符合国家相关政策、带动性强、有利于促进社会和谐有序发展。</w:t>
      </w:r>
    </w:p>
    <w:p>
      <w:pPr>
        <w:pStyle w:val="20"/>
        <w:ind w:left="400" w:firstLine="280" w:firstLineChars="100"/>
      </w:pPr>
      <w:r>
        <w:rPr>
          <w:rFonts w:hint="eastAsia"/>
        </w:rPr>
        <w:t>该项指标得分为</w:t>
      </w:r>
      <w:r>
        <w:t>5</w:t>
      </w:r>
      <w:r>
        <w:rPr>
          <w:rFonts w:hint="eastAsia"/>
        </w:rPr>
        <w:t>分。</w:t>
      </w:r>
    </w:p>
    <w:p>
      <w:pPr>
        <w:pStyle w:val="3"/>
        <w:spacing w:before="156"/>
        <w:ind w:firstLine="562"/>
      </w:pPr>
      <w:bookmarkStart w:id="21" w:name="_Toc523346035"/>
      <w:r>
        <w:rPr>
          <w:rFonts w:hint="eastAsia"/>
        </w:rPr>
        <w:t>（四）效果分析</w:t>
      </w:r>
      <w:bookmarkEnd w:id="21"/>
    </w:p>
    <w:p>
      <w:pPr>
        <w:pStyle w:val="4"/>
        <w:numPr>
          <w:ilvl w:val="0"/>
          <w:numId w:val="11"/>
        </w:numPr>
        <w:spacing w:before="156"/>
        <w:ind w:firstLineChars="0"/>
      </w:pPr>
      <w:r>
        <w:rPr>
          <w:rFonts w:hint="eastAsia"/>
        </w:rPr>
        <w:t>经济效益</w:t>
      </w:r>
    </w:p>
    <w:p>
      <w:pPr>
        <w:ind w:firstLine="560"/>
        <w:outlineLvl w:val="0"/>
      </w:pPr>
      <w:r>
        <w:rPr>
          <w:rFonts w:hint="eastAsia"/>
        </w:rPr>
        <w:t>促进经济发展，增加居民收入</w:t>
      </w:r>
    </w:p>
    <w:p>
      <w:pPr>
        <w:ind w:firstLine="560"/>
        <w:outlineLvl w:val="0"/>
      </w:pPr>
      <w:r>
        <w:rPr>
          <w:rFonts w:hint="eastAsia"/>
        </w:rPr>
        <w:t>完成率=（实际数量/计划数量）×100%。计划数量：建成108个门面、约5,000平方米的商业综合体并投入使用。实际情况：建成108个门面、5,000平方米的商业综合体投入使用。</w:t>
      </w:r>
    </w:p>
    <w:p>
      <w:pPr>
        <w:ind w:firstLine="560"/>
      </w:pPr>
      <w:r>
        <w:rPr>
          <w:rFonts w:hint="eastAsia"/>
        </w:rPr>
        <w:t>该项指标得分为</w:t>
      </w:r>
      <w:r>
        <w:t>4</w:t>
      </w:r>
      <w:r>
        <w:rPr>
          <w:rFonts w:hint="eastAsia"/>
        </w:rPr>
        <w:t>分。</w:t>
      </w:r>
    </w:p>
    <w:p>
      <w:pPr>
        <w:pStyle w:val="4"/>
        <w:numPr>
          <w:ilvl w:val="0"/>
          <w:numId w:val="11"/>
        </w:numPr>
        <w:spacing w:before="156"/>
        <w:ind w:firstLineChars="0"/>
      </w:pPr>
      <w:r>
        <w:rPr>
          <w:rFonts w:hint="eastAsia"/>
        </w:rPr>
        <w:t>社会效益</w:t>
      </w:r>
    </w:p>
    <w:p>
      <w:pPr>
        <w:numPr>
          <w:ilvl w:val="0"/>
          <w:numId w:val="12"/>
        </w:numPr>
        <w:ind w:firstLine="560" w:firstLineChars="0"/>
        <w:outlineLvl w:val="0"/>
        <w:rPr>
          <w:rFonts w:ascii="仿宋" w:hAnsi="仿宋"/>
          <w:szCs w:val="28"/>
        </w:rPr>
      </w:pPr>
      <w:bookmarkStart w:id="22" w:name="_Toc523346040"/>
      <w:bookmarkStart w:id="23" w:name="_Toc12992"/>
      <w:r>
        <w:rPr>
          <w:rFonts w:hint="eastAsia" w:ascii="仿宋" w:hAnsi="仿宋"/>
          <w:szCs w:val="28"/>
        </w:rPr>
        <w:t>进一步加强党建工作</w:t>
      </w:r>
      <w:bookmarkEnd w:id="22"/>
      <w:bookmarkEnd w:id="23"/>
    </w:p>
    <w:p>
      <w:pPr>
        <w:ind w:firstLine="560"/>
        <w:rPr>
          <w:szCs w:val="28"/>
        </w:rPr>
      </w:pPr>
      <w:r>
        <w:rPr>
          <w:rFonts w:hint="eastAsia"/>
          <w:szCs w:val="28"/>
        </w:rPr>
        <w:t>指标考核打造作风优良的干部队伍，加强基层支部建设，从严从实狠抓“两个责任”落实，提升党风廉政建设水平。201</w:t>
      </w:r>
      <w:r>
        <w:rPr>
          <w:szCs w:val="28"/>
        </w:rPr>
        <w:t>7</w:t>
      </w:r>
      <w:r>
        <w:rPr>
          <w:rFonts w:hint="eastAsia"/>
          <w:szCs w:val="28"/>
        </w:rPr>
        <w:t>年，龙泉街道办事处的党建工作主要如下：深入开展</w:t>
      </w:r>
      <w:r>
        <w:rPr>
          <w:rFonts w:hint="eastAsia"/>
          <w:szCs w:val="28"/>
          <w:lang w:eastAsia="zh-CN"/>
        </w:rPr>
        <w:t>“两学一做”学习教育</w:t>
      </w:r>
      <w:r>
        <w:rPr>
          <w:rFonts w:hint="eastAsia"/>
          <w:szCs w:val="28"/>
        </w:rPr>
        <w:t>常态化，打造充满活力的干部队伍，全街13个村按照标准和要求进行统一整治提升，一村一策，突出党务、村务规范建设，规范村级“三资”管理。</w:t>
      </w:r>
    </w:p>
    <w:p>
      <w:pPr>
        <w:ind w:firstLine="560"/>
        <w:rPr>
          <w:rFonts w:hint="eastAsia"/>
          <w:szCs w:val="28"/>
        </w:rPr>
      </w:pPr>
      <w:r>
        <w:rPr>
          <w:rFonts w:hint="eastAsia"/>
        </w:rPr>
        <w:t>该项指标得分为</w:t>
      </w:r>
      <w:r>
        <w:t>4</w:t>
      </w:r>
      <w:r>
        <w:rPr>
          <w:rFonts w:hint="eastAsia"/>
        </w:rPr>
        <w:t>分。</w:t>
      </w:r>
    </w:p>
    <w:p>
      <w:pPr>
        <w:numPr>
          <w:ilvl w:val="0"/>
          <w:numId w:val="12"/>
        </w:numPr>
        <w:ind w:firstLine="560" w:firstLineChars="0"/>
        <w:outlineLvl w:val="0"/>
        <w:rPr>
          <w:rFonts w:ascii="仿宋" w:hAnsi="仿宋"/>
          <w:szCs w:val="28"/>
        </w:rPr>
      </w:pPr>
      <w:r>
        <w:rPr>
          <w:rFonts w:hint="eastAsia" w:ascii="仿宋" w:hAnsi="仿宋"/>
          <w:szCs w:val="28"/>
        </w:rPr>
        <w:t>改善和保障民生</w:t>
      </w:r>
    </w:p>
    <w:p>
      <w:pPr>
        <w:ind w:firstLine="565" w:firstLineChars="202"/>
        <w:outlineLvl w:val="0"/>
        <w:rPr>
          <w:rFonts w:hint="eastAsia" w:ascii="仿宋" w:hAnsi="仿宋"/>
          <w:szCs w:val="28"/>
        </w:rPr>
      </w:pPr>
      <w:r>
        <w:rPr>
          <w:rFonts w:hint="eastAsia"/>
          <w:szCs w:val="28"/>
        </w:rPr>
        <w:t>指标考核落实政策保民生，服务群众办实事，计生卫生全达标创新途径促发展。201</w:t>
      </w:r>
      <w:r>
        <w:rPr>
          <w:szCs w:val="28"/>
        </w:rPr>
        <w:t>7</w:t>
      </w:r>
      <w:r>
        <w:rPr>
          <w:rFonts w:hint="eastAsia"/>
          <w:szCs w:val="28"/>
        </w:rPr>
        <w:t>年，龙泉街道办事处落实政策保民生，服务群众办实事，计生卫生全达标，创新途径促发展。</w:t>
      </w:r>
    </w:p>
    <w:p>
      <w:pPr>
        <w:ind w:firstLine="560"/>
        <w:rPr>
          <w:rFonts w:hint="eastAsia"/>
          <w:szCs w:val="28"/>
        </w:rPr>
      </w:pPr>
      <w:r>
        <w:rPr>
          <w:rFonts w:hint="eastAsia"/>
        </w:rPr>
        <w:t>该项指标得分为</w:t>
      </w:r>
      <w:r>
        <w:t>4</w:t>
      </w:r>
      <w:r>
        <w:rPr>
          <w:rFonts w:hint="eastAsia"/>
        </w:rPr>
        <w:t>分。</w:t>
      </w:r>
    </w:p>
    <w:p>
      <w:pPr>
        <w:numPr>
          <w:ilvl w:val="0"/>
          <w:numId w:val="12"/>
        </w:numPr>
        <w:ind w:firstLine="560" w:firstLineChars="0"/>
        <w:outlineLvl w:val="0"/>
        <w:rPr>
          <w:rFonts w:ascii="仿宋" w:hAnsi="仿宋"/>
          <w:szCs w:val="28"/>
        </w:rPr>
      </w:pPr>
      <w:r>
        <w:rPr>
          <w:rFonts w:hint="eastAsia" w:ascii="仿宋" w:hAnsi="仿宋"/>
          <w:szCs w:val="28"/>
        </w:rPr>
        <w:t>加强社会管理工作</w:t>
      </w:r>
    </w:p>
    <w:p>
      <w:pPr>
        <w:pStyle w:val="20"/>
        <w:ind w:firstLine="700" w:firstLineChars="250"/>
        <w:outlineLvl w:val="0"/>
        <w:rPr>
          <w:rFonts w:hint="eastAsia" w:ascii="仿宋" w:hAnsi="仿宋"/>
          <w:szCs w:val="28"/>
        </w:rPr>
      </w:pPr>
      <w:r>
        <w:rPr>
          <w:rFonts w:hint="eastAsia"/>
          <w:szCs w:val="28"/>
        </w:rPr>
        <w:t>指标考核确保全街不发生一起重大安全事故，无违法建设项目。201</w:t>
      </w:r>
      <w:r>
        <w:rPr>
          <w:szCs w:val="28"/>
        </w:rPr>
        <w:t>7</w:t>
      </w:r>
      <w:r>
        <w:rPr>
          <w:rFonts w:hint="eastAsia"/>
          <w:szCs w:val="28"/>
        </w:rPr>
        <w:t>年，龙泉街道办事处全街未发生一起重大安全事故，拆除违法建设53处，占地面积7,885.72平方米,建筑面积8,165.72平方米。</w:t>
      </w:r>
    </w:p>
    <w:p>
      <w:pPr>
        <w:pStyle w:val="20"/>
        <w:ind w:left="420" w:firstLine="280" w:firstLineChars="100"/>
        <w:rPr>
          <w:rFonts w:hint="eastAsia"/>
          <w:szCs w:val="28"/>
        </w:rPr>
      </w:pPr>
      <w:r>
        <w:rPr>
          <w:rFonts w:hint="eastAsia"/>
        </w:rPr>
        <w:t>该项指标得分为</w:t>
      </w:r>
      <w:r>
        <w:t>4</w:t>
      </w:r>
      <w:r>
        <w:rPr>
          <w:rFonts w:hint="eastAsia"/>
        </w:rPr>
        <w:t>分。</w:t>
      </w:r>
    </w:p>
    <w:p>
      <w:pPr>
        <w:numPr>
          <w:ilvl w:val="0"/>
          <w:numId w:val="12"/>
        </w:numPr>
        <w:ind w:firstLine="560" w:firstLineChars="0"/>
        <w:outlineLvl w:val="0"/>
        <w:rPr>
          <w:rFonts w:ascii="仿宋" w:hAnsi="仿宋"/>
          <w:szCs w:val="28"/>
        </w:rPr>
      </w:pPr>
      <w:r>
        <w:rPr>
          <w:rFonts w:hint="eastAsia" w:ascii="仿宋" w:hAnsi="仿宋"/>
          <w:szCs w:val="28"/>
        </w:rPr>
        <w:t>维护社会稳定</w:t>
      </w:r>
    </w:p>
    <w:p>
      <w:pPr>
        <w:pStyle w:val="20"/>
        <w:ind w:firstLine="560"/>
        <w:rPr>
          <w:szCs w:val="28"/>
        </w:rPr>
      </w:pPr>
      <w:r>
        <w:rPr>
          <w:rFonts w:hint="eastAsia"/>
          <w:szCs w:val="28"/>
        </w:rPr>
        <w:t>指标考核不发生去市、赴省、进京非访和群体性事件。201</w:t>
      </w:r>
      <w:r>
        <w:rPr>
          <w:szCs w:val="28"/>
        </w:rPr>
        <w:t>7</w:t>
      </w:r>
      <w:r>
        <w:rPr>
          <w:rFonts w:hint="eastAsia"/>
          <w:szCs w:val="28"/>
        </w:rPr>
        <w:t>年，龙泉街道办事处未发生去市、赴省、进京非访和群体性事件。</w:t>
      </w:r>
    </w:p>
    <w:p>
      <w:pPr>
        <w:pStyle w:val="20"/>
        <w:ind w:left="420" w:firstLine="280" w:firstLineChars="100"/>
        <w:rPr>
          <w:rFonts w:hint="eastAsia"/>
          <w:szCs w:val="28"/>
        </w:rPr>
      </w:pPr>
      <w:r>
        <w:rPr>
          <w:rFonts w:hint="eastAsia"/>
        </w:rPr>
        <w:t>该项指标得分为</w:t>
      </w:r>
      <w:r>
        <w:t>4</w:t>
      </w:r>
      <w:r>
        <w:rPr>
          <w:rFonts w:hint="eastAsia"/>
        </w:rPr>
        <w:t>分。</w:t>
      </w:r>
    </w:p>
    <w:p>
      <w:pPr>
        <w:pStyle w:val="4"/>
        <w:numPr>
          <w:ilvl w:val="0"/>
          <w:numId w:val="11"/>
        </w:numPr>
        <w:spacing w:before="156"/>
        <w:ind w:firstLineChars="0"/>
      </w:pPr>
      <w:r>
        <w:rPr>
          <w:rFonts w:hint="eastAsia"/>
        </w:rPr>
        <w:t>环境效益</w:t>
      </w:r>
    </w:p>
    <w:p>
      <w:pPr>
        <w:pStyle w:val="20"/>
        <w:ind w:firstLine="560"/>
        <w:rPr>
          <w:rFonts w:ascii="仿宋" w:hAnsi="仿宋"/>
          <w:szCs w:val="28"/>
        </w:rPr>
      </w:pPr>
      <w:r>
        <w:rPr>
          <w:rFonts w:hint="eastAsia" w:ascii="仿宋" w:hAnsi="仿宋"/>
          <w:szCs w:val="28"/>
        </w:rPr>
        <w:t>保护生态环境</w:t>
      </w:r>
    </w:p>
    <w:p>
      <w:pPr>
        <w:pStyle w:val="20"/>
        <w:ind w:firstLine="560"/>
        <w:rPr>
          <w:rFonts w:hint="eastAsia" w:ascii="仿宋" w:hAnsi="仿宋"/>
          <w:szCs w:val="28"/>
        </w:rPr>
      </w:pPr>
      <w:r>
        <w:rPr>
          <w:rFonts w:hint="eastAsia" w:ascii="仿宋" w:hAnsi="仿宋"/>
          <w:szCs w:val="28"/>
        </w:rPr>
        <w:t>完成率=（实际数量/计划数量）×100%。计划数量：处置侵占湖泊保护蓝线违章建筑400平方米，制止违法填湖现象10次。实际情况：处置侵占湖泊保护蓝线违章建筑9处400平方米，制止违法填湖现象10次。</w:t>
      </w:r>
    </w:p>
    <w:p>
      <w:pPr>
        <w:pStyle w:val="20"/>
        <w:ind w:firstLine="560"/>
        <w:rPr>
          <w:rFonts w:hint="eastAsia" w:ascii="仿宋" w:hAnsi="仿宋"/>
          <w:szCs w:val="28"/>
        </w:rPr>
      </w:pPr>
      <w:r>
        <w:rPr>
          <w:rFonts w:hint="eastAsia" w:ascii="仿宋" w:hAnsi="仿宋"/>
          <w:szCs w:val="28"/>
        </w:rPr>
        <w:t>该项指标得分为4分。</w:t>
      </w:r>
    </w:p>
    <w:p>
      <w:pPr>
        <w:pStyle w:val="4"/>
        <w:numPr>
          <w:ilvl w:val="0"/>
          <w:numId w:val="11"/>
        </w:numPr>
        <w:spacing w:before="156"/>
        <w:ind w:firstLineChars="0"/>
      </w:pPr>
      <w:r>
        <w:rPr>
          <w:rFonts w:hint="eastAsia"/>
        </w:rPr>
        <w:t>可持续影响</w:t>
      </w:r>
    </w:p>
    <w:p>
      <w:pPr>
        <w:ind w:firstLine="840" w:firstLineChars="300"/>
      </w:pPr>
      <w:r>
        <w:rPr>
          <w:rFonts w:hint="eastAsia"/>
        </w:rPr>
        <w:t>指标考核工作经费是否得到保障、内部管理制度是否健全完整。</w:t>
      </w:r>
      <w:r>
        <w:rPr>
          <w:rFonts w:hint="eastAsia"/>
          <w:szCs w:val="28"/>
        </w:rPr>
        <w:t>201</w:t>
      </w:r>
      <w:r>
        <w:rPr>
          <w:szCs w:val="28"/>
        </w:rPr>
        <w:t>7</w:t>
      </w:r>
      <w:r>
        <w:rPr>
          <w:rFonts w:hint="eastAsia"/>
          <w:szCs w:val="28"/>
        </w:rPr>
        <w:t>年，龙泉街道办事处工作经费能得到保障，新的一年，内部控制制度需进一步进行完善。</w:t>
      </w:r>
    </w:p>
    <w:p>
      <w:pPr>
        <w:pStyle w:val="20"/>
        <w:ind w:firstLine="560"/>
        <w:rPr>
          <w:rFonts w:hint="eastAsia" w:ascii="仿宋" w:hAnsi="仿宋"/>
          <w:szCs w:val="28"/>
        </w:rPr>
      </w:pPr>
      <w:r>
        <w:rPr>
          <w:rFonts w:hint="eastAsia" w:ascii="仿宋" w:hAnsi="仿宋"/>
          <w:szCs w:val="28"/>
        </w:rPr>
        <w:t>该项指标得分为</w:t>
      </w:r>
      <w:r>
        <w:rPr>
          <w:rFonts w:ascii="仿宋" w:hAnsi="仿宋"/>
          <w:szCs w:val="28"/>
        </w:rPr>
        <w:t>2.5</w:t>
      </w:r>
      <w:r>
        <w:rPr>
          <w:rFonts w:hint="eastAsia" w:ascii="仿宋" w:hAnsi="仿宋"/>
          <w:szCs w:val="28"/>
        </w:rPr>
        <w:t>分。</w:t>
      </w:r>
    </w:p>
    <w:p>
      <w:pPr>
        <w:pStyle w:val="4"/>
        <w:numPr>
          <w:ilvl w:val="0"/>
          <w:numId w:val="11"/>
        </w:numPr>
        <w:spacing w:before="156"/>
        <w:ind w:firstLineChars="0"/>
      </w:pPr>
      <w:r>
        <w:rPr>
          <w:rFonts w:hint="eastAsia"/>
        </w:rPr>
        <w:t>服务对象满意度</w:t>
      </w:r>
    </w:p>
    <w:p>
      <w:pPr>
        <w:ind w:firstLine="495" w:firstLineChars="177"/>
        <w:rPr>
          <w:rFonts w:ascii="仿宋" w:hAnsi="仿宋"/>
          <w:szCs w:val="28"/>
        </w:rPr>
      </w:pPr>
      <w:r>
        <w:rPr>
          <w:rFonts w:hint="eastAsia" w:ascii="仿宋" w:hAnsi="仿宋"/>
          <w:szCs w:val="28"/>
        </w:rPr>
        <w:t>此次绩效评价共发出问卷</w:t>
      </w:r>
      <w:r>
        <w:rPr>
          <w:rFonts w:ascii="仿宋" w:hAnsi="仿宋"/>
          <w:szCs w:val="28"/>
        </w:rPr>
        <w:t>25</w:t>
      </w:r>
      <w:r>
        <w:rPr>
          <w:rFonts w:hint="eastAsia" w:ascii="仿宋" w:hAnsi="仿宋"/>
          <w:szCs w:val="28"/>
        </w:rPr>
        <w:t>份，收回问卷</w:t>
      </w:r>
      <w:r>
        <w:rPr>
          <w:rFonts w:ascii="仿宋" w:hAnsi="仿宋"/>
          <w:szCs w:val="28"/>
        </w:rPr>
        <w:t>25</w:t>
      </w:r>
      <w:r>
        <w:rPr>
          <w:rFonts w:hint="eastAsia" w:ascii="仿宋" w:hAnsi="仿宋"/>
          <w:szCs w:val="28"/>
        </w:rPr>
        <w:t>份，有效问卷</w:t>
      </w:r>
      <w:r>
        <w:rPr>
          <w:rFonts w:ascii="仿宋" w:hAnsi="仿宋"/>
          <w:szCs w:val="28"/>
        </w:rPr>
        <w:t>25</w:t>
      </w:r>
      <w:r>
        <w:rPr>
          <w:rFonts w:hint="eastAsia" w:ascii="仿宋" w:hAnsi="仿宋"/>
          <w:szCs w:val="28"/>
        </w:rPr>
        <w:t>份。经统计，公众对龙泉街道办事处工作总体比较满意，综合满意度为8</w:t>
      </w:r>
      <w:r>
        <w:rPr>
          <w:rFonts w:ascii="仿宋" w:hAnsi="仿宋"/>
          <w:szCs w:val="28"/>
        </w:rPr>
        <w:t>5</w:t>
      </w:r>
      <w:r>
        <w:rPr>
          <w:rFonts w:hint="eastAsia" w:ascii="仿宋" w:hAnsi="仿宋"/>
          <w:szCs w:val="28"/>
        </w:rPr>
        <w:t>%，满意度共得分</w:t>
      </w:r>
      <w:r>
        <w:rPr>
          <w:rFonts w:ascii="仿宋" w:hAnsi="仿宋"/>
          <w:szCs w:val="28"/>
        </w:rPr>
        <w:t>6</w:t>
      </w:r>
      <w:r>
        <w:rPr>
          <w:rFonts w:hint="eastAsia" w:ascii="仿宋" w:hAnsi="仿宋"/>
          <w:szCs w:val="28"/>
        </w:rPr>
        <w:t>分。</w:t>
      </w:r>
    </w:p>
    <w:p>
      <w:pPr>
        <w:pStyle w:val="3"/>
        <w:spacing w:before="156"/>
        <w:ind w:firstLine="562"/>
        <w:rPr>
          <w:rFonts w:ascii="仿宋" w:hAnsi="仿宋"/>
          <w:szCs w:val="28"/>
        </w:rPr>
      </w:pPr>
      <w:bookmarkStart w:id="24" w:name="_Toc523346041"/>
      <w:r>
        <w:rPr>
          <w:rFonts w:hint="eastAsia" w:ascii="仿宋" w:hAnsi="仿宋"/>
          <w:szCs w:val="28"/>
        </w:rPr>
        <w:t>（五）</w:t>
      </w:r>
      <w:r>
        <w:rPr>
          <w:rFonts w:hint="eastAsia" w:ascii="仿宋" w:hAnsi="仿宋"/>
          <w:bCs/>
          <w:szCs w:val="28"/>
        </w:rPr>
        <w:t>评价结论</w:t>
      </w:r>
      <w:bookmarkEnd w:id="24"/>
    </w:p>
    <w:p>
      <w:pPr>
        <w:pStyle w:val="4"/>
        <w:numPr>
          <w:ilvl w:val="0"/>
          <w:numId w:val="13"/>
        </w:numPr>
        <w:spacing w:before="156"/>
        <w:ind w:firstLine="560" w:firstLineChars="0"/>
        <w:rPr>
          <w:b/>
          <w:bCs/>
        </w:rPr>
      </w:pPr>
      <w:r>
        <w:rPr>
          <w:rFonts w:hint="eastAsia"/>
          <w:b/>
          <w:bCs/>
        </w:rPr>
        <w:t>评分结果</w:t>
      </w:r>
    </w:p>
    <w:p>
      <w:pPr>
        <w:ind w:firstLine="560"/>
        <w:rPr>
          <w:szCs w:val="28"/>
        </w:rPr>
      </w:pPr>
      <w:r>
        <w:rPr>
          <w:rFonts w:hint="eastAsia"/>
          <w:szCs w:val="28"/>
        </w:rPr>
        <w:t>经上述分析，龙泉街道办事处部门整体支出绩效评价得分是：投入15分，过程 15分，产出2</w:t>
      </w:r>
      <w:r>
        <w:rPr>
          <w:szCs w:val="28"/>
        </w:rPr>
        <w:t>5</w:t>
      </w:r>
      <w:r>
        <w:rPr>
          <w:rFonts w:hint="eastAsia"/>
          <w:szCs w:val="28"/>
        </w:rPr>
        <w:t>分，效果</w:t>
      </w:r>
      <w:r>
        <w:rPr>
          <w:szCs w:val="28"/>
        </w:rPr>
        <w:t>32.5</w:t>
      </w:r>
      <w:r>
        <w:rPr>
          <w:rFonts w:hint="eastAsia"/>
          <w:szCs w:val="28"/>
        </w:rPr>
        <w:t>分，总分8</w:t>
      </w:r>
      <w:r>
        <w:rPr>
          <w:szCs w:val="28"/>
        </w:rPr>
        <w:t>7.5</w:t>
      </w:r>
      <w:r>
        <w:rPr>
          <w:rFonts w:hint="eastAsia"/>
          <w:szCs w:val="28"/>
        </w:rPr>
        <w:t>分。评价指标中各指标得分情况见下表。</w:t>
      </w:r>
    </w:p>
    <w:p>
      <w:pPr>
        <w:spacing w:line="520" w:lineRule="exact"/>
        <w:ind w:firstLine="560"/>
        <w:jc w:val="center"/>
        <w:rPr>
          <w:rFonts w:ascii="仿宋" w:hAnsi="仿宋"/>
          <w:szCs w:val="28"/>
        </w:rPr>
      </w:pPr>
      <w:r>
        <w:rPr>
          <w:rFonts w:hint="eastAsia" w:ascii="仿宋" w:hAnsi="仿宋"/>
          <w:szCs w:val="28"/>
        </w:rPr>
        <w:t>各指标得分情况表</w:t>
      </w:r>
    </w:p>
    <w:tbl>
      <w:tblPr>
        <w:tblStyle w:val="1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1701"/>
        <w:gridCol w:w="2551"/>
        <w:gridCol w:w="1701"/>
        <w:gridCol w:w="14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6" w:type="pct"/>
            <w:shd w:val="clear" w:color="auto" w:fill="auto"/>
            <w:vAlign w:val="center"/>
          </w:tcPr>
          <w:p>
            <w:pPr>
              <w:widowControl/>
              <w:adjustRightInd/>
              <w:snapToGrid/>
              <w:spacing w:line="240" w:lineRule="auto"/>
              <w:ind w:firstLine="0" w:firstLineChars="0"/>
              <w:jc w:val="center"/>
              <w:rPr>
                <w:rFonts w:ascii="仿宋" w:hAnsi="仿宋" w:cs="宋体"/>
                <w:kern w:val="0"/>
                <w:sz w:val="18"/>
                <w:szCs w:val="18"/>
              </w:rPr>
            </w:pPr>
            <w:r>
              <w:rPr>
                <w:rFonts w:hint="eastAsia" w:ascii="仿宋" w:hAnsi="仿宋" w:cs="宋体"/>
                <w:kern w:val="0"/>
                <w:sz w:val="18"/>
                <w:szCs w:val="18"/>
              </w:rPr>
              <w:t>一级指标</w:t>
            </w:r>
          </w:p>
        </w:tc>
        <w:tc>
          <w:tcPr>
            <w:tcW w:w="998"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二级指标</w:t>
            </w:r>
          </w:p>
        </w:tc>
        <w:tc>
          <w:tcPr>
            <w:tcW w:w="1497"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三级指标</w:t>
            </w:r>
          </w:p>
        </w:tc>
        <w:tc>
          <w:tcPr>
            <w:tcW w:w="998"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标准分值</w:t>
            </w:r>
          </w:p>
        </w:tc>
        <w:tc>
          <w:tcPr>
            <w:tcW w:w="861"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46" w:type="pct"/>
            <w:vMerge w:val="restart"/>
            <w:shd w:val="clear" w:color="auto" w:fill="auto"/>
            <w:noWrap/>
            <w:textDirection w:val="tbRlV"/>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投入</w:t>
            </w:r>
          </w:p>
        </w:tc>
        <w:tc>
          <w:tcPr>
            <w:tcW w:w="998" w:type="pct"/>
            <w:shd w:val="clear" w:color="auto" w:fill="auto"/>
            <w:vAlign w:val="center"/>
          </w:tcPr>
          <w:p>
            <w:pPr>
              <w:widowControl/>
              <w:adjustRightInd/>
              <w:snapToGrid/>
              <w:spacing w:line="240" w:lineRule="auto"/>
              <w:ind w:firstLine="0" w:firstLineChars="0"/>
              <w:jc w:val="left"/>
              <w:rPr>
                <w:rFonts w:hint="eastAsia" w:ascii="仿宋" w:hAnsi="仿宋" w:cs="宋体"/>
                <w:kern w:val="0"/>
                <w:sz w:val="18"/>
                <w:szCs w:val="18"/>
              </w:rPr>
            </w:pPr>
            <w:r>
              <w:rPr>
                <w:rFonts w:hint="eastAsia" w:ascii="仿宋" w:hAnsi="仿宋" w:cs="宋体"/>
                <w:kern w:val="0"/>
                <w:sz w:val="18"/>
                <w:szCs w:val="18"/>
              </w:rPr>
              <w:t>项目申报</w:t>
            </w:r>
          </w:p>
        </w:tc>
        <w:tc>
          <w:tcPr>
            <w:tcW w:w="1497" w:type="pct"/>
            <w:shd w:val="clear" w:color="auto" w:fill="auto"/>
            <w:vAlign w:val="center"/>
          </w:tcPr>
          <w:p>
            <w:pPr>
              <w:widowControl/>
              <w:adjustRightInd/>
              <w:snapToGrid/>
              <w:spacing w:line="240" w:lineRule="auto"/>
              <w:ind w:firstLine="0" w:firstLineChars="0"/>
              <w:jc w:val="left"/>
              <w:rPr>
                <w:rFonts w:hint="eastAsia" w:ascii="仿宋" w:hAnsi="仿宋" w:cs="宋体"/>
                <w:kern w:val="0"/>
                <w:sz w:val="18"/>
                <w:szCs w:val="18"/>
              </w:rPr>
            </w:pPr>
            <w:r>
              <w:rPr>
                <w:rFonts w:hint="eastAsia" w:ascii="仿宋" w:hAnsi="仿宋" w:cs="宋体"/>
                <w:kern w:val="0"/>
                <w:sz w:val="18"/>
                <w:szCs w:val="18"/>
              </w:rPr>
              <w:t>绩效目标合理性</w:t>
            </w:r>
          </w:p>
        </w:tc>
        <w:tc>
          <w:tcPr>
            <w:tcW w:w="998"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5</w:t>
            </w:r>
          </w:p>
        </w:tc>
        <w:tc>
          <w:tcPr>
            <w:tcW w:w="861"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46" w:type="pct"/>
            <w:vMerge w:val="continue"/>
            <w:vAlign w:val="center"/>
          </w:tcPr>
          <w:p>
            <w:pPr>
              <w:widowControl/>
              <w:adjustRightInd/>
              <w:snapToGrid/>
              <w:spacing w:line="240" w:lineRule="auto"/>
              <w:ind w:firstLine="0" w:firstLineChars="0"/>
              <w:jc w:val="left"/>
              <w:rPr>
                <w:rFonts w:ascii="仿宋" w:hAnsi="仿宋" w:cs="宋体"/>
                <w:kern w:val="0"/>
                <w:sz w:val="18"/>
                <w:szCs w:val="18"/>
              </w:rPr>
            </w:pPr>
          </w:p>
        </w:tc>
        <w:tc>
          <w:tcPr>
            <w:tcW w:w="998" w:type="pct"/>
            <w:vMerge w:val="restart"/>
            <w:shd w:val="clear" w:color="auto" w:fill="auto"/>
            <w:vAlign w:val="center"/>
          </w:tcPr>
          <w:p>
            <w:pPr>
              <w:widowControl/>
              <w:adjustRightInd/>
              <w:snapToGrid/>
              <w:spacing w:line="240" w:lineRule="auto"/>
              <w:ind w:firstLine="0" w:firstLineChars="0"/>
              <w:jc w:val="left"/>
              <w:rPr>
                <w:rFonts w:hint="eastAsia" w:ascii="仿宋" w:hAnsi="仿宋" w:cs="宋体"/>
                <w:kern w:val="0"/>
                <w:sz w:val="18"/>
                <w:szCs w:val="18"/>
              </w:rPr>
            </w:pPr>
            <w:r>
              <w:rPr>
                <w:rFonts w:hint="eastAsia" w:ascii="仿宋" w:hAnsi="仿宋" w:cs="宋体"/>
                <w:kern w:val="0"/>
                <w:sz w:val="18"/>
                <w:szCs w:val="18"/>
              </w:rPr>
              <w:t>预算执行</w:t>
            </w:r>
          </w:p>
        </w:tc>
        <w:tc>
          <w:tcPr>
            <w:tcW w:w="1497" w:type="pct"/>
            <w:shd w:val="clear" w:color="auto" w:fill="auto"/>
            <w:vAlign w:val="center"/>
          </w:tcPr>
          <w:p>
            <w:pPr>
              <w:widowControl/>
              <w:adjustRightInd/>
              <w:snapToGrid/>
              <w:spacing w:line="240" w:lineRule="auto"/>
              <w:ind w:firstLine="0" w:firstLineChars="0"/>
              <w:jc w:val="left"/>
              <w:rPr>
                <w:rFonts w:hint="eastAsia" w:ascii="仿宋" w:hAnsi="仿宋" w:cs="宋体"/>
                <w:kern w:val="0"/>
                <w:sz w:val="18"/>
                <w:szCs w:val="18"/>
              </w:rPr>
            </w:pPr>
            <w:r>
              <w:rPr>
                <w:rFonts w:hint="eastAsia" w:ascii="仿宋" w:hAnsi="仿宋" w:cs="宋体"/>
                <w:kern w:val="0"/>
                <w:sz w:val="18"/>
                <w:szCs w:val="18"/>
              </w:rPr>
              <w:t>预算完成率</w:t>
            </w:r>
          </w:p>
        </w:tc>
        <w:tc>
          <w:tcPr>
            <w:tcW w:w="998"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5</w:t>
            </w:r>
          </w:p>
        </w:tc>
        <w:tc>
          <w:tcPr>
            <w:tcW w:w="861"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46" w:type="pct"/>
            <w:vMerge w:val="continue"/>
            <w:vAlign w:val="center"/>
          </w:tcPr>
          <w:p>
            <w:pPr>
              <w:widowControl/>
              <w:adjustRightInd/>
              <w:snapToGrid/>
              <w:spacing w:line="240" w:lineRule="auto"/>
              <w:ind w:firstLine="0" w:firstLineChars="0"/>
              <w:jc w:val="left"/>
              <w:rPr>
                <w:rFonts w:ascii="仿宋" w:hAnsi="仿宋" w:cs="宋体"/>
                <w:kern w:val="0"/>
                <w:sz w:val="18"/>
                <w:szCs w:val="18"/>
              </w:rPr>
            </w:pPr>
          </w:p>
        </w:tc>
        <w:tc>
          <w:tcPr>
            <w:tcW w:w="998" w:type="pct"/>
            <w:vMerge w:val="continue"/>
            <w:vAlign w:val="center"/>
          </w:tcPr>
          <w:p>
            <w:pPr>
              <w:widowControl/>
              <w:adjustRightInd/>
              <w:snapToGrid/>
              <w:spacing w:line="240" w:lineRule="auto"/>
              <w:ind w:firstLine="0" w:firstLineChars="0"/>
              <w:jc w:val="left"/>
              <w:rPr>
                <w:rFonts w:ascii="仿宋" w:hAnsi="仿宋" w:cs="宋体"/>
                <w:kern w:val="0"/>
                <w:sz w:val="18"/>
                <w:szCs w:val="18"/>
              </w:rPr>
            </w:pPr>
          </w:p>
        </w:tc>
        <w:tc>
          <w:tcPr>
            <w:tcW w:w="1497" w:type="pct"/>
            <w:shd w:val="clear" w:color="auto" w:fill="auto"/>
            <w:vAlign w:val="center"/>
          </w:tcPr>
          <w:p>
            <w:pPr>
              <w:widowControl/>
              <w:adjustRightInd/>
              <w:snapToGrid/>
              <w:spacing w:line="240" w:lineRule="auto"/>
              <w:ind w:firstLine="0" w:firstLineChars="0"/>
              <w:jc w:val="left"/>
              <w:rPr>
                <w:rFonts w:hint="eastAsia" w:ascii="仿宋" w:hAnsi="仿宋" w:cs="宋体"/>
                <w:kern w:val="0"/>
                <w:sz w:val="18"/>
                <w:szCs w:val="18"/>
              </w:rPr>
            </w:pPr>
            <w:r>
              <w:rPr>
                <w:rFonts w:hint="eastAsia" w:ascii="仿宋" w:hAnsi="仿宋" w:cs="宋体"/>
                <w:kern w:val="0"/>
                <w:sz w:val="18"/>
                <w:szCs w:val="18"/>
              </w:rPr>
              <w:t>预算调整率</w:t>
            </w:r>
          </w:p>
        </w:tc>
        <w:tc>
          <w:tcPr>
            <w:tcW w:w="998"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5</w:t>
            </w:r>
          </w:p>
        </w:tc>
        <w:tc>
          <w:tcPr>
            <w:tcW w:w="861"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46" w:type="pct"/>
            <w:vMerge w:val="continue"/>
            <w:vAlign w:val="center"/>
          </w:tcPr>
          <w:p>
            <w:pPr>
              <w:widowControl/>
              <w:adjustRightInd/>
              <w:snapToGrid/>
              <w:spacing w:line="240" w:lineRule="auto"/>
              <w:ind w:firstLine="0" w:firstLineChars="0"/>
              <w:jc w:val="left"/>
              <w:rPr>
                <w:rFonts w:ascii="仿宋" w:hAnsi="仿宋" w:cs="宋体"/>
                <w:kern w:val="0"/>
                <w:sz w:val="18"/>
                <w:szCs w:val="18"/>
              </w:rPr>
            </w:pPr>
          </w:p>
        </w:tc>
        <w:tc>
          <w:tcPr>
            <w:tcW w:w="998" w:type="pct"/>
            <w:vMerge w:val="continue"/>
            <w:vAlign w:val="center"/>
          </w:tcPr>
          <w:p>
            <w:pPr>
              <w:widowControl/>
              <w:adjustRightInd/>
              <w:snapToGrid/>
              <w:spacing w:line="240" w:lineRule="auto"/>
              <w:ind w:firstLine="0" w:firstLineChars="0"/>
              <w:jc w:val="left"/>
              <w:rPr>
                <w:rFonts w:ascii="仿宋" w:hAnsi="仿宋" w:cs="宋体"/>
                <w:kern w:val="0"/>
                <w:sz w:val="18"/>
                <w:szCs w:val="18"/>
              </w:rPr>
            </w:pPr>
          </w:p>
        </w:tc>
        <w:tc>
          <w:tcPr>
            <w:tcW w:w="1497" w:type="pct"/>
            <w:shd w:val="clear" w:color="auto" w:fill="auto"/>
            <w:vAlign w:val="center"/>
          </w:tcPr>
          <w:p>
            <w:pPr>
              <w:widowControl/>
              <w:adjustRightInd/>
              <w:snapToGrid/>
              <w:spacing w:line="240" w:lineRule="auto"/>
              <w:ind w:firstLine="0" w:firstLineChars="0"/>
              <w:jc w:val="left"/>
              <w:rPr>
                <w:rFonts w:hint="eastAsia" w:ascii="仿宋" w:hAnsi="仿宋" w:cs="宋体"/>
                <w:kern w:val="0"/>
                <w:sz w:val="18"/>
                <w:szCs w:val="18"/>
              </w:rPr>
            </w:pPr>
            <w:r>
              <w:rPr>
                <w:rFonts w:hint="eastAsia" w:ascii="仿宋" w:hAnsi="仿宋" w:cs="宋体"/>
                <w:kern w:val="0"/>
                <w:sz w:val="18"/>
                <w:szCs w:val="18"/>
              </w:rPr>
              <w:t>支出进度率</w:t>
            </w:r>
          </w:p>
        </w:tc>
        <w:tc>
          <w:tcPr>
            <w:tcW w:w="998"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5</w:t>
            </w:r>
          </w:p>
        </w:tc>
        <w:tc>
          <w:tcPr>
            <w:tcW w:w="861"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46" w:type="pct"/>
            <w:vMerge w:val="continue"/>
            <w:vAlign w:val="center"/>
          </w:tcPr>
          <w:p>
            <w:pPr>
              <w:widowControl/>
              <w:adjustRightInd/>
              <w:snapToGrid/>
              <w:spacing w:line="240" w:lineRule="auto"/>
              <w:ind w:firstLine="0" w:firstLineChars="0"/>
              <w:jc w:val="left"/>
              <w:rPr>
                <w:rFonts w:ascii="仿宋" w:hAnsi="仿宋" w:cs="宋体"/>
                <w:kern w:val="0"/>
                <w:sz w:val="18"/>
                <w:szCs w:val="18"/>
              </w:rPr>
            </w:pPr>
          </w:p>
        </w:tc>
        <w:tc>
          <w:tcPr>
            <w:tcW w:w="998" w:type="pct"/>
            <w:vMerge w:val="continue"/>
            <w:vAlign w:val="center"/>
          </w:tcPr>
          <w:p>
            <w:pPr>
              <w:widowControl/>
              <w:adjustRightInd/>
              <w:snapToGrid/>
              <w:spacing w:line="240" w:lineRule="auto"/>
              <w:ind w:firstLine="0" w:firstLineChars="0"/>
              <w:jc w:val="left"/>
              <w:rPr>
                <w:rFonts w:ascii="仿宋" w:hAnsi="仿宋" w:cs="宋体"/>
                <w:kern w:val="0"/>
                <w:sz w:val="18"/>
                <w:szCs w:val="18"/>
              </w:rPr>
            </w:pPr>
          </w:p>
        </w:tc>
        <w:tc>
          <w:tcPr>
            <w:tcW w:w="1497" w:type="pct"/>
            <w:shd w:val="clear" w:color="auto" w:fill="auto"/>
            <w:vAlign w:val="center"/>
          </w:tcPr>
          <w:p>
            <w:pPr>
              <w:widowControl/>
              <w:adjustRightInd/>
              <w:snapToGrid/>
              <w:spacing w:line="240" w:lineRule="auto"/>
              <w:ind w:firstLine="0" w:firstLineChars="0"/>
              <w:jc w:val="left"/>
              <w:rPr>
                <w:rFonts w:hint="eastAsia" w:ascii="仿宋" w:hAnsi="仿宋" w:cs="宋体"/>
                <w:kern w:val="0"/>
                <w:sz w:val="18"/>
                <w:szCs w:val="18"/>
              </w:rPr>
            </w:pPr>
            <w:r>
              <w:rPr>
                <w:rFonts w:hint="eastAsia" w:ascii="仿宋" w:hAnsi="仿宋" w:cs="宋体"/>
                <w:kern w:val="0"/>
                <w:sz w:val="18"/>
                <w:szCs w:val="18"/>
              </w:rPr>
              <w:t>预算编制准确率</w:t>
            </w:r>
          </w:p>
        </w:tc>
        <w:tc>
          <w:tcPr>
            <w:tcW w:w="998"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5</w:t>
            </w:r>
          </w:p>
        </w:tc>
        <w:tc>
          <w:tcPr>
            <w:tcW w:w="861"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46" w:type="pct"/>
            <w:vMerge w:val="continue"/>
            <w:vAlign w:val="center"/>
          </w:tcPr>
          <w:p>
            <w:pPr>
              <w:widowControl/>
              <w:adjustRightInd/>
              <w:snapToGrid/>
              <w:spacing w:line="240" w:lineRule="auto"/>
              <w:ind w:firstLine="0" w:firstLineChars="0"/>
              <w:jc w:val="left"/>
              <w:rPr>
                <w:rFonts w:ascii="仿宋" w:hAnsi="仿宋" w:cs="宋体"/>
                <w:kern w:val="0"/>
                <w:sz w:val="18"/>
                <w:szCs w:val="18"/>
              </w:rPr>
            </w:pPr>
          </w:p>
        </w:tc>
        <w:tc>
          <w:tcPr>
            <w:tcW w:w="2495" w:type="pct"/>
            <w:gridSpan w:val="2"/>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小计</w:t>
            </w:r>
          </w:p>
        </w:tc>
        <w:tc>
          <w:tcPr>
            <w:tcW w:w="998"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25</w:t>
            </w:r>
          </w:p>
        </w:tc>
        <w:tc>
          <w:tcPr>
            <w:tcW w:w="861"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46" w:type="pct"/>
            <w:vMerge w:val="restart"/>
            <w:shd w:val="clear" w:color="auto" w:fill="auto"/>
            <w:noWrap/>
            <w:textDirection w:val="tbRlV"/>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过程</w:t>
            </w:r>
          </w:p>
        </w:tc>
        <w:tc>
          <w:tcPr>
            <w:tcW w:w="998" w:type="pct"/>
            <w:shd w:val="clear" w:color="auto" w:fill="auto"/>
            <w:vAlign w:val="center"/>
          </w:tcPr>
          <w:p>
            <w:pPr>
              <w:widowControl/>
              <w:adjustRightInd/>
              <w:snapToGrid/>
              <w:spacing w:line="240" w:lineRule="auto"/>
              <w:ind w:firstLine="0" w:firstLineChars="0"/>
              <w:jc w:val="left"/>
              <w:rPr>
                <w:rFonts w:hint="eastAsia" w:ascii="仿宋" w:hAnsi="仿宋" w:cs="宋体"/>
                <w:kern w:val="0"/>
                <w:sz w:val="18"/>
                <w:szCs w:val="18"/>
              </w:rPr>
            </w:pPr>
            <w:r>
              <w:rPr>
                <w:rFonts w:hint="eastAsia" w:ascii="仿宋" w:hAnsi="仿宋" w:cs="宋体"/>
                <w:kern w:val="0"/>
                <w:sz w:val="18"/>
                <w:szCs w:val="18"/>
              </w:rPr>
              <w:t>预算管理</w:t>
            </w:r>
          </w:p>
        </w:tc>
        <w:tc>
          <w:tcPr>
            <w:tcW w:w="1497" w:type="pct"/>
            <w:shd w:val="clear" w:color="auto" w:fill="auto"/>
            <w:vAlign w:val="center"/>
          </w:tcPr>
          <w:p>
            <w:pPr>
              <w:widowControl/>
              <w:adjustRightInd/>
              <w:snapToGrid/>
              <w:spacing w:line="240" w:lineRule="auto"/>
              <w:ind w:firstLine="0" w:firstLineChars="0"/>
              <w:jc w:val="left"/>
              <w:rPr>
                <w:rFonts w:hint="eastAsia" w:ascii="仿宋" w:hAnsi="仿宋" w:cs="宋体"/>
                <w:kern w:val="0"/>
                <w:sz w:val="18"/>
                <w:szCs w:val="18"/>
              </w:rPr>
            </w:pPr>
            <w:r>
              <w:rPr>
                <w:rFonts w:hint="eastAsia" w:ascii="仿宋" w:hAnsi="仿宋" w:cs="宋体"/>
                <w:kern w:val="0"/>
                <w:sz w:val="18"/>
                <w:szCs w:val="18"/>
              </w:rPr>
              <w:t>“三公经费”控制率</w:t>
            </w:r>
          </w:p>
        </w:tc>
        <w:tc>
          <w:tcPr>
            <w:tcW w:w="998"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5</w:t>
            </w:r>
          </w:p>
        </w:tc>
        <w:tc>
          <w:tcPr>
            <w:tcW w:w="861"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46" w:type="pct"/>
            <w:vMerge w:val="continue"/>
            <w:vAlign w:val="center"/>
          </w:tcPr>
          <w:p>
            <w:pPr>
              <w:widowControl/>
              <w:adjustRightInd/>
              <w:snapToGrid/>
              <w:spacing w:line="240" w:lineRule="auto"/>
              <w:ind w:firstLine="0" w:firstLineChars="0"/>
              <w:jc w:val="left"/>
              <w:rPr>
                <w:rFonts w:ascii="仿宋" w:hAnsi="仿宋" w:cs="宋体"/>
                <w:kern w:val="0"/>
                <w:sz w:val="18"/>
                <w:szCs w:val="18"/>
              </w:rPr>
            </w:pPr>
          </w:p>
        </w:tc>
        <w:tc>
          <w:tcPr>
            <w:tcW w:w="998" w:type="pct"/>
            <w:vMerge w:val="restart"/>
            <w:shd w:val="clear" w:color="auto" w:fill="auto"/>
            <w:vAlign w:val="center"/>
          </w:tcPr>
          <w:p>
            <w:pPr>
              <w:widowControl/>
              <w:adjustRightInd/>
              <w:snapToGrid/>
              <w:spacing w:line="240" w:lineRule="auto"/>
              <w:ind w:firstLine="0" w:firstLineChars="0"/>
              <w:jc w:val="left"/>
              <w:rPr>
                <w:rFonts w:hint="eastAsia" w:ascii="仿宋" w:hAnsi="仿宋" w:cs="宋体"/>
                <w:kern w:val="0"/>
                <w:sz w:val="18"/>
                <w:szCs w:val="18"/>
              </w:rPr>
            </w:pPr>
            <w:r>
              <w:rPr>
                <w:rFonts w:hint="eastAsia" w:ascii="仿宋" w:hAnsi="仿宋" w:cs="宋体"/>
                <w:kern w:val="0"/>
                <w:sz w:val="18"/>
                <w:szCs w:val="18"/>
              </w:rPr>
              <w:t>财务管理</w:t>
            </w:r>
          </w:p>
        </w:tc>
        <w:tc>
          <w:tcPr>
            <w:tcW w:w="1497" w:type="pct"/>
            <w:shd w:val="clear" w:color="auto" w:fill="auto"/>
            <w:vAlign w:val="center"/>
          </w:tcPr>
          <w:p>
            <w:pPr>
              <w:widowControl/>
              <w:adjustRightInd/>
              <w:snapToGrid/>
              <w:spacing w:line="240" w:lineRule="auto"/>
              <w:ind w:firstLine="0" w:firstLineChars="0"/>
              <w:jc w:val="left"/>
              <w:rPr>
                <w:rFonts w:hint="eastAsia" w:ascii="仿宋" w:hAnsi="仿宋" w:cs="宋体"/>
                <w:kern w:val="0"/>
                <w:sz w:val="18"/>
                <w:szCs w:val="18"/>
              </w:rPr>
            </w:pPr>
            <w:r>
              <w:rPr>
                <w:rFonts w:hint="eastAsia" w:ascii="仿宋" w:hAnsi="仿宋" w:cs="宋体"/>
                <w:kern w:val="0"/>
                <w:sz w:val="18"/>
                <w:szCs w:val="18"/>
              </w:rPr>
              <w:t>资产管理规范性</w:t>
            </w:r>
          </w:p>
        </w:tc>
        <w:tc>
          <w:tcPr>
            <w:tcW w:w="998"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5</w:t>
            </w:r>
          </w:p>
        </w:tc>
        <w:tc>
          <w:tcPr>
            <w:tcW w:w="861"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46" w:type="pct"/>
            <w:vMerge w:val="continue"/>
            <w:vAlign w:val="center"/>
          </w:tcPr>
          <w:p>
            <w:pPr>
              <w:widowControl/>
              <w:adjustRightInd/>
              <w:snapToGrid/>
              <w:spacing w:line="240" w:lineRule="auto"/>
              <w:ind w:firstLine="0" w:firstLineChars="0"/>
              <w:jc w:val="left"/>
              <w:rPr>
                <w:rFonts w:ascii="仿宋" w:hAnsi="仿宋" w:cs="宋体"/>
                <w:kern w:val="0"/>
                <w:sz w:val="18"/>
                <w:szCs w:val="18"/>
              </w:rPr>
            </w:pPr>
          </w:p>
        </w:tc>
        <w:tc>
          <w:tcPr>
            <w:tcW w:w="998" w:type="pct"/>
            <w:vMerge w:val="continue"/>
            <w:vAlign w:val="center"/>
          </w:tcPr>
          <w:p>
            <w:pPr>
              <w:widowControl/>
              <w:adjustRightInd/>
              <w:snapToGrid/>
              <w:spacing w:line="240" w:lineRule="auto"/>
              <w:ind w:firstLine="0" w:firstLineChars="0"/>
              <w:jc w:val="left"/>
              <w:rPr>
                <w:rFonts w:ascii="仿宋" w:hAnsi="仿宋" w:cs="宋体"/>
                <w:kern w:val="0"/>
                <w:sz w:val="18"/>
                <w:szCs w:val="18"/>
              </w:rPr>
            </w:pPr>
          </w:p>
        </w:tc>
        <w:tc>
          <w:tcPr>
            <w:tcW w:w="1497" w:type="pct"/>
            <w:shd w:val="clear" w:color="auto" w:fill="auto"/>
            <w:vAlign w:val="center"/>
          </w:tcPr>
          <w:p>
            <w:pPr>
              <w:widowControl/>
              <w:adjustRightInd/>
              <w:snapToGrid/>
              <w:spacing w:line="240" w:lineRule="auto"/>
              <w:ind w:firstLine="0" w:firstLineChars="0"/>
              <w:jc w:val="left"/>
              <w:rPr>
                <w:rFonts w:hint="eastAsia" w:ascii="仿宋" w:hAnsi="仿宋" w:cs="宋体"/>
                <w:kern w:val="0"/>
                <w:sz w:val="18"/>
                <w:szCs w:val="18"/>
              </w:rPr>
            </w:pPr>
            <w:r>
              <w:rPr>
                <w:rFonts w:hint="eastAsia" w:ascii="仿宋" w:hAnsi="仿宋" w:cs="宋体"/>
                <w:kern w:val="0"/>
                <w:sz w:val="18"/>
                <w:szCs w:val="18"/>
              </w:rPr>
              <w:t>资金使用合规性</w:t>
            </w:r>
          </w:p>
        </w:tc>
        <w:tc>
          <w:tcPr>
            <w:tcW w:w="998"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5</w:t>
            </w:r>
          </w:p>
        </w:tc>
        <w:tc>
          <w:tcPr>
            <w:tcW w:w="861"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46" w:type="pct"/>
            <w:vMerge w:val="continue"/>
            <w:vAlign w:val="center"/>
          </w:tcPr>
          <w:p>
            <w:pPr>
              <w:widowControl/>
              <w:adjustRightInd/>
              <w:snapToGrid/>
              <w:spacing w:line="240" w:lineRule="auto"/>
              <w:ind w:firstLine="0" w:firstLineChars="0"/>
              <w:jc w:val="left"/>
              <w:rPr>
                <w:rFonts w:ascii="仿宋" w:hAnsi="仿宋" w:cs="宋体"/>
                <w:kern w:val="0"/>
                <w:sz w:val="18"/>
                <w:szCs w:val="18"/>
              </w:rPr>
            </w:pPr>
          </w:p>
        </w:tc>
        <w:tc>
          <w:tcPr>
            <w:tcW w:w="2495" w:type="pct"/>
            <w:gridSpan w:val="2"/>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小计</w:t>
            </w:r>
          </w:p>
        </w:tc>
        <w:tc>
          <w:tcPr>
            <w:tcW w:w="998"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15</w:t>
            </w:r>
          </w:p>
        </w:tc>
        <w:tc>
          <w:tcPr>
            <w:tcW w:w="861"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46" w:type="pct"/>
            <w:vMerge w:val="restart"/>
            <w:shd w:val="clear" w:color="auto" w:fill="auto"/>
            <w:noWrap/>
            <w:textDirection w:val="tbRlV"/>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产出</w:t>
            </w:r>
          </w:p>
        </w:tc>
        <w:tc>
          <w:tcPr>
            <w:tcW w:w="998" w:type="pct"/>
            <w:vMerge w:val="restart"/>
            <w:shd w:val="clear" w:color="auto" w:fill="auto"/>
            <w:vAlign w:val="center"/>
          </w:tcPr>
          <w:p>
            <w:pPr>
              <w:widowControl/>
              <w:adjustRightInd/>
              <w:snapToGrid/>
              <w:spacing w:line="240" w:lineRule="auto"/>
              <w:ind w:firstLine="0" w:firstLineChars="0"/>
              <w:jc w:val="left"/>
              <w:rPr>
                <w:rFonts w:hint="eastAsia" w:ascii="仿宋" w:hAnsi="仿宋" w:cs="宋体"/>
                <w:kern w:val="0"/>
                <w:sz w:val="18"/>
                <w:szCs w:val="18"/>
              </w:rPr>
            </w:pPr>
            <w:r>
              <w:rPr>
                <w:rFonts w:hint="eastAsia" w:ascii="仿宋" w:hAnsi="仿宋" w:cs="宋体"/>
                <w:kern w:val="0"/>
                <w:sz w:val="18"/>
                <w:szCs w:val="18"/>
              </w:rPr>
              <w:t>产出数量</w:t>
            </w:r>
          </w:p>
        </w:tc>
        <w:tc>
          <w:tcPr>
            <w:tcW w:w="1497" w:type="pct"/>
            <w:shd w:val="clear" w:color="auto" w:fill="auto"/>
            <w:vAlign w:val="center"/>
          </w:tcPr>
          <w:p>
            <w:pPr>
              <w:widowControl/>
              <w:adjustRightInd/>
              <w:snapToGrid/>
              <w:spacing w:line="240" w:lineRule="auto"/>
              <w:ind w:firstLine="0" w:firstLineChars="0"/>
              <w:jc w:val="left"/>
              <w:rPr>
                <w:rFonts w:hint="eastAsia" w:ascii="仿宋" w:hAnsi="仿宋" w:cs="宋体"/>
                <w:kern w:val="0"/>
                <w:sz w:val="18"/>
                <w:szCs w:val="18"/>
              </w:rPr>
            </w:pPr>
            <w:r>
              <w:rPr>
                <w:rFonts w:hint="eastAsia" w:ascii="仿宋" w:hAnsi="仿宋" w:cs="宋体"/>
                <w:kern w:val="0"/>
                <w:sz w:val="18"/>
                <w:szCs w:val="18"/>
              </w:rPr>
              <w:t>人员及经费得到保障</w:t>
            </w:r>
          </w:p>
        </w:tc>
        <w:tc>
          <w:tcPr>
            <w:tcW w:w="998"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2</w:t>
            </w:r>
          </w:p>
        </w:tc>
        <w:tc>
          <w:tcPr>
            <w:tcW w:w="861"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6" w:type="pct"/>
            <w:vMerge w:val="continue"/>
            <w:vAlign w:val="center"/>
          </w:tcPr>
          <w:p>
            <w:pPr>
              <w:widowControl/>
              <w:adjustRightInd/>
              <w:snapToGrid/>
              <w:spacing w:line="240" w:lineRule="auto"/>
              <w:ind w:firstLine="0" w:firstLineChars="0"/>
              <w:jc w:val="left"/>
              <w:rPr>
                <w:rFonts w:ascii="仿宋" w:hAnsi="仿宋" w:cs="宋体"/>
                <w:kern w:val="0"/>
                <w:sz w:val="18"/>
                <w:szCs w:val="18"/>
              </w:rPr>
            </w:pPr>
          </w:p>
        </w:tc>
        <w:tc>
          <w:tcPr>
            <w:tcW w:w="998" w:type="pct"/>
            <w:vMerge w:val="continue"/>
            <w:vAlign w:val="center"/>
          </w:tcPr>
          <w:p>
            <w:pPr>
              <w:widowControl/>
              <w:adjustRightInd/>
              <w:snapToGrid/>
              <w:spacing w:line="240" w:lineRule="auto"/>
              <w:ind w:firstLine="0" w:firstLineChars="0"/>
              <w:jc w:val="left"/>
              <w:rPr>
                <w:rFonts w:ascii="仿宋" w:hAnsi="仿宋" w:cs="宋体"/>
                <w:kern w:val="0"/>
                <w:sz w:val="18"/>
                <w:szCs w:val="18"/>
              </w:rPr>
            </w:pPr>
          </w:p>
        </w:tc>
        <w:tc>
          <w:tcPr>
            <w:tcW w:w="1497" w:type="pct"/>
            <w:shd w:val="clear" w:color="auto" w:fill="auto"/>
            <w:vAlign w:val="center"/>
          </w:tcPr>
          <w:p>
            <w:pPr>
              <w:widowControl/>
              <w:adjustRightInd/>
              <w:snapToGrid/>
              <w:spacing w:line="240" w:lineRule="auto"/>
              <w:ind w:firstLine="0" w:firstLineChars="0"/>
              <w:jc w:val="left"/>
              <w:rPr>
                <w:rFonts w:hint="eastAsia" w:ascii="仿宋" w:hAnsi="仿宋" w:cs="宋体"/>
                <w:kern w:val="0"/>
                <w:sz w:val="18"/>
                <w:szCs w:val="18"/>
              </w:rPr>
            </w:pPr>
            <w:r>
              <w:rPr>
                <w:rFonts w:hint="eastAsia" w:ascii="仿宋" w:hAnsi="仿宋" w:cs="宋体"/>
                <w:kern w:val="0"/>
                <w:sz w:val="18"/>
                <w:szCs w:val="18"/>
              </w:rPr>
              <w:t>有效管理街道所属社区与村</w:t>
            </w:r>
          </w:p>
        </w:tc>
        <w:tc>
          <w:tcPr>
            <w:tcW w:w="998"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2</w:t>
            </w:r>
          </w:p>
        </w:tc>
        <w:tc>
          <w:tcPr>
            <w:tcW w:w="861"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46" w:type="pct"/>
            <w:vMerge w:val="continue"/>
            <w:vAlign w:val="center"/>
          </w:tcPr>
          <w:p>
            <w:pPr>
              <w:widowControl/>
              <w:adjustRightInd/>
              <w:snapToGrid/>
              <w:spacing w:line="240" w:lineRule="auto"/>
              <w:ind w:firstLine="0" w:firstLineChars="0"/>
              <w:jc w:val="left"/>
              <w:rPr>
                <w:rFonts w:ascii="仿宋" w:hAnsi="仿宋" w:cs="宋体"/>
                <w:kern w:val="0"/>
                <w:sz w:val="18"/>
                <w:szCs w:val="18"/>
              </w:rPr>
            </w:pPr>
          </w:p>
        </w:tc>
        <w:tc>
          <w:tcPr>
            <w:tcW w:w="998" w:type="pct"/>
            <w:vMerge w:val="continue"/>
            <w:vAlign w:val="center"/>
          </w:tcPr>
          <w:p>
            <w:pPr>
              <w:widowControl/>
              <w:adjustRightInd/>
              <w:snapToGrid/>
              <w:spacing w:line="240" w:lineRule="auto"/>
              <w:ind w:firstLine="0" w:firstLineChars="0"/>
              <w:jc w:val="left"/>
              <w:rPr>
                <w:rFonts w:ascii="仿宋" w:hAnsi="仿宋" w:cs="宋体"/>
                <w:kern w:val="0"/>
                <w:sz w:val="18"/>
                <w:szCs w:val="18"/>
              </w:rPr>
            </w:pPr>
          </w:p>
        </w:tc>
        <w:tc>
          <w:tcPr>
            <w:tcW w:w="1497" w:type="pct"/>
            <w:shd w:val="clear" w:color="auto" w:fill="auto"/>
            <w:vAlign w:val="center"/>
          </w:tcPr>
          <w:p>
            <w:pPr>
              <w:widowControl/>
              <w:adjustRightInd/>
              <w:snapToGrid/>
              <w:spacing w:line="240" w:lineRule="auto"/>
              <w:ind w:firstLine="0" w:firstLineChars="0"/>
              <w:jc w:val="left"/>
              <w:rPr>
                <w:rFonts w:hint="eastAsia" w:ascii="仿宋" w:hAnsi="仿宋" w:cs="宋体"/>
                <w:kern w:val="0"/>
                <w:sz w:val="18"/>
                <w:szCs w:val="18"/>
              </w:rPr>
            </w:pPr>
            <w:r>
              <w:rPr>
                <w:rFonts w:hint="eastAsia" w:ascii="仿宋" w:hAnsi="仿宋" w:cs="宋体"/>
                <w:kern w:val="0"/>
                <w:sz w:val="18"/>
                <w:szCs w:val="18"/>
              </w:rPr>
              <w:t>主要工作完成情况</w:t>
            </w:r>
          </w:p>
        </w:tc>
        <w:tc>
          <w:tcPr>
            <w:tcW w:w="998"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16</w:t>
            </w:r>
          </w:p>
        </w:tc>
        <w:tc>
          <w:tcPr>
            <w:tcW w:w="861"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646" w:type="pct"/>
            <w:vMerge w:val="continue"/>
            <w:vAlign w:val="center"/>
          </w:tcPr>
          <w:p>
            <w:pPr>
              <w:widowControl/>
              <w:adjustRightInd/>
              <w:snapToGrid/>
              <w:spacing w:line="240" w:lineRule="auto"/>
              <w:ind w:firstLine="0" w:firstLineChars="0"/>
              <w:jc w:val="left"/>
              <w:rPr>
                <w:rFonts w:ascii="仿宋" w:hAnsi="仿宋" w:cs="宋体"/>
                <w:kern w:val="0"/>
                <w:sz w:val="18"/>
                <w:szCs w:val="18"/>
              </w:rPr>
            </w:pPr>
          </w:p>
        </w:tc>
        <w:tc>
          <w:tcPr>
            <w:tcW w:w="998" w:type="pct"/>
            <w:shd w:val="clear" w:color="auto" w:fill="auto"/>
            <w:vAlign w:val="center"/>
          </w:tcPr>
          <w:p>
            <w:pPr>
              <w:widowControl/>
              <w:adjustRightInd/>
              <w:snapToGrid/>
              <w:spacing w:line="240" w:lineRule="auto"/>
              <w:ind w:firstLine="0" w:firstLineChars="0"/>
              <w:jc w:val="left"/>
              <w:rPr>
                <w:rFonts w:hint="eastAsia" w:ascii="仿宋" w:hAnsi="仿宋" w:cs="宋体"/>
                <w:kern w:val="0"/>
                <w:sz w:val="18"/>
                <w:szCs w:val="18"/>
              </w:rPr>
            </w:pPr>
            <w:r>
              <w:rPr>
                <w:rFonts w:hint="eastAsia" w:ascii="仿宋" w:hAnsi="仿宋" w:cs="宋体"/>
                <w:kern w:val="0"/>
                <w:sz w:val="18"/>
                <w:szCs w:val="18"/>
              </w:rPr>
              <w:t>产出质量</w:t>
            </w:r>
          </w:p>
        </w:tc>
        <w:tc>
          <w:tcPr>
            <w:tcW w:w="1497" w:type="pct"/>
            <w:shd w:val="clear" w:color="auto" w:fill="auto"/>
            <w:vAlign w:val="center"/>
          </w:tcPr>
          <w:p>
            <w:pPr>
              <w:widowControl/>
              <w:adjustRightInd/>
              <w:snapToGrid/>
              <w:spacing w:line="240" w:lineRule="auto"/>
              <w:ind w:firstLine="0" w:firstLineChars="0"/>
              <w:jc w:val="left"/>
              <w:rPr>
                <w:rFonts w:hint="eastAsia" w:ascii="仿宋" w:hAnsi="仿宋" w:cs="宋体"/>
                <w:kern w:val="0"/>
                <w:sz w:val="18"/>
                <w:szCs w:val="18"/>
              </w:rPr>
            </w:pPr>
            <w:r>
              <w:rPr>
                <w:rFonts w:hint="eastAsia" w:ascii="仿宋" w:hAnsi="仿宋" w:cs="宋体"/>
                <w:kern w:val="0"/>
                <w:sz w:val="18"/>
                <w:szCs w:val="18"/>
              </w:rPr>
              <w:t>街道实施项目符合国家政策，促进社会和谐有序发展</w:t>
            </w:r>
          </w:p>
        </w:tc>
        <w:tc>
          <w:tcPr>
            <w:tcW w:w="998"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5</w:t>
            </w:r>
          </w:p>
        </w:tc>
        <w:tc>
          <w:tcPr>
            <w:tcW w:w="861"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46" w:type="pct"/>
            <w:vMerge w:val="continue"/>
            <w:vAlign w:val="center"/>
          </w:tcPr>
          <w:p>
            <w:pPr>
              <w:widowControl/>
              <w:adjustRightInd/>
              <w:snapToGrid/>
              <w:spacing w:line="240" w:lineRule="auto"/>
              <w:ind w:firstLine="0" w:firstLineChars="0"/>
              <w:jc w:val="left"/>
              <w:rPr>
                <w:rFonts w:ascii="仿宋" w:hAnsi="仿宋" w:cs="宋体"/>
                <w:kern w:val="0"/>
                <w:sz w:val="18"/>
                <w:szCs w:val="18"/>
              </w:rPr>
            </w:pPr>
          </w:p>
        </w:tc>
        <w:tc>
          <w:tcPr>
            <w:tcW w:w="2495" w:type="pct"/>
            <w:gridSpan w:val="2"/>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小计</w:t>
            </w:r>
          </w:p>
        </w:tc>
        <w:tc>
          <w:tcPr>
            <w:tcW w:w="998"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25</w:t>
            </w:r>
          </w:p>
        </w:tc>
        <w:tc>
          <w:tcPr>
            <w:tcW w:w="861"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646" w:type="pct"/>
            <w:vMerge w:val="restart"/>
            <w:shd w:val="clear" w:color="auto" w:fill="auto"/>
            <w:noWrap/>
            <w:textDirection w:val="tbRlV"/>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效果</w:t>
            </w:r>
          </w:p>
        </w:tc>
        <w:tc>
          <w:tcPr>
            <w:tcW w:w="998" w:type="pct"/>
            <w:shd w:val="clear" w:color="auto" w:fill="auto"/>
            <w:vAlign w:val="center"/>
          </w:tcPr>
          <w:p>
            <w:pPr>
              <w:widowControl/>
              <w:adjustRightInd/>
              <w:snapToGrid/>
              <w:spacing w:line="240" w:lineRule="auto"/>
              <w:ind w:firstLine="0" w:firstLineChars="0"/>
              <w:jc w:val="left"/>
              <w:rPr>
                <w:rFonts w:hint="eastAsia" w:ascii="仿宋" w:hAnsi="仿宋" w:cs="宋体"/>
                <w:kern w:val="0"/>
                <w:sz w:val="18"/>
                <w:szCs w:val="18"/>
              </w:rPr>
            </w:pPr>
            <w:r>
              <w:rPr>
                <w:rFonts w:hint="eastAsia" w:ascii="仿宋" w:hAnsi="仿宋" w:cs="宋体"/>
                <w:kern w:val="0"/>
                <w:sz w:val="18"/>
                <w:szCs w:val="18"/>
              </w:rPr>
              <w:t>经济效益</w:t>
            </w:r>
          </w:p>
        </w:tc>
        <w:tc>
          <w:tcPr>
            <w:tcW w:w="1497" w:type="pct"/>
            <w:shd w:val="clear" w:color="auto" w:fill="auto"/>
            <w:vAlign w:val="center"/>
          </w:tcPr>
          <w:p>
            <w:pPr>
              <w:widowControl/>
              <w:adjustRightInd/>
              <w:snapToGrid/>
              <w:spacing w:line="240" w:lineRule="auto"/>
              <w:ind w:firstLine="0" w:firstLineChars="0"/>
              <w:jc w:val="left"/>
              <w:rPr>
                <w:rFonts w:hint="eastAsia" w:ascii="仿宋" w:hAnsi="仿宋" w:cs="宋体"/>
                <w:kern w:val="0"/>
                <w:sz w:val="18"/>
                <w:szCs w:val="18"/>
              </w:rPr>
            </w:pPr>
            <w:r>
              <w:rPr>
                <w:rFonts w:hint="eastAsia" w:ascii="仿宋" w:hAnsi="仿宋" w:cs="宋体"/>
                <w:kern w:val="0"/>
                <w:sz w:val="18"/>
                <w:szCs w:val="18"/>
              </w:rPr>
              <w:t>促进经济发展，增加居民收入</w:t>
            </w:r>
          </w:p>
        </w:tc>
        <w:tc>
          <w:tcPr>
            <w:tcW w:w="998"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4</w:t>
            </w:r>
          </w:p>
        </w:tc>
        <w:tc>
          <w:tcPr>
            <w:tcW w:w="861"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46" w:type="pct"/>
            <w:vMerge w:val="continue"/>
            <w:vAlign w:val="center"/>
          </w:tcPr>
          <w:p>
            <w:pPr>
              <w:widowControl/>
              <w:adjustRightInd/>
              <w:snapToGrid/>
              <w:spacing w:line="240" w:lineRule="auto"/>
              <w:ind w:firstLine="0" w:firstLineChars="0"/>
              <w:jc w:val="left"/>
              <w:rPr>
                <w:rFonts w:ascii="仿宋" w:hAnsi="仿宋" w:cs="宋体"/>
                <w:kern w:val="0"/>
                <w:sz w:val="18"/>
                <w:szCs w:val="18"/>
              </w:rPr>
            </w:pPr>
          </w:p>
        </w:tc>
        <w:tc>
          <w:tcPr>
            <w:tcW w:w="998" w:type="pct"/>
            <w:vMerge w:val="restart"/>
            <w:shd w:val="clear" w:color="auto" w:fill="auto"/>
            <w:vAlign w:val="center"/>
          </w:tcPr>
          <w:p>
            <w:pPr>
              <w:widowControl/>
              <w:adjustRightInd/>
              <w:snapToGrid/>
              <w:spacing w:line="240" w:lineRule="auto"/>
              <w:ind w:firstLine="0" w:firstLineChars="0"/>
              <w:jc w:val="left"/>
              <w:rPr>
                <w:rFonts w:hint="eastAsia" w:ascii="仿宋" w:hAnsi="仿宋" w:cs="宋体"/>
                <w:kern w:val="0"/>
                <w:sz w:val="18"/>
                <w:szCs w:val="18"/>
              </w:rPr>
            </w:pPr>
            <w:r>
              <w:rPr>
                <w:rFonts w:hint="eastAsia" w:ascii="仿宋" w:hAnsi="仿宋" w:cs="宋体"/>
                <w:kern w:val="0"/>
                <w:sz w:val="18"/>
                <w:szCs w:val="18"/>
              </w:rPr>
              <w:t>社会效益</w:t>
            </w:r>
          </w:p>
        </w:tc>
        <w:tc>
          <w:tcPr>
            <w:tcW w:w="1497" w:type="pct"/>
            <w:shd w:val="clear" w:color="auto" w:fill="auto"/>
            <w:vAlign w:val="center"/>
          </w:tcPr>
          <w:p>
            <w:pPr>
              <w:widowControl/>
              <w:adjustRightInd/>
              <w:snapToGrid/>
              <w:spacing w:line="240" w:lineRule="auto"/>
              <w:ind w:firstLine="0" w:firstLineChars="0"/>
              <w:jc w:val="left"/>
              <w:rPr>
                <w:rFonts w:hint="eastAsia" w:ascii="仿宋" w:hAnsi="仿宋" w:cs="宋体"/>
                <w:kern w:val="0"/>
                <w:sz w:val="18"/>
                <w:szCs w:val="18"/>
              </w:rPr>
            </w:pPr>
            <w:r>
              <w:rPr>
                <w:rFonts w:hint="eastAsia" w:ascii="仿宋" w:hAnsi="仿宋" w:cs="宋体"/>
                <w:kern w:val="0"/>
                <w:sz w:val="18"/>
                <w:szCs w:val="18"/>
              </w:rPr>
              <w:t>进一步加强党建工作</w:t>
            </w:r>
          </w:p>
        </w:tc>
        <w:tc>
          <w:tcPr>
            <w:tcW w:w="998"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4</w:t>
            </w:r>
          </w:p>
        </w:tc>
        <w:tc>
          <w:tcPr>
            <w:tcW w:w="861"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46" w:type="pct"/>
            <w:vMerge w:val="continue"/>
            <w:vAlign w:val="center"/>
          </w:tcPr>
          <w:p>
            <w:pPr>
              <w:widowControl/>
              <w:adjustRightInd/>
              <w:snapToGrid/>
              <w:spacing w:line="240" w:lineRule="auto"/>
              <w:ind w:firstLine="0" w:firstLineChars="0"/>
              <w:jc w:val="left"/>
              <w:rPr>
                <w:rFonts w:ascii="仿宋" w:hAnsi="仿宋" w:cs="宋体"/>
                <w:kern w:val="0"/>
                <w:sz w:val="18"/>
                <w:szCs w:val="18"/>
              </w:rPr>
            </w:pPr>
          </w:p>
        </w:tc>
        <w:tc>
          <w:tcPr>
            <w:tcW w:w="998" w:type="pct"/>
            <w:vMerge w:val="continue"/>
            <w:vAlign w:val="center"/>
          </w:tcPr>
          <w:p>
            <w:pPr>
              <w:widowControl/>
              <w:adjustRightInd/>
              <w:snapToGrid/>
              <w:spacing w:line="240" w:lineRule="auto"/>
              <w:ind w:firstLine="0" w:firstLineChars="0"/>
              <w:jc w:val="left"/>
              <w:rPr>
                <w:rFonts w:ascii="仿宋" w:hAnsi="仿宋" w:cs="宋体"/>
                <w:kern w:val="0"/>
                <w:sz w:val="18"/>
                <w:szCs w:val="18"/>
              </w:rPr>
            </w:pPr>
          </w:p>
        </w:tc>
        <w:tc>
          <w:tcPr>
            <w:tcW w:w="1497" w:type="pct"/>
            <w:shd w:val="clear" w:color="auto" w:fill="auto"/>
            <w:vAlign w:val="center"/>
          </w:tcPr>
          <w:p>
            <w:pPr>
              <w:widowControl/>
              <w:adjustRightInd/>
              <w:snapToGrid/>
              <w:spacing w:line="240" w:lineRule="auto"/>
              <w:ind w:firstLine="0" w:firstLineChars="0"/>
              <w:jc w:val="left"/>
              <w:rPr>
                <w:rFonts w:hint="eastAsia" w:ascii="仿宋" w:hAnsi="仿宋" w:cs="宋体"/>
                <w:kern w:val="0"/>
                <w:sz w:val="18"/>
                <w:szCs w:val="18"/>
              </w:rPr>
            </w:pPr>
            <w:r>
              <w:rPr>
                <w:rFonts w:hint="eastAsia" w:ascii="仿宋" w:hAnsi="仿宋" w:cs="宋体"/>
                <w:kern w:val="0"/>
                <w:sz w:val="18"/>
                <w:szCs w:val="18"/>
              </w:rPr>
              <w:t>改善和保障民生</w:t>
            </w:r>
          </w:p>
        </w:tc>
        <w:tc>
          <w:tcPr>
            <w:tcW w:w="998"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4</w:t>
            </w:r>
          </w:p>
        </w:tc>
        <w:tc>
          <w:tcPr>
            <w:tcW w:w="861"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46" w:type="pct"/>
            <w:vMerge w:val="continue"/>
            <w:vAlign w:val="center"/>
          </w:tcPr>
          <w:p>
            <w:pPr>
              <w:widowControl/>
              <w:adjustRightInd/>
              <w:snapToGrid/>
              <w:spacing w:line="240" w:lineRule="auto"/>
              <w:ind w:firstLine="0" w:firstLineChars="0"/>
              <w:jc w:val="left"/>
              <w:rPr>
                <w:rFonts w:ascii="仿宋" w:hAnsi="仿宋" w:cs="宋体"/>
                <w:kern w:val="0"/>
                <w:sz w:val="18"/>
                <w:szCs w:val="18"/>
              </w:rPr>
            </w:pPr>
          </w:p>
        </w:tc>
        <w:tc>
          <w:tcPr>
            <w:tcW w:w="998" w:type="pct"/>
            <w:vMerge w:val="continue"/>
            <w:vAlign w:val="center"/>
          </w:tcPr>
          <w:p>
            <w:pPr>
              <w:widowControl/>
              <w:adjustRightInd/>
              <w:snapToGrid/>
              <w:spacing w:line="240" w:lineRule="auto"/>
              <w:ind w:firstLine="0" w:firstLineChars="0"/>
              <w:jc w:val="left"/>
              <w:rPr>
                <w:rFonts w:ascii="仿宋" w:hAnsi="仿宋" w:cs="宋体"/>
                <w:kern w:val="0"/>
                <w:sz w:val="18"/>
                <w:szCs w:val="18"/>
              </w:rPr>
            </w:pPr>
          </w:p>
        </w:tc>
        <w:tc>
          <w:tcPr>
            <w:tcW w:w="1497" w:type="pct"/>
            <w:shd w:val="clear" w:color="auto" w:fill="auto"/>
            <w:vAlign w:val="center"/>
          </w:tcPr>
          <w:p>
            <w:pPr>
              <w:widowControl/>
              <w:adjustRightInd/>
              <w:snapToGrid/>
              <w:spacing w:line="240" w:lineRule="auto"/>
              <w:ind w:firstLine="0" w:firstLineChars="0"/>
              <w:jc w:val="left"/>
              <w:rPr>
                <w:rFonts w:hint="eastAsia" w:ascii="仿宋" w:hAnsi="仿宋" w:cs="宋体"/>
                <w:kern w:val="0"/>
                <w:sz w:val="18"/>
                <w:szCs w:val="18"/>
              </w:rPr>
            </w:pPr>
            <w:r>
              <w:rPr>
                <w:rFonts w:hint="eastAsia" w:ascii="仿宋" w:hAnsi="仿宋" w:cs="宋体"/>
                <w:kern w:val="0"/>
                <w:sz w:val="18"/>
                <w:szCs w:val="18"/>
              </w:rPr>
              <w:t>加强社会管理工作</w:t>
            </w:r>
          </w:p>
        </w:tc>
        <w:tc>
          <w:tcPr>
            <w:tcW w:w="998"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4</w:t>
            </w:r>
          </w:p>
        </w:tc>
        <w:tc>
          <w:tcPr>
            <w:tcW w:w="861"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46" w:type="pct"/>
            <w:vMerge w:val="continue"/>
            <w:vAlign w:val="center"/>
          </w:tcPr>
          <w:p>
            <w:pPr>
              <w:widowControl/>
              <w:adjustRightInd/>
              <w:snapToGrid/>
              <w:spacing w:line="240" w:lineRule="auto"/>
              <w:ind w:firstLine="0" w:firstLineChars="0"/>
              <w:jc w:val="left"/>
              <w:rPr>
                <w:rFonts w:ascii="仿宋" w:hAnsi="仿宋" w:cs="宋体"/>
                <w:kern w:val="0"/>
                <w:sz w:val="18"/>
                <w:szCs w:val="18"/>
              </w:rPr>
            </w:pPr>
          </w:p>
        </w:tc>
        <w:tc>
          <w:tcPr>
            <w:tcW w:w="998" w:type="pct"/>
            <w:vMerge w:val="continue"/>
            <w:vAlign w:val="center"/>
          </w:tcPr>
          <w:p>
            <w:pPr>
              <w:widowControl/>
              <w:adjustRightInd/>
              <w:snapToGrid/>
              <w:spacing w:line="240" w:lineRule="auto"/>
              <w:ind w:firstLine="0" w:firstLineChars="0"/>
              <w:jc w:val="left"/>
              <w:rPr>
                <w:rFonts w:ascii="仿宋" w:hAnsi="仿宋" w:cs="宋体"/>
                <w:kern w:val="0"/>
                <w:sz w:val="18"/>
                <w:szCs w:val="18"/>
              </w:rPr>
            </w:pPr>
          </w:p>
        </w:tc>
        <w:tc>
          <w:tcPr>
            <w:tcW w:w="1497" w:type="pct"/>
            <w:shd w:val="clear" w:color="auto" w:fill="auto"/>
            <w:vAlign w:val="center"/>
          </w:tcPr>
          <w:p>
            <w:pPr>
              <w:widowControl/>
              <w:adjustRightInd/>
              <w:snapToGrid/>
              <w:spacing w:line="240" w:lineRule="auto"/>
              <w:ind w:firstLine="0" w:firstLineChars="0"/>
              <w:jc w:val="left"/>
              <w:rPr>
                <w:rFonts w:hint="eastAsia" w:ascii="仿宋" w:hAnsi="仿宋" w:cs="宋体"/>
                <w:kern w:val="0"/>
                <w:sz w:val="18"/>
                <w:szCs w:val="18"/>
              </w:rPr>
            </w:pPr>
            <w:r>
              <w:rPr>
                <w:rFonts w:hint="eastAsia" w:ascii="仿宋" w:hAnsi="仿宋" w:cs="宋体"/>
                <w:kern w:val="0"/>
                <w:sz w:val="18"/>
                <w:szCs w:val="18"/>
              </w:rPr>
              <w:t>维护社会稳定</w:t>
            </w:r>
          </w:p>
        </w:tc>
        <w:tc>
          <w:tcPr>
            <w:tcW w:w="998"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4</w:t>
            </w:r>
          </w:p>
        </w:tc>
        <w:tc>
          <w:tcPr>
            <w:tcW w:w="861"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46" w:type="pct"/>
            <w:vMerge w:val="continue"/>
            <w:vAlign w:val="center"/>
          </w:tcPr>
          <w:p>
            <w:pPr>
              <w:widowControl/>
              <w:adjustRightInd/>
              <w:snapToGrid/>
              <w:spacing w:line="240" w:lineRule="auto"/>
              <w:ind w:firstLine="0" w:firstLineChars="0"/>
              <w:jc w:val="left"/>
              <w:rPr>
                <w:rFonts w:ascii="仿宋" w:hAnsi="仿宋" w:cs="宋体"/>
                <w:kern w:val="0"/>
                <w:sz w:val="18"/>
                <w:szCs w:val="18"/>
              </w:rPr>
            </w:pPr>
          </w:p>
        </w:tc>
        <w:tc>
          <w:tcPr>
            <w:tcW w:w="998" w:type="pct"/>
            <w:shd w:val="clear" w:color="auto" w:fill="auto"/>
            <w:vAlign w:val="center"/>
          </w:tcPr>
          <w:p>
            <w:pPr>
              <w:widowControl/>
              <w:adjustRightInd/>
              <w:snapToGrid/>
              <w:spacing w:line="240" w:lineRule="auto"/>
              <w:ind w:firstLine="0" w:firstLineChars="0"/>
              <w:jc w:val="left"/>
              <w:rPr>
                <w:rFonts w:hint="eastAsia" w:ascii="仿宋" w:hAnsi="仿宋" w:cs="宋体"/>
                <w:kern w:val="0"/>
                <w:sz w:val="18"/>
                <w:szCs w:val="18"/>
              </w:rPr>
            </w:pPr>
            <w:r>
              <w:rPr>
                <w:rFonts w:hint="eastAsia" w:ascii="仿宋" w:hAnsi="仿宋" w:cs="宋体"/>
                <w:kern w:val="0"/>
                <w:sz w:val="18"/>
                <w:szCs w:val="18"/>
              </w:rPr>
              <w:t>环境效益</w:t>
            </w:r>
          </w:p>
        </w:tc>
        <w:tc>
          <w:tcPr>
            <w:tcW w:w="1497" w:type="pct"/>
            <w:shd w:val="clear" w:color="auto" w:fill="auto"/>
            <w:vAlign w:val="center"/>
          </w:tcPr>
          <w:p>
            <w:pPr>
              <w:widowControl/>
              <w:adjustRightInd/>
              <w:snapToGrid/>
              <w:spacing w:line="240" w:lineRule="auto"/>
              <w:ind w:firstLine="0" w:firstLineChars="0"/>
              <w:jc w:val="left"/>
              <w:rPr>
                <w:rFonts w:hint="eastAsia" w:ascii="仿宋" w:hAnsi="仿宋" w:cs="宋体"/>
                <w:kern w:val="0"/>
                <w:sz w:val="18"/>
                <w:szCs w:val="18"/>
              </w:rPr>
            </w:pPr>
            <w:r>
              <w:rPr>
                <w:rFonts w:hint="eastAsia" w:ascii="仿宋" w:hAnsi="仿宋" w:cs="宋体"/>
                <w:kern w:val="0"/>
                <w:sz w:val="18"/>
                <w:szCs w:val="18"/>
              </w:rPr>
              <w:t>保护生态环境</w:t>
            </w:r>
          </w:p>
        </w:tc>
        <w:tc>
          <w:tcPr>
            <w:tcW w:w="998"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4</w:t>
            </w:r>
          </w:p>
        </w:tc>
        <w:tc>
          <w:tcPr>
            <w:tcW w:w="861"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46" w:type="pct"/>
            <w:vMerge w:val="continue"/>
            <w:vAlign w:val="center"/>
          </w:tcPr>
          <w:p>
            <w:pPr>
              <w:widowControl/>
              <w:adjustRightInd/>
              <w:snapToGrid/>
              <w:spacing w:line="240" w:lineRule="auto"/>
              <w:ind w:firstLine="0" w:firstLineChars="0"/>
              <w:jc w:val="left"/>
              <w:rPr>
                <w:rFonts w:ascii="仿宋" w:hAnsi="仿宋" w:cs="宋体"/>
                <w:kern w:val="0"/>
                <w:sz w:val="18"/>
                <w:szCs w:val="18"/>
              </w:rPr>
            </w:pPr>
          </w:p>
        </w:tc>
        <w:tc>
          <w:tcPr>
            <w:tcW w:w="998" w:type="pct"/>
            <w:shd w:val="clear" w:color="auto" w:fill="auto"/>
            <w:vAlign w:val="center"/>
          </w:tcPr>
          <w:p>
            <w:pPr>
              <w:widowControl/>
              <w:adjustRightInd/>
              <w:snapToGrid/>
              <w:spacing w:line="240" w:lineRule="auto"/>
              <w:ind w:firstLine="0" w:firstLineChars="0"/>
              <w:jc w:val="left"/>
              <w:rPr>
                <w:rFonts w:hint="eastAsia" w:ascii="仿宋" w:hAnsi="仿宋" w:cs="宋体"/>
                <w:kern w:val="0"/>
                <w:sz w:val="18"/>
                <w:szCs w:val="18"/>
              </w:rPr>
            </w:pPr>
            <w:r>
              <w:rPr>
                <w:rFonts w:hint="eastAsia" w:ascii="仿宋" w:hAnsi="仿宋" w:cs="宋体"/>
                <w:kern w:val="0"/>
                <w:sz w:val="18"/>
                <w:szCs w:val="18"/>
              </w:rPr>
              <w:t>可持续发展影响</w:t>
            </w:r>
          </w:p>
        </w:tc>
        <w:tc>
          <w:tcPr>
            <w:tcW w:w="1497" w:type="pct"/>
            <w:shd w:val="clear" w:color="auto" w:fill="auto"/>
            <w:vAlign w:val="center"/>
          </w:tcPr>
          <w:p>
            <w:pPr>
              <w:widowControl/>
              <w:adjustRightInd/>
              <w:snapToGrid/>
              <w:spacing w:line="240" w:lineRule="auto"/>
              <w:ind w:firstLine="0" w:firstLineChars="0"/>
              <w:jc w:val="left"/>
              <w:rPr>
                <w:rFonts w:hint="eastAsia" w:ascii="仿宋" w:hAnsi="仿宋" w:cs="宋体"/>
                <w:kern w:val="0"/>
                <w:sz w:val="18"/>
                <w:szCs w:val="18"/>
              </w:rPr>
            </w:pPr>
            <w:r>
              <w:rPr>
                <w:rFonts w:hint="eastAsia" w:ascii="仿宋" w:hAnsi="仿宋" w:cs="宋体"/>
                <w:kern w:val="0"/>
                <w:sz w:val="18"/>
                <w:szCs w:val="18"/>
              </w:rPr>
              <w:t>可持续发展影响</w:t>
            </w:r>
          </w:p>
        </w:tc>
        <w:tc>
          <w:tcPr>
            <w:tcW w:w="998"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5</w:t>
            </w:r>
          </w:p>
        </w:tc>
        <w:tc>
          <w:tcPr>
            <w:tcW w:w="861"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46" w:type="pct"/>
            <w:vMerge w:val="continue"/>
            <w:vAlign w:val="center"/>
          </w:tcPr>
          <w:p>
            <w:pPr>
              <w:widowControl/>
              <w:adjustRightInd/>
              <w:snapToGrid/>
              <w:spacing w:line="240" w:lineRule="auto"/>
              <w:ind w:firstLine="0" w:firstLineChars="0"/>
              <w:jc w:val="left"/>
              <w:rPr>
                <w:rFonts w:ascii="仿宋" w:hAnsi="仿宋" w:cs="宋体"/>
                <w:kern w:val="0"/>
                <w:sz w:val="18"/>
                <w:szCs w:val="18"/>
              </w:rPr>
            </w:pPr>
          </w:p>
        </w:tc>
        <w:tc>
          <w:tcPr>
            <w:tcW w:w="998" w:type="pct"/>
            <w:shd w:val="clear" w:color="auto" w:fill="auto"/>
            <w:vAlign w:val="center"/>
          </w:tcPr>
          <w:p>
            <w:pPr>
              <w:widowControl/>
              <w:adjustRightInd/>
              <w:snapToGrid/>
              <w:spacing w:line="240" w:lineRule="auto"/>
              <w:ind w:firstLine="0" w:firstLineChars="0"/>
              <w:jc w:val="left"/>
              <w:rPr>
                <w:rFonts w:hint="eastAsia" w:ascii="仿宋" w:hAnsi="仿宋" w:cs="宋体"/>
                <w:kern w:val="0"/>
                <w:sz w:val="18"/>
                <w:szCs w:val="18"/>
              </w:rPr>
            </w:pPr>
            <w:r>
              <w:rPr>
                <w:rFonts w:hint="eastAsia" w:ascii="仿宋" w:hAnsi="仿宋" w:cs="宋体"/>
                <w:kern w:val="0"/>
                <w:sz w:val="18"/>
                <w:szCs w:val="18"/>
              </w:rPr>
              <w:t>满意度</w:t>
            </w:r>
          </w:p>
        </w:tc>
        <w:tc>
          <w:tcPr>
            <w:tcW w:w="1497" w:type="pct"/>
            <w:shd w:val="clear" w:color="auto" w:fill="auto"/>
            <w:vAlign w:val="center"/>
          </w:tcPr>
          <w:p>
            <w:pPr>
              <w:widowControl/>
              <w:adjustRightInd/>
              <w:snapToGrid/>
              <w:spacing w:line="240" w:lineRule="auto"/>
              <w:ind w:firstLine="0" w:firstLineChars="0"/>
              <w:jc w:val="left"/>
              <w:rPr>
                <w:rFonts w:hint="eastAsia" w:ascii="仿宋" w:hAnsi="仿宋" w:cs="宋体"/>
                <w:kern w:val="0"/>
                <w:sz w:val="18"/>
                <w:szCs w:val="18"/>
              </w:rPr>
            </w:pPr>
            <w:r>
              <w:rPr>
                <w:rFonts w:hint="eastAsia" w:ascii="仿宋" w:hAnsi="仿宋" w:cs="宋体"/>
                <w:kern w:val="0"/>
                <w:sz w:val="18"/>
                <w:szCs w:val="18"/>
              </w:rPr>
              <w:t>公众和满意度</w:t>
            </w:r>
          </w:p>
        </w:tc>
        <w:tc>
          <w:tcPr>
            <w:tcW w:w="998"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6</w:t>
            </w:r>
          </w:p>
        </w:tc>
        <w:tc>
          <w:tcPr>
            <w:tcW w:w="861"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46" w:type="pct"/>
            <w:vMerge w:val="continue"/>
            <w:vAlign w:val="center"/>
          </w:tcPr>
          <w:p>
            <w:pPr>
              <w:widowControl/>
              <w:adjustRightInd/>
              <w:snapToGrid/>
              <w:spacing w:line="240" w:lineRule="auto"/>
              <w:ind w:firstLine="0" w:firstLineChars="0"/>
              <w:jc w:val="left"/>
              <w:rPr>
                <w:rFonts w:ascii="仿宋" w:hAnsi="仿宋" w:cs="宋体"/>
                <w:kern w:val="0"/>
                <w:sz w:val="18"/>
                <w:szCs w:val="18"/>
              </w:rPr>
            </w:pPr>
          </w:p>
        </w:tc>
        <w:tc>
          <w:tcPr>
            <w:tcW w:w="2495" w:type="pct"/>
            <w:gridSpan w:val="2"/>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小计</w:t>
            </w:r>
          </w:p>
        </w:tc>
        <w:tc>
          <w:tcPr>
            <w:tcW w:w="998"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35</w:t>
            </w:r>
          </w:p>
        </w:tc>
        <w:tc>
          <w:tcPr>
            <w:tcW w:w="861"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141" w:type="pct"/>
            <w:gridSpan w:val="3"/>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合计</w:t>
            </w:r>
          </w:p>
        </w:tc>
        <w:tc>
          <w:tcPr>
            <w:tcW w:w="998"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100</w:t>
            </w:r>
          </w:p>
        </w:tc>
        <w:tc>
          <w:tcPr>
            <w:tcW w:w="861" w:type="pct"/>
            <w:shd w:val="clear" w:color="auto" w:fill="auto"/>
            <w:vAlign w:val="center"/>
          </w:tcPr>
          <w:p>
            <w:pPr>
              <w:widowControl/>
              <w:adjustRightInd/>
              <w:snapToGrid/>
              <w:spacing w:line="240" w:lineRule="auto"/>
              <w:ind w:firstLine="0" w:firstLineChars="0"/>
              <w:jc w:val="center"/>
              <w:rPr>
                <w:rFonts w:hint="eastAsia" w:ascii="仿宋" w:hAnsi="仿宋" w:cs="宋体"/>
                <w:kern w:val="0"/>
                <w:sz w:val="18"/>
                <w:szCs w:val="18"/>
              </w:rPr>
            </w:pPr>
            <w:r>
              <w:rPr>
                <w:rFonts w:hint="eastAsia" w:ascii="仿宋" w:hAnsi="仿宋" w:cs="宋体"/>
                <w:kern w:val="0"/>
                <w:sz w:val="18"/>
                <w:szCs w:val="18"/>
              </w:rPr>
              <w:t>87.5</w:t>
            </w:r>
          </w:p>
        </w:tc>
      </w:tr>
    </w:tbl>
    <w:p>
      <w:pPr>
        <w:pStyle w:val="4"/>
        <w:numPr>
          <w:ilvl w:val="0"/>
          <w:numId w:val="13"/>
        </w:numPr>
        <w:spacing w:before="156"/>
        <w:ind w:firstLine="560" w:firstLineChars="0"/>
        <w:rPr>
          <w:b/>
          <w:bCs/>
        </w:rPr>
      </w:pPr>
      <w:r>
        <w:rPr>
          <w:rFonts w:hint="eastAsia"/>
          <w:b/>
          <w:bCs/>
        </w:rPr>
        <w:t>主要结论</w:t>
      </w:r>
    </w:p>
    <w:p>
      <w:pPr>
        <w:ind w:firstLine="560"/>
        <w:rPr>
          <w:rFonts w:ascii="仿宋" w:hAnsi="仿宋"/>
          <w:szCs w:val="28"/>
        </w:rPr>
      </w:pPr>
      <w:r>
        <w:rPr>
          <w:rFonts w:hint="eastAsia" w:ascii="仿宋" w:hAnsi="仿宋"/>
          <w:szCs w:val="28"/>
        </w:rPr>
        <w:t>2017年</w:t>
      </w:r>
      <w:r>
        <w:rPr>
          <w:rFonts w:hint="eastAsia"/>
          <w:szCs w:val="28"/>
        </w:rPr>
        <w:t>龙泉街道办事处</w:t>
      </w:r>
      <w:r>
        <w:rPr>
          <w:rFonts w:hint="eastAsia" w:ascii="仿宋" w:hAnsi="仿宋"/>
          <w:szCs w:val="28"/>
        </w:rPr>
        <w:t>在东湖新技术开发区的坚强领导和区各职能部门的大力支持下，统筹做好各项工作，较好地完成了上级下达的各项目标任务，但预算调整率较高，预算编制准确率需进一步加强，内控管理制度需进一步完善。</w:t>
      </w:r>
    </w:p>
    <w:p>
      <w:pPr>
        <w:ind w:firstLine="560"/>
        <w:rPr>
          <w:rFonts w:hint="eastAsia" w:ascii="仿宋" w:hAnsi="仿宋"/>
          <w:szCs w:val="28"/>
        </w:rPr>
      </w:pPr>
      <w:r>
        <w:rPr>
          <w:rFonts w:hint="eastAsia"/>
          <w:szCs w:val="28"/>
        </w:rPr>
        <w:t>根据评分，龙泉街道办事处整体支出绩效评价结果等级为“良”。</w:t>
      </w:r>
    </w:p>
    <w:p>
      <w:pPr>
        <w:pStyle w:val="2"/>
        <w:spacing w:before="156"/>
        <w:ind w:firstLine="562"/>
      </w:pPr>
      <w:bookmarkStart w:id="25" w:name="_Toc523346042"/>
      <w:r>
        <w:rPr>
          <w:rFonts w:hint="eastAsia"/>
        </w:rPr>
        <w:t>四、主要经验及做法、存在的问题和建议</w:t>
      </w:r>
      <w:bookmarkEnd w:id="25"/>
    </w:p>
    <w:p>
      <w:pPr>
        <w:pStyle w:val="3"/>
        <w:spacing w:before="156"/>
        <w:ind w:firstLine="562"/>
      </w:pPr>
      <w:bookmarkStart w:id="26" w:name="_Toc523346043"/>
      <w:r>
        <w:rPr>
          <w:rFonts w:hint="eastAsia"/>
        </w:rPr>
        <w:t>（一）主要经验及做法</w:t>
      </w:r>
      <w:bookmarkEnd w:id="26"/>
    </w:p>
    <w:p>
      <w:pPr>
        <w:ind w:firstLine="560"/>
        <w:rPr>
          <w:rFonts w:hint="eastAsia"/>
        </w:rPr>
      </w:pPr>
      <w:r>
        <w:rPr>
          <w:rFonts w:hint="eastAsia"/>
        </w:rPr>
        <w:t>（1）认真执行财政政策要求，认真学习财经法规，严格执行财经纪律，防止了违法违纪行为的发生；</w:t>
      </w:r>
    </w:p>
    <w:p>
      <w:pPr>
        <w:ind w:firstLine="560"/>
        <w:rPr>
          <w:rFonts w:hint="eastAsia"/>
        </w:rPr>
      </w:pPr>
      <w:r>
        <w:rPr>
          <w:rFonts w:hint="eastAsia"/>
        </w:rPr>
        <w:t>（2）严格按照厉行节约的要求，精打细算，规范机关事务管理工作，进一步公务用车、公务接待等方面加强集中管理，提高服务质量，降低运行成本，合理配置，提高保障能力；</w:t>
      </w:r>
    </w:p>
    <w:p>
      <w:pPr>
        <w:ind w:firstLine="560"/>
      </w:pPr>
      <w:r>
        <w:rPr>
          <w:rFonts w:hint="eastAsia"/>
        </w:rPr>
        <w:t>（3）确保了专项资金在使用和管理上单独核算、专款专用，推进了专项工作落实。</w:t>
      </w:r>
    </w:p>
    <w:p>
      <w:pPr>
        <w:pStyle w:val="3"/>
        <w:spacing w:before="156"/>
        <w:ind w:firstLine="562"/>
      </w:pPr>
      <w:bookmarkStart w:id="27" w:name="_Toc523346044"/>
      <w:r>
        <w:rPr>
          <w:rFonts w:hint="eastAsia"/>
        </w:rPr>
        <w:t>（二）存在的问题及原因分析</w:t>
      </w:r>
      <w:bookmarkEnd w:id="27"/>
    </w:p>
    <w:p>
      <w:pPr>
        <w:spacing w:line="520" w:lineRule="exact"/>
        <w:ind w:firstLine="565" w:firstLineChars="202"/>
        <w:rPr>
          <w:rFonts w:hint="eastAsia" w:ascii="仿宋" w:hAnsi="仿宋"/>
          <w:szCs w:val="28"/>
        </w:rPr>
      </w:pPr>
      <w:r>
        <w:rPr>
          <w:rFonts w:hint="eastAsia" w:ascii="仿宋" w:hAnsi="仿宋"/>
          <w:szCs w:val="28"/>
        </w:rPr>
        <w:t>（1）项目申报前期测算不科学，预算脱离实际。实际执行之后，有部分项目还需要改变实施计划，而造成资金暂缓使用，形成了大量的资金结存，有部分项目资金又可能不够，造成项目不能按时按质按量完成，需要继续向财政部门申请资金；</w:t>
      </w:r>
    </w:p>
    <w:p>
      <w:pPr>
        <w:spacing w:line="520" w:lineRule="exact"/>
        <w:ind w:firstLine="708" w:firstLineChars="253"/>
        <w:rPr>
          <w:rFonts w:hint="eastAsia" w:ascii="仿宋" w:hAnsi="仿宋"/>
          <w:szCs w:val="28"/>
        </w:rPr>
      </w:pPr>
      <w:r>
        <w:rPr>
          <w:rFonts w:hint="eastAsia" w:ascii="仿宋" w:hAnsi="仿宋"/>
          <w:szCs w:val="28"/>
        </w:rPr>
        <w:t>（2）预算绩效目标编制工作有待细化。预算绩效目标编制不够明确和细化，绩效目标的科学性需要提高；</w:t>
      </w:r>
    </w:p>
    <w:p>
      <w:pPr>
        <w:spacing w:line="520" w:lineRule="exact"/>
        <w:ind w:firstLine="708" w:firstLineChars="253"/>
        <w:rPr>
          <w:rFonts w:ascii="仿宋" w:hAnsi="仿宋"/>
          <w:szCs w:val="28"/>
        </w:rPr>
      </w:pPr>
      <w:r>
        <w:rPr>
          <w:rFonts w:hint="eastAsia" w:ascii="仿宋" w:hAnsi="仿宋"/>
          <w:szCs w:val="28"/>
        </w:rPr>
        <w:t>（3）缺乏完善的内部控制制度，支出管理制度不健全，容易滋生无控制、不节约，支出随意性大，大手大脚花钱的情况，既造成公共财政的损失浪费、又滋生腐化风气。</w:t>
      </w:r>
    </w:p>
    <w:p>
      <w:pPr>
        <w:pStyle w:val="3"/>
        <w:spacing w:before="156"/>
        <w:ind w:firstLine="562"/>
      </w:pPr>
      <w:bookmarkStart w:id="28" w:name="_Toc523346045"/>
      <w:r>
        <w:rPr>
          <w:rFonts w:hint="eastAsia"/>
        </w:rPr>
        <w:t>（三）建议</w:t>
      </w:r>
      <w:bookmarkEnd w:id="28"/>
    </w:p>
    <w:p>
      <w:pPr>
        <w:pStyle w:val="20"/>
        <w:ind w:firstLine="560"/>
        <w:rPr>
          <w:rFonts w:hint="eastAsia"/>
        </w:rPr>
      </w:pPr>
      <w:r>
        <w:rPr>
          <w:rFonts w:hint="eastAsia"/>
        </w:rPr>
        <w:t>（1）建议加强政策学习，提高思想认识。组织单位人员认真学习《预算法》等相关法规、制度，提高单位领导对全面预算管理的重视程度，增强财务人员的预算意识，坚持先有预算、后有支出，没有预算不得支出的支出理念；</w:t>
      </w:r>
    </w:p>
    <w:p>
      <w:pPr>
        <w:pStyle w:val="20"/>
        <w:ind w:firstLine="560"/>
        <w:rPr>
          <w:rFonts w:hint="eastAsia"/>
        </w:rPr>
      </w:pPr>
      <w:r>
        <w:rPr>
          <w:rFonts w:hint="eastAsia"/>
        </w:rPr>
        <w:t>（2）科学设置预算绩效指标，合理安排经费和各项资金，使其物尽其用，更加贴合街道财务工作的实际情况，能够合理运用现有资源，及时协调并向上级多争取资金，保证各预算绩效指标的顺利实施；</w:t>
      </w:r>
    </w:p>
    <w:p>
      <w:pPr>
        <w:pStyle w:val="20"/>
        <w:ind w:firstLine="560"/>
      </w:pPr>
      <w:r>
        <w:rPr>
          <w:rFonts w:hint="eastAsia"/>
        </w:rPr>
        <w:t>（3）建立健全部门单位内部控制制度，保障部门单位顺利履行行政管理职能，防范财务风险，确保财政资金使用安全，控制铺张浪费，让单位所有职工都参与到内部控制的执行中，营造出内部控制的管理氛围。</w:t>
      </w:r>
    </w:p>
    <w:p>
      <w:pPr>
        <w:pStyle w:val="2"/>
        <w:spacing w:before="156"/>
        <w:ind w:firstLine="562"/>
      </w:pPr>
      <w:bookmarkStart w:id="29" w:name="_Toc523346046"/>
      <w:r>
        <w:rPr>
          <w:rFonts w:hint="eastAsia"/>
        </w:rPr>
        <w:t>五、其他需说明的问题</w:t>
      </w:r>
      <w:bookmarkEnd w:id="29"/>
    </w:p>
    <w:p>
      <w:pPr>
        <w:pStyle w:val="2"/>
        <w:spacing w:before="156"/>
        <w:ind w:firstLine="560"/>
        <w:rPr>
          <w:rFonts w:ascii="仿宋" w:hAnsi="仿宋"/>
          <w:b w:val="0"/>
          <w:kern w:val="2"/>
          <w:szCs w:val="28"/>
        </w:rPr>
      </w:pPr>
      <w:bookmarkStart w:id="30" w:name="_Toc523346047"/>
      <w:r>
        <w:rPr>
          <w:rFonts w:hint="eastAsia" w:ascii="仿宋" w:hAnsi="仿宋"/>
          <w:b w:val="0"/>
          <w:kern w:val="2"/>
          <w:szCs w:val="28"/>
        </w:rPr>
        <w:t>本绩效评价报告只能用于评价报告所载明的评价目的和用途，只能由评价报告载明的评价报告使用者使用；未征得委托方、相关政府部门或出具绩效评价报告的评价机构同意，绩效评价报告的内容不得被摘抄、引用或披露于公开媒体，法律、法规规定及相关当事人另有约定的除外。</w:t>
      </w:r>
    </w:p>
    <w:p>
      <w:pPr>
        <w:pStyle w:val="2"/>
        <w:spacing w:before="156"/>
        <w:ind w:firstLine="562"/>
      </w:pPr>
      <w:r>
        <w:rPr>
          <w:rFonts w:hint="eastAsia"/>
        </w:rPr>
        <w:t>六、附件</w:t>
      </w:r>
      <w:bookmarkEnd w:id="30"/>
    </w:p>
    <w:p>
      <w:pPr>
        <w:ind w:firstLine="560"/>
        <w:rPr>
          <w:rFonts w:ascii="仿宋" w:hAnsi="仿宋"/>
          <w:szCs w:val="28"/>
        </w:rPr>
      </w:pPr>
      <w:r>
        <w:rPr>
          <w:rFonts w:hint="eastAsia" w:ascii="仿宋" w:hAnsi="仿宋"/>
          <w:szCs w:val="28"/>
        </w:rPr>
        <w:t>附件1 部门整体支出指标体系评分</w:t>
      </w:r>
    </w:p>
    <w:p>
      <w:pPr>
        <w:ind w:firstLine="560"/>
        <w:rPr>
          <w:rFonts w:ascii="仿宋" w:hAnsi="仿宋"/>
          <w:szCs w:val="28"/>
        </w:rPr>
      </w:pPr>
      <w:r>
        <w:rPr>
          <w:rFonts w:hint="eastAsia" w:ascii="仿宋" w:hAnsi="仿宋"/>
          <w:szCs w:val="28"/>
        </w:rPr>
        <w:t>附件2 部门整体支出-绩效目标完成情况</w:t>
      </w:r>
    </w:p>
    <w:p>
      <w:pPr>
        <w:ind w:firstLine="560"/>
      </w:pPr>
      <w:r>
        <w:rPr>
          <w:rFonts w:hint="eastAsia"/>
        </w:rPr>
        <w:t xml:space="preserve">  </w:t>
      </w:r>
    </w:p>
    <w:sectPr>
      <w:footerReference r:id="rId11"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
    <w:altName w:val="Times New Roman"/>
    <w:panose1 w:val="00000000000000000000"/>
    <w:charset w:val="00"/>
    <w:family w:val="modern"/>
    <w:pitch w:val="default"/>
    <w:sig w:usb0="00000000" w:usb1="00000000" w:usb2="00000000" w:usb3="00000000" w:csb0="00000001"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jc w:val="cente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21</w:t>
    </w:r>
    <w:r>
      <w:rPr>
        <w:rFonts w:hint="eastAsia"/>
      </w:rPr>
      <w:fldChar w:fldCharType="end"/>
    </w:r>
    <w:r>
      <w:rPr>
        <w:rFonts w:hint="eastAsia"/>
      </w:rPr>
      <w:t xml:space="preserve"> 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520" w:lineRule="exact"/>
      <w:ind w:firstLine="0" w:firstLineChars="0"/>
      <w:jc w:val="left"/>
      <w:rPr>
        <w:rFonts w:ascii="楷体" w:hAnsi="楷体" w:eastAsia="楷体"/>
        <w:sz w:val="18"/>
        <w:szCs w:val="18"/>
      </w:rPr>
    </w:pPr>
    <w:r>
      <w:rPr>
        <w:rFonts w:hint="eastAsia" w:ascii="楷体" w:hAnsi="楷体" w:eastAsia="楷体"/>
        <w:sz w:val="18"/>
        <w:szCs w:val="18"/>
        <w:u w:val="single"/>
      </w:rPr>
      <w:t xml:space="preserve">                                                           </w:t>
    </w:r>
    <w:r>
      <w:rPr>
        <w:rFonts w:hint="eastAsia" w:ascii="楷体" w:hAnsi="楷体" w:eastAsia="楷体"/>
        <w:sz w:val="18"/>
        <w:szCs w:val="18"/>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35410B"/>
    <w:multiLevelType w:val="multilevel"/>
    <w:tmpl w:val="2B35410B"/>
    <w:lvl w:ilvl="0" w:tentative="0">
      <w:start w:val="1"/>
      <w:numFmt w:val="chineseCountingThousand"/>
      <w:lvlText w:val="%1、"/>
      <w:lvlJc w:val="left"/>
      <w:pPr>
        <w:ind w:left="842" w:hanging="420"/>
      </w:p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abstractNum w:abstractNumId="1">
    <w:nsid w:val="2CA60916"/>
    <w:multiLevelType w:val="multilevel"/>
    <w:tmpl w:val="2CA60916"/>
    <w:lvl w:ilvl="0" w:tentative="0">
      <w:start w:val="1"/>
      <w:numFmt w:val="decimal"/>
      <w:lvlText w:val="%1."/>
      <w:lvlJc w:val="left"/>
      <w:pPr>
        <w:ind w:left="980" w:hanging="420"/>
      </w:pPr>
      <w:rPr>
        <w:rFonts w:hint="eastAsia"/>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2">
    <w:nsid w:val="4742009C"/>
    <w:multiLevelType w:val="multilevel"/>
    <w:tmpl w:val="4742009C"/>
    <w:lvl w:ilvl="0" w:tentative="0">
      <w:start w:val="1"/>
      <w:numFmt w:val="decimal"/>
      <w:lvlText w:val="%1."/>
      <w:lvlJc w:val="left"/>
      <w:pPr>
        <w:ind w:left="980" w:hanging="420"/>
      </w:pPr>
      <w:rPr>
        <w:rFonts w:hint="eastAsia"/>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3">
    <w:nsid w:val="51847BDF"/>
    <w:multiLevelType w:val="multilevel"/>
    <w:tmpl w:val="51847BDF"/>
    <w:lvl w:ilvl="0" w:tentative="0">
      <w:start w:val="1"/>
      <w:numFmt w:val="chineseCountingThousand"/>
      <w:lvlText w:val="(%1)"/>
      <w:lvlJc w:val="left"/>
      <w:pPr>
        <w:ind w:left="982" w:hanging="420"/>
      </w:pPr>
    </w:lvl>
    <w:lvl w:ilvl="1" w:tentative="0">
      <w:start w:val="1"/>
      <w:numFmt w:val="lowerLetter"/>
      <w:lvlText w:val="%2)"/>
      <w:lvlJc w:val="left"/>
      <w:pPr>
        <w:ind w:left="1402" w:hanging="420"/>
      </w:p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abstractNum w:abstractNumId="4">
    <w:nsid w:val="59377AA3"/>
    <w:multiLevelType w:val="singleLevel"/>
    <w:tmpl w:val="59377AA3"/>
    <w:lvl w:ilvl="0" w:tentative="0">
      <w:start w:val="1"/>
      <w:numFmt w:val="decimal"/>
      <w:suff w:val="nothing"/>
      <w:lvlText w:val="%1．"/>
      <w:lvlJc w:val="left"/>
      <w:pPr>
        <w:ind w:left="0" w:firstLine="400"/>
      </w:pPr>
      <w:rPr>
        <w:rFonts w:hint="default"/>
      </w:rPr>
    </w:lvl>
  </w:abstractNum>
  <w:abstractNum w:abstractNumId="5">
    <w:nsid w:val="59377AEE"/>
    <w:multiLevelType w:val="singleLevel"/>
    <w:tmpl w:val="59377AEE"/>
    <w:lvl w:ilvl="0" w:tentative="0">
      <w:start w:val="1"/>
      <w:numFmt w:val="decimal"/>
      <w:suff w:val="nothing"/>
      <w:lvlText w:val="（%1）"/>
      <w:lvlJc w:val="left"/>
    </w:lvl>
  </w:abstractNum>
  <w:abstractNum w:abstractNumId="6">
    <w:nsid w:val="5943417E"/>
    <w:multiLevelType w:val="singleLevel"/>
    <w:tmpl w:val="5943417E"/>
    <w:lvl w:ilvl="0" w:tentative="0">
      <w:start w:val="1"/>
      <w:numFmt w:val="decimal"/>
      <w:suff w:val="nothing"/>
      <w:lvlText w:val="%1．"/>
      <w:lvlJc w:val="left"/>
      <w:pPr>
        <w:ind w:left="0" w:firstLine="400"/>
      </w:pPr>
      <w:rPr>
        <w:rFonts w:hint="default"/>
      </w:rPr>
    </w:lvl>
  </w:abstractNum>
  <w:abstractNum w:abstractNumId="7">
    <w:nsid w:val="5943419A"/>
    <w:multiLevelType w:val="singleLevel"/>
    <w:tmpl w:val="5943419A"/>
    <w:lvl w:ilvl="0" w:tentative="0">
      <w:start w:val="1"/>
      <w:numFmt w:val="decimal"/>
      <w:suff w:val="nothing"/>
      <w:lvlText w:val="（%1）"/>
      <w:lvlJc w:val="left"/>
      <w:pPr>
        <w:ind w:left="0" w:firstLine="400"/>
      </w:pPr>
      <w:rPr>
        <w:rFonts w:hint="default"/>
      </w:rPr>
    </w:lvl>
  </w:abstractNum>
  <w:abstractNum w:abstractNumId="8">
    <w:nsid w:val="59448A09"/>
    <w:multiLevelType w:val="singleLevel"/>
    <w:tmpl w:val="59448A09"/>
    <w:lvl w:ilvl="0" w:tentative="0">
      <w:start w:val="1"/>
      <w:numFmt w:val="decimal"/>
      <w:suff w:val="nothing"/>
      <w:lvlText w:val="%1．"/>
      <w:lvlJc w:val="left"/>
      <w:pPr>
        <w:ind w:left="0" w:firstLine="400"/>
      </w:pPr>
      <w:rPr>
        <w:rFonts w:hint="default"/>
      </w:rPr>
    </w:lvl>
  </w:abstractNum>
  <w:abstractNum w:abstractNumId="9">
    <w:nsid w:val="5944F9B0"/>
    <w:multiLevelType w:val="singleLevel"/>
    <w:tmpl w:val="5944F9B0"/>
    <w:lvl w:ilvl="0" w:tentative="0">
      <w:start w:val="1"/>
      <w:numFmt w:val="decimal"/>
      <w:suff w:val="nothing"/>
      <w:lvlText w:val="%1．"/>
      <w:lvlJc w:val="left"/>
      <w:pPr>
        <w:ind w:left="0" w:firstLine="400"/>
      </w:pPr>
      <w:rPr>
        <w:rFonts w:hint="default"/>
      </w:rPr>
    </w:lvl>
  </w:abstractNum>
  <w:abstractNum w:abstractNumId="10">
    <w:nsid w:val="59471DA7"/>
    <w:multiLevelType w:val="singleLevel"/>
    <w:tmpl w:val="59471DA7"/>
    <w:lvl w:ilvl="0" w:tentative="0">
      <w:start w:val="1"/>
      <w:numFmt w:val="decimal"/>
      <w:suff w:val="nothing"/>
      <w:lvlText w:val="%1．"/>
      <w:lvlJc w:val="left"/>
      <w:pPr>
        <w:ind w:left="0" w:firstLine="400"/>
      </w:pPr>
      <w:rPr>
        <w:rFonts w:hint="default"/>
      </w:rPr>
    </w:lvl>
  </w:abstractNum>
  <w:abstractNum w:abstractNumId="11">
    <w:nsid w:val="5B576EDF"/>
    <w:multiLevelType w:val="multilevel"/>
    <w:tmpl w:val="5B576EDF"/>
    <w:lvl w:ilvl="0" w:tentative="0">
      <w:start w:val="1"/>
      <w:numFmt w:val="decimal"/>
      <w:lvlText w:val="%1."/>
      <w:lvlJc w:val="left"/>
      <w:pPr>
        <w:ind w:left="980" w:hanging="420"/>
      </w:pPr>
      <w:rPr>
        <w:rFonts w:hint="eastAsia"/>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2">
    <w:nsid w:val="77DA49CB"/>
    <w:multiLevelType w:val="multilevel"/>
    <w:tmpl w:val="77DA49CB"/>
    <w:lvl w:ilvl="0" w:tentative="0">
      <w:start w:val="1"/>
      <w:numFmt w:val="decimal"/>
      <w:lvlText w:val="%1."/>
      <w:lvlJc w:val="left"/>
      <w:pPr>
        <w:ind w:left="980" w:hanging="420"/>
      </w:pPr>
      <w:rPr>
        <w:rFonts w:hint="eastAsia"/>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10"/>
  </w:num>
  <w:num w:numId="2">
    <w:abstractNumId w:val="8"/>
  </w:num>
  <w:num w:numId="3">
    <w:abstractNumId w:val="0"/>
  </w:num>
  <w:num w:numId="4">
    <w:abstractNumId w:val="3"/>
  </w:num>
  <w:num w:numId="5">
    <w:abstractNumId w:val="2"/>
  </w:num>
  <w:num w:numId="6">
    <w:abstractNumId w:val="12"/>
  </w:num>
  <w:num w:numId="7">
    <w:abstractNumId w:val="11"/>
  </w:num>
  <w:num w:numId="8">
    <w:abstractNumId w:val="1"/>
  </w:num>
  <w:num w:numId="9">
    <w:abstractNumId w:val="6"/>
  </w:num>
  <w:num w:numId="10">
    <w:abstractNumId w:val="7"/>
  </w:num>
  <w:num w:numId="11">
    <w:abstractNumId w:val="4"/>
  </w:num>
  <w:num w:numId="12">
    <w:abstractNumId w:val="5"/>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wODkyOTg4N2YzNjBkYmZhMzljMTU0MmJiNmI4OTAifQ=="/>
  </w:docVars>
  <w:rsids>
    <w:rsidRoot w:val="00666F76"/>
    <w:rsid w:val="00002B19"/>
    <w:rsid w:val="0000444A"/>
    <w:rsid w:val="00005E80"/>
    <w:rsid w:val="0000663D"/>
    <w:rsid w:val="00010B41"/>
    <w:rsid w:val="00012878"/>
    <w:rsid w:val="0001386D"/>
    <w:rsid w:val="000158EB"/>
    <w:rsid w:val="0001716B"/>
    <w:rsid w:val="000204A1"/>
    <w:rsid w:val="00020AED"/>
    <w:rsid w:val="0002567B"/>
    <w:rsid w:val="00025F87"/>
    <w:rsid w:val="0002759C"/>
    <w:rsid w:val="000320F6"/>
    <w:rsid w:val="000359C4"/>
    <w:rsid w:val="0003662C"/>
    <w:rsid w:val="0003795B"/>
    <w:rsid w:val="00040DD2"/>
    <w:rsid w:val="00041126"/>
    <w:rsid w:val="00041ED7"/>
    <w:rsid w:val="00043B58"/>
    <w:rsid w:val="000456E3"/>
    <w:rsid w:val="000462DE"/>
    <w:rsid w:val="000477D2"/>
    <w:rsid w:val="00050595"/>
    <w:rsid w:val="00050811"/>
    <w:rsid w:val="000522C4"/>
    <w:rsid w:val="0005394A"/>
    <w:rsid w:val="00053978"/>
    <w:rsid w:val="00061576"/>
    <w:rsid w:val="000622AF"/>
    <w:rsid w:val="0006349C"/>
    <w:rsid w:val="00063975"/>
    <w:rsid w:val="00064525"/>
    <w:rsid w:val="00067928"/>
    <w:rsid w:val="00071758"/>
    <w:rsid w:val="00072C26"/>
    <w:rsid w:val="00074C89"/>
    <w:rsid w:val="0008251F"/>
    <w:rsid w:val="000836B6"/>
    <w:rsid w:val="00087285"/>
    <w:rsid w:val="00087F3C"/>
    <w:rsid w:val="00090EB4"/>
    <w:rsid w:val="00091599"/>
    <w:rsid w:val="000917ED"/>
    <w:rsid w:val="000954DA"/>
    <w:rsid w:val="000A4A68"/>
    <w:rsid w:val="000A660C"/>
    <w:rsid w:val="000B0728"/>
    <w:rsid w:val="000B4FD9"/>
    <w:rsid w:val="000B55B0"/>
    <w:rsid w:val="000C1028"/>
    <w:rsid w:val="000C52B0"/>
    <w:rsid w:val="000C5A17"/>
    <w:rsid w:val="000C70DD"/>
    <w:rsid w:val="000C7C96"/>
    <w:rsid w:val="000D2A62"/>
    <w:rsid w:val="000D7080"/>
    <w:rsid w:val="000D7614"/>
    <w:rsid w:val="000E5A23"/>
    <w:rsid w:val="000F22FC"/>
    <w:rsid w:val="000F4051"/>
    <w:rsid w:val="000F52B7"/>
    <w:rsid w:val="00104C7C"/>
    <w:rsid w:val="001059A6"/>
    <w:rsid w:val="00106520"/>
    <w:rsid w:val="0010714F"/>
    <w:rsid w:val="001107EB"/>
    <w:rsid w:val="00111BF3"/>
    <w:rsid w:val="001145FE"/>
    <w:rsid w:val="001173C5"/>
    <w:rsid w:val="00124B11"/>
    <w:rsid w:val="00124ED0"/>
    <w:rsid w:val="00125A70"/>
    <w:rsid w:val="00127295"/>
    <w:rsid w:val="00127E7C"/>
    <w:rsid w:val="00131699"/>
    <w:rsid w:val="00135865"/>
    <w:rsid w:val="00140727"/>
    <w:rsid w:val="001477AC"/>
    <w:rsid w:val="0015018D"/>
    <w:rsid w:val="001519AE"/>
    <w:rsid w:val="00152657"/>
    <w:rsid w:val="00152ED2"/>
    <w:rsid w:val="00153203"/>
    <w:rsid w:val="001538A6"/>
    <w:rsid w:val="0015413D"/>
    <w:rsid w:val="001561D5"/>
    <w:rsid w:val="0015668E"/>
    <w:rsid w:val="00156CD8"/>
    <w:rsid w:val="0016118B"/>
    <w:rsid w:val="00161F02"/>
    <w:rsid w:val="00162445"/>
    <w:rsid w:val="001668B8"/>
    <w:rsid w:val="00166AD1"/>
    <w:rsid w:val="001719BA"/>
    <w:rsid w:val="001738D9"/>
    <w:rsid w:val="00173E87"/>
    <w:rsid w:val="00177922"/>
    <w:rsid w:val="00186801"/>
    <w:rsid w:val="0018764D"/>
    <w:rsid w:val="00191B0C"/>
    <w:rsid w:val="00192F87"/>
    <w:rsid w:val="00193F62"/>
    <w:rsid w:val="0019445D"/>
    <w:rsid w:val="00194589"/>
    <w:rsid w:val="00195296"/>
    <w:rsid w:val="001972D2"/>
    <w:rsid w:val="001A1A83"/>
    <w:rsid w:val="001A5B47"/>
    <w:rsid w:val="001A6A1F"/>
    <w:rsid w:val="001A6A55"/>
    <w:rsid w:val="001B59D5"/>
    <w:rsid w:val="001C2AC1"/>
    <w:rsid w:val="001C2D58"/>
    <w:rsid w:val="001C44ED"/>
    <w:rsid w:val="001D07F8"/>
    <w:rsid w:val="001D73F9"/>
    <w:rsid w:val="001D7F9A"/>
    <w:rsid w:val="001E02D1"/>
    <w:rsid w:val="001E069B"/>
    <w:rsid w:val="001E1C1C"/>
    <w:rsid w:val="001E656B"/>
    <w:rsid w:val="001E6E58"/>
    <w:rsid w:val="001E7291"/>
    <w:rsid w:val="001E7D27"/>
    <w:rsid w:val="001F2404"/>
    <w:rsid w:val="001F2F40"/>
    <w:rsid w:val="001F4242"/>
    <w:rsid w:val="001F58A3"/>
    <w:rsid w:val="0020582F"/>
    <w:rsid w:val="00206989"/>
    <w:rsid w:val="00207138"/>
    <w:rsid w:val="00213EBE"/>
    <w:rsid w:val="00223729"/>
    <w:rsid w:val="00224808"/>
    <w:rsid w:val="00225494"/>
    <w:rsid w:val="00225F31"/>
    <w:rsid w:val="00231098"/>
    <w:rsid w:val="00237BFA"/>
    <w:rsid w:val="00241A9E"/>
    <w:rsid w:val="00242F55"/>
    <w:rsid w:val="00243C1B"/>
    <w:rsid w:val="00244277"/>
    <w:rsid w:val="002455D1"/>
    <w:rsid w:val="00250772"/>
    <w:rsid w:val="00250A8C"/>
    <w:rsid w:val="00257745"/>
    <w:rsid w:val="00257C7F"/>
    <w:rsid w:val="002638E0"/>
    <w:rsid w:val="00264086"/>
    <w:rsid w:val="00266B47"/>
    <w:rsid w:val="002704DD"/>
    <w:rsid w:val="00271C31"/>
    <w:rsid w:val="0027289B"/>
    <w:rsid w:val="002746FC"/>
    <w:rsid w:val="00275DDA"/>
    <w:rsid w:val="00276073"/>
    <w:rsid w:val="00277A4B"/>
    <w:rsid w:val="00277BA7"/>
    <w:rsid w:val="00277EAE"/>
    <w:rsid w:val="00282FB3"/>
    <w:rsid w:val="002839B7"/>
    <w:rsid w:val="002848D2"/>
    <w:rsid w:val="00285BB4"/>
    <w:rsid w:val="00290708"/>
    <w:rsid w:val="0029329B"/>
    <w:rsid w:val="002946A7"/>
    <w:rsid w:val="00294811"/>
    <w:rsid w:val="00294966"/>
    <w:rsid w:val="00295086"/>
    <w:rsid w:val="002A07EB"/>
    <w:rsid w:val="002A37A7"/>
    <w:rsid w:val="002A3D70"/>
    <w:rsid w:val="002A3E1C"/>
    <w:rsid w:val="002A445C"/>
    <w:rsid w:val="002A52E6"/>
    <w:rsid w:val="002B2228"/>
    <w:rsid w:val="002B35BF"/>
    <w:rsid w:val="002B50AC"/>
    <w:rsid w:val="002B7DA9"/>
    <w:rsid w:val="002C0D0A"/>
    <w:rsid w:val="002C50E7"/>
    <w:rsid w:val="002C6455"/>
    <w:rsid w:val="002C653F"/>
    <w:rsid w:val="002D3853"/>
    <w:rsid w:val="002D4E1F"/>
    <w:rsid w:val="002E0CDD"/>
    <w:rsid w:val="002F0C3C"/>
    <w:rsid w:val="002F23DE"/>
    <w:rsid w:val="002F3D43"/>
    <w:rsid w:val="002F4517"/>
    <w:rsid w:val="002F55CE"/>
    <w:rsid w:val="002F58ED"/>
    <w:rsid w:val="002F6DDA"/>
    <w:rsid w:val="00300C4B"/>
    <w:rsid w:val="0030413B"/>
    <w:rsid w:val="00304228"/>
    <w:rsid w:val="0030653E"/>
    <w:rsid w:val="003072D2"/>
    <w:rsid w:val="0030799F"/>
    <w:rsid w:val="00307FD6"/>
    <w:rsid w:val="00311517"/>
    <w:rsid w:val="0031276D"/>
    <w:rsid w:val="003169B0"/>
    <w:rsid w:val="0031770E"/>
    <w:rsid w:val="00321693"/>
    <w:rsid w:val="003222CA"/>
    <w:rsid w:val="003237D8"/>
    <w:rsid w:val="00325574"/>
    <w:rsid w:val="00325C5F"/>
    <w:rsid w:val="00327615"/>
    <w:rsid w:val="00335F78"/>
    <w:rsid w:val="00337470"/>
    <w:rsid w:val="003430F0"/>
    <w:rsid w:val="00347937"/>
    <w:rsid w:val="00352BDF"/>
    <w:rsid w:val="003567DB"/>
    <w:rsid w:val="0036038E"/>
    <w:rsid w:val="003608E3"/>
    <w:rsid w:val="00360EA2"/>
    <w:rsid w:val="00361A3B"/>
    <w:rsid w:val="003671B4"/>
    <w:rsid w:val="00370546"/>
    <w:rsid w:val="00371B5C"/>
    <w:rsid w:val="00374565"/>
    <w:rsid w:val="00374D7C"/>
    <w:rsid w:val="00381742"/>
    <w:rsid w:val="003827A5"/>
    <w:rsid w:val="00384B5D"/>
    <w:rsid w:val="00386385"/>
    <w:rsid w:val="00386B13"/>
    <w:rsid w:val="00391996"/>
    <w:rsid w:val="003919D2"/>
    <w:rsid w:val="00392F24"/>
    <w:rsid w:val="0039395F"/>
    <w:rsid w:val="00395A5A"/>
    <w:rsid w:val="00397854"/>
    <w:rsid w:val="003A2BE6"/>
    <w:rsid w:val="003A5C74"/>
    <w:rsid w:val="003B293E"/>
    <w:rsid w:val="003B4B0E"/>
    <w:rsid w:val="003B61CD"/>
    <w:rsid w:val="003C2FC3"/>
    <w:rsid w:val="003D0660"/>
    <w:rsid w:val="003D18A7"/>
    <w:rsid w:val="003D2975"/>
    <w:rsid w:val="003D2EC8"/>
    <w:rsid w:val="003D4194"/>
    <w:rsid w:val="003D4904"/>
    <w:rsid w:val="003E5B79"/>
    <w:rsid w:val="003F0488"/>
    <w:rsid w:val="003F13E6"/>
    <w:rsid w:val="003F1E55"/>
    <w:rsid w:val="003F222A"/>
    <w:rsid w:val="003F56C2"/>
    <w:rsid w:val="0040052F"/>
    <w:rsid w:val="00400AFE"/>
    <w:rsid w:val="00401B03"/>
    <w:rsid w:val="00406B9D"/>
    <w:rsid w:val="004071CB"/>
    <w:rsid w:val="00413645"/>
    <w:rsid w:val="0041540C"/>
    <w:rsid w:val="004163EC"/>
    <w:rsid w:val="0041687F"/>
    <w:rsid w:val="004309B4"/>
    <w:rsid w:val="00432289"/>
    <w:rsid w:val="00434350"/>
    <w:rsid w:val="004360CF"/>
    <w:rsid w:val="00436397"/>
    <w:rsid w:val="004407E3"/>
    <w:rsid w:val="0044709B"/>
    <w:rsid w:val="00452276"/>
    <w:rsid w:val="00452AB7"/>
    <w:rsid w:val="0045467E"/>
    <w:rsid w:val="00454B7E"/>
    <w:rsid w:val="00456972"/>
    <w:rsid w:val="004603D1"/>
    <w:rsid w:val="004608D5"/>
    <w:rsid w:val="00460B34"/>
    <w:rsid w:val="00462F7D"/>
    <w:rsid w:val="00466D9C"/>
    <w:rsid w:val="0047293D"/>
    <w:rsid w:val="00475216"/>
    <w:rsid w:val="004765E0"/>
    <w:rsid w:val="00477364"/>
    <w:rsid w:val="0048121A"/>
    <w:rsid w:val="004864EF"/>
    <w:rsid w:val="00486B15"/>
    <w:rsid w:val="00487726"/>
    <w:rsid w:val="00490816"/>
    <w:rsid w:val="00490BB2"/>
    <w:rsid w:val="00494EBF"/>
    <w:rsid w:val="004976BC"/>
    <w:rsid w:val="004978BC"/>
    <w:rsid w:val="00497FDA"/>
    <w:rsid w:val="004A2927"/>
    <w:rsid w:val="004B1BDA"/>
    <w:rsid w:val="004B220C"/>
    <w:rsid w:val="004B2A08"/>
    <w:rsid w:val="004B775E"/>
    <w:rsid w:val="004C1881"/>
    <w:rsid w:val="004C20F0"/>
    <w:rsid w:val="004C3097"/>
    <w:rsid w:val="004C353B"/>
    <w:rsid w:val="004C3EA7"/>
    <w:rsid w:val="004C556B"/>
    <w:rsid w:val="004C7788"/>
    <w:rsid w:val="004D10B1"/>
    <w:rsid w:val="004D2BB0"/>
    <w:rsid w:val="004D2E75"/>
    <w:rsid w:val="004D38E5"/>
    <w:rsid w:val="004D3BAA"/>
    <w:rsid w:val="004D3BB4"/>
    <w:rsid w:val="004D48EF"/>
    <w:rsid w:val="004E019A"/>
    <w:rsid w:val="004E14D1"/>
    <w:rsid w:val="004E38CB"/>
    <w:rsid w:val="004E3C91"/>
    <w:rsid w:val="004E6CA7"/>
    <w:rsid w:val="004F0868"/>
    <w:rsid w:val="004F5663"/>
    <w:rsid w:val="00502B62"/>
    <w:rsid w:val="00503357"/>
    <w:rsid w:val="00505D02"/>
    <w:rsid w:val="005068A4"/>
    <w:rsid w:val="00510F1A"/>
    <w:rsid w:val="005145E9"/>
    <w:rsid w:val="00522077"/>
    <w:rsid w:val="00523852"/>
    <w:rsid w:val="00524978"/>
    <w:rsid w:val="00524E47"/>
    <w:rsid w:val="0052665A"/>
    <w:rsid w:val="005269C5"/>
    <w:rsid w:val="00530D75"/>
    <w:rsid w:val="0053366E"/>
    <w:rsid w:val="005349F7"/>
    <w:rsid w:val="005363B0"/>
    <w:rsid w:val="00540EA1"/>
    <w:rsid w:val="0055078E"/>
    <w:rsid w:val="0055427D"/>
    <w:rsid w:val="00555B26"/>
    <w:rsid w:val="00570921"/>
    <w:rsid w:val="00571194"/>
    <w:rsid w:val="00571D13"/>
    <w:rsid w:val="0057566D"/>
    <w:rsid w:val="00577604"/>
    <w:rsid w:val="0058109C"/>
    <w:rsid w:val="005900A0"/>
    <w:rsid w:val="005904D6"/>
    <w:rsid w:val="00591762"/>
    <w:rsid w:val="00597632"/>
    <w:rsid w:val="005A109C"/>
    <w:rsid w:val="005A3991"/>
    <w:rsid w:val="005A6127"/>
    <w:rsid w:val="005A6628"/>
    <w:rsid w:val="005A674E"/>
    <w:rsid w:val="005A6CE3"/>
    <w:rsid w:val="005B6C7E"/>
    <w:rsid w:val="005C68CF"/>
    <w:rsid w:val="005C7D2B"/>
    <w:rsid w:val="005D250C"/>
    <w:rsid w:val="005D5857"/>
    <w:rsid w:val="005D72E0"/>
    <w:rsid w:val="005D7C6A"/>
    <w:rsid w:val="005E263E"/>
    <w:rsid w:val="005E289B"/>
    <w:rsid w:val="005E2C4A"/>
    <w:rsid w:val="005E49E7"/>
    <w:rsid w:val="005E553F"/>
    <w:rsid w:val="005E61A0"/>
    <w:rsid w:val="005E6472"/>
    <w:rsid w:val="005F1CEA"/>
    <w:rsid w:val="005F3004"/>
    <w:rsid w:val="005F4F12"/>
    <w:rsid w:val="00602260"/>
    <w:rsid w:val="00602560"/>
    <w:rsid w:val="00604824"/>
    <w:rsid w:val="0060621F"/>
    <w:rsid w:val="00607DF3"/>
    <w:rsid w:val="00612A0B"/>
    <w:rsid w:val="00616CD1"/>
    <w:rsid w:val="0062474C"/>
    <w:rsid w:val="00624EE3"/>
    <w:rsid w:val="006258C2"/>
    <w:rsid w:val="00626065"/>
    <w:rsid w:val="006275BC"/>
    <w:rsid w:val="00627C2F"/>
    <w:rsid w:val="00630C3F"/>
    <w:rsid w:val="00631A5F"/>
    <w:rsid w:val="00632235"/>
    <w:rsid w:val="00632D0A"/>
    <w:rsid w:val="00633A1F"/>
    <w:rsid w:val="00634450"/>
    <w:rsid w:val="006366B4"/>
    <w:rsid w:val="00636CE0"/>
    <w:rsid w:val="00640A8F"/>
    <w:rsid w:val="0064320B"/>
    <w:rsid w:val="00643A9E"/>
    <w:rsid w:val="00644BAF"/>
    <w:rsid w:val="00645A30"/>
    <w:rsid w:val="00645CA1"/>
    <w:rsid w:val="00652BBE"/>
    <w:rsid w:val="006530D5"/>
    <w:rsid w:val="006536F3"/>
    <w:rsid w:val="00654F1F"/>
    <w:rsid w:val="00655DB6"/>
    <w:rsid w:val="006605FE"/>
    <w:rsid w:val="00663005"/>
    <w:rsid w:val="00664676"/>
    <w:rsid w:val="00665FED"/>
    <w:rsid w:val="00666F76"/>
    <w:rsid w:val="00672190"/>
    <w:rsid w:val="00672575"/>
    <w:rsid w:val="006760EB"/>
    <w:rsid w:val="006841E6"/>
    <w:rsid w:val="00684E23"/>
    <w:rsid w:val="00685105"/>
    <w:rsid w:val="0069293D"/>
    <w:rsid w:val="00695402"/>
    <w:rsid w:val="00697E06"/>
    <w:rsid w:val="006A2D59"/>
    <w:rsid w:val="006B0FB7"/>
    <w:rsid w:val="006B1AAF"/>
    <w:rsid w:val="006C008A"/>
    <w:rsid w:val="006C18DD"/>
    <w:rsid w:val="006C19AF"/>
    <w:rsid w:val="006C3162"/>
    <w:rsid w:val="006C4C3B"/>
    <w:rsid w:val="006C59CC"/>
    <w:rsid w:val="006C675C"/>
    <w:rsid w:val="006D172A"/>
    <w:rsid w:val="006D4528"/>
    <w:rsid w:val="006D4C90"/>
    <w:rsid w:val="006D4DA6"/>
    <w:rsid w:val="006D5510"/>
    <w:rsid w:val="006D5A36"/>
    <w:rsid w:val="006D7694"/>
    <w:rsid w:val="006E00BA"/>
    <w:rsid w:val="006E078A"/>
    <w:rsid w:val="006E1165"/>
    <w:rsid w:val="006F2E4F"/>
    <w:rsid w:val="006F2E8F"/>
    <w:rsid w:val="006F4841"/>
    <w:rsid w:val="006F5509"/>
    <w:rsid w:val="006F7D18"/>
    <w:rsid w:val="0070049B"/>
    <w:rsid w:val="007116EA"/>
    <w:rsid w:val="00720FAB"/>
    <w:rsid w:val="0072374E"/>
    <w:rsid w:val="00726038"/>
    <w:rsid w:val="00727B08"/>
    <w:rsid w:val="007315F0"/>
    <w:rsid w:val="00732F5F"/>
    <w:rsid w:val="007337F9"/>
    <w:rsid w:val="0074126A"/>
    <w:rsid w:val="00742B24"/>
    <w:rsid w:val="00742FE8"/>
    <w:rsid w:val="00744F8C"/>
    <w:rsid w:val="007460B2"/>
    <w:rsid w:val="0075085D"/>
    <w:rsid w:val="0075312B"/>
    <w:rsid w:val="00753BB9"/>
    <w:rsid w:val="00757D8B"/>
    <w:rsid w:val="00761E96"/>
    <w:rsid w:val="00763089"/>
    <w:rsid w:val="007631AA"/>
    <w:rsid w:val="00767DFE"/>
    <w:rsid w:val="00776C97"/>
    <w:rsid w:val="00777803"/>
    <w:rsid w:val="00777D72"/>
    <w:rsid w:val="00783A99"/>
    <w:rsid w:val="00783AD5"/>
    <w:rsid w:val="007845B1"/>
    <w:rsid w:val="00794566"/>
    <w:rsid w:val="007953D2"/>
    <w:rsid w:val="007958F7"/>
    <w:rsid w:val="00796128"/>
    <w:rsid w:val="007A2E3A"/>
    <w:rsid w:val="007A4391"/>
    <w:rsid w:val="007A71EE"/>
    <w:rsid w:val="007A7C1C"/>
    <w:rsid w:val="007B097F"/>
    <w:rsid w:val="007B2368"/>
    <w:rsid w:val="007B260A"/>
    <w:rsid w:val="007B4A90"/>
    <w:rsid w:val="007B4B68"/>
    <w:rsid w:val="007B665B"/>
    <w:rsid w:val="007B77B6"/>
    <w:rsid w:val="007B7897"/>
    <w:rsid w:val="007C0388"/>
    <w:rsid w:val="007C2547"/>
    <w:rsid w:val="007C4D70"/>
    <w:rsid w:val="007C5611"/>
    <w:rsid w:val="007D1BF5"/>
    <w:rsid w:val="007D2AB5"/>
    <w:rsid w:val="007D34B2"/>
    <w:rsid w:val="007D4C86"/>
    <w:rsid w:val="007D6311"/>
    <w:rsid w:val="007E4BD0"/>
    <w:rsid w:val="007E5657"/>
    <w:rsid w:val="007E57C4"/>
    <w:rsid w:val="007E6BB0"/>
    <w:rsid w:val="007E7238"/>
    <w:rsid w:val="007F112D"/>
    <w:rsid w:val="007F20A5"/>
    <w:rsid w:val="007F2F35"/>
    <w:rsid w:val="007F31CD"/>
    <w:rsid w:val="007F54B4"/>
    <w:rsid w:val="007F7A5B"/>
    <w:rsid w:val="007F7BC9"/>
    <w:rsid w:val="0080075F"/>
    <w:rsid w:val="00800927"/>
    <w:rsid w:val="00800B44"/>
    <w:rsid w:val="00800E85"/>
    <w:rsid w:val="00804C76"/>
    <w:rsid w:val="00807513"/>
    <w:rsid w:val="00812B92"/>
    <w:rsid w:val="00816678"/>
    <w:rsid w:val="00817593"/>
    <w:rsid w:val="00817975"/>
    <w:rsid w:val="00820B11"/>
    <w:rsid w:val="0082173B"/>
    <w:rsid w:val="00822CA2"/>
    <w:rsid w:val="00823389"/>
    <w:rsid w:val="008253DD"/>
    <w:rsid w:val="0082586F"/>
    <w:rsid w:val="008258CC"/>
    <w:rsid w:val="0082639E"/>
    <w:rsid w:val="0082685F"/>
    <w:rsid w:val="0082697A"/>
    <w:rsid w:val="008337AA"/>
    <w:rsid w:val="008357AC"/>
    <w:rsid w:val="0083731A"/>
    <w:rsid w:val="00837330"/>
    <w:rsid w:val="00837B45"/>
    <w:rsid w:val="00842859"/>
    <w:rsid w:val="0084460A"/>
    <w:rsid w:val="008461D9"/>
    <w:rsid w:val="0084726D"/>
    <w:rsid w:val="00847CF8"/>
    <w:rsid w:val="00850274"/>
    <w:rsid w:val="0085068B"/>
    <w:rsid w:val="00853BD8"/>
    <w:rsid w:val="00856F79"/>
    <w:rsid w:val="00862993"/>
    <w:rsid w:val="008645E0"/>
    <w:rsid w:val="0086684A"/>
    <w:rsid w:val="0087005D"/>
    <w:rsid w:val="0087242B"/>
    <w:rsid w:val="00872AF6"/>
    <w:rsid w:val="00880515"/>
    <w:rsid w:val="008924C0"/>
    <w:rsid w:val="00893B06"/>
    <w:rsid w:val="00896A38"/>
    <w:rsid w:val="008A2D08"/>
    <w:rsid w:val="008A3CE2"/>
    <w:rsid w:val="008A4C2D"/>
    <w:rsid w:val="008A70CD"/>
    <w:rsid w:val="008B0B71"/>
    <w:rsid w:val="008B1E52"/>
    <w:rsid w:val="008B1E8F"/>
    <w:rsid w:val="008B2D6E"/>
    <w:rsid w:val="008B46E6"/>
    <w:rsid w:val="008B59C8"/>
    <w:rsid w:val="008B62A3"/>
    <w:rsid w:val="008B65E2"/>
    <w:rsid w:val="008C197E"/>
    <w:rsid w:val="008C684B"/>
    <w:rsid w:val="008C7D40"/>
    <w:rsid w:val="008D25BD"/>
    <w:rsid w:val="008D328F"/>
    <w:rsid w:val="008D3379"/>
    <w:rsid w:val="008D4CB0"/>
    <w:rsid w:val="008D5181"/>
    <w:rsid w:val="008D5468"/>
    <w:rsid w:val="008E0281"/>
    <w:rsid w:val="008E4417"/>
    <w:rsid w:val="008E550E"/>
    <w:rsid w:val="008E67C2"/>
    <w:rsid w:val="008E7E19"/>
    <w:rsid w:val="008F35FC"/>
    <w:rsid w:val="00901ED8"/>
    <w:rsid w:val="00903764"/>
    <w:rsid w:val="0090413C"/>
    <w:rsid w:val="0090494F"/>
    <w:rsid w:val="00911482"/>
    <w:rsid w:val="0091226D"/>
    <w:rsid w:val="00916CAA"/>
    <w:rsid w:val="00917DD1"/>
    <w:rsid w:val="009212A3"/>
    <w:rsid w:val="009219BE"/>
    <w:rsid w:val="009238C0"/>
    <w:rsid w:val="009246DA"/>
    <w:rsid w:val="00925524"/>
    <w:rsid w:val="00926C66"/>
    <w:rsid w:val="009307EC"/>
    <w:rsid w:val="009332E1"/>
    <w:rsid w:val="00933A30"/>
    <w:rsid w:val="0093493A"/>
    <w:rsid w:val="00934DE7"/>
    <w:rsid w:val="00937B7E"/>
    <w:rsid w:val="009429DB"/>
    <w:rsid w:val="00942FB4"/>
    <w:rsid w:val="00944846"/>
    <w:rsid w:val="009451F0"/>
    <w:rsid w:val="00946C68"/>
    <w:rsid w:val="00947570"/>
    <w:rsid w:val="00947B1A"/>
    <w:rsid w:val="00950689"/>
    <w:rsid w:val="00951758"/>
    <w:rsid w:val="009558BE"/>
    <w:rsid w:val="00962660"/>
    <w:rsid w:val="0096410B"/>
    <w:rsid w:val="00965081"/>
    <w:rsid w:val="00965B7E"/>
    <w:rsid w:val="00971BBD"/>
    <w:rsid w:val="00972A12"/>
    <w:rsid w:val="00972D28"/>
    <w:rsid w:val="00973668"/>
    <w:rsid w:val="009752C7"/>
    <w:rsid w:val="00975C4E"/>
    <w:rsid w:val="00977130"/>
    <w:rsid w:val="00980C2A"/>
    <w:rsid w:val="00981B1F"/>
    <w:rsid w:val="00982561"/>
    <w:rsid w:val="00982B78"/>
    <w:rsid w:val="009838A6"/>
    <w:rsid w:val="009866CE"/>
    <w:rsid w:val="009926C8"/>
    <w:rsid w:val="00993975"/>
    <w:rsid w:val="00993C69"/>
    <w:rsid w:val="00995E6D"/>
    <w:rsid w:val="009964AC"/>
    <w:rsid w:val="009A2BB7"/>
    <w:rsid w:val="009A360B"/>
    <w:rsid w:val="009A485C"/>
    <w:rsid w:val="009A7902"/>
    <w:rsid w:val="009B1137"/>
    <w:rsid w:val="009B29F9"/>
    <w:rsid w:val="009B778E"/>
    <w:rsid w:val="009C064E"/>
    <w:rsid w:val="009C1309"/>
    <w:rsid w:val="009C2346"/>
    <w:rsid w:val="009C4304"/>
    <w:rsid w:val="009C601D"/>
    <w:rsid w:val="009C7465"/>
    <w:rsid w:val="009C781A"/>
    <w:rsid w:val="009D0154"/>
    <w:rsid w:val="009D314A"/>
    <w:rsid w:val="009D32D5"/>
    <w:rsid w:val="009D5371"/>
    <w:rsid w:val="009D5D7D"/>
    <w:rsid w:val="009E2939"/>
    <w:rsid w:val="009E3A73"/>
    <w:rsid w:val="009E4991"/>
    <w:rsid w:val="009E697E"/>
    <w:rsid w:val="009E6BB6"/>
    <w:rsid w:val="009E7565"/>
    <w:rsid w:val="009F3D31"/>
    <w:rsid w:val="009F5C49"/>
    <w:rsid w:val="00A02854"/>
    <w:rsid w:val="00A02D96"/>
    <w:rsid w:val="00A031D5"/>
    <w:rsid w:val="00A04D67"/>
    <w:rsid w:val="00A06810"/>
    <w:rsid w:val="00A06B61"/>
    <w:rsid w:val="00A06DDA"/>
    <w:rsid w:val="00A11706"/>
    <w:rsid w:val="00A13EC5"/>
    <w:rsid w:val="00A1778B"/>
    <w:rsid w:val="00A21664"/>
    <w:rsid w:val="00A21FA9"/>
    <w:rsid w:val="00A26BA1"/>
    <w:rsid w:val="00A31E67"/>
    <w:rsid w:val="00A35010"/>
    <w:rsid w:val="00A35852"/>
    <w:rsid w:val="00A3638E"/>
    <w:rsid w:val="00A372B9"/>
    <w:rsid w:val="00A43652"/>
    <w:rsid w:val="00A44E3E"/>
    <w:rsid w:val="00A46DF3"/>
    <w:rsid w:val="00A479F8"/>
    <w:rsid w:val="00A47A90"/>
    <w:rsid w:val="00A47F43"/>
    <w:rsid w:val="00A50BD3"/>
    <w:rsid w:val="00A551D6"/>
    <w:rsid w:val="00A64B61"/>
    <w:rsid w:val="00A677C8"/>
    <w:rsid w:val="00A7130C"/>
    <w:rsid w:val="00A72991"/>
    <w:rsid w:val="00A73188"/>
    <w:rsid w:val="00A7720C"/>
    <w:rsid w:val="00A80089"/>
    <w:rsid w:val="00A8186C"/>
    <w:rsid w:val="00A847C1"/>
    <w:rsid w:val="00A8483F"/>
    <w:rsid w:val="00A866F7"/>
    <w:rsid w:val="00A867BF"/>
    <w:rsid w:val="00A87601"/>
    <w:rsid w:val="00A87C39"/>
    <w:rsid w:val="00A901B5"/>
    <w:rsid w:val="00A901BC"/>
    <w:rsid w:val="00A96211"/>
    <w:rsid w:val="00AA186D"/>
    <w:rsid w:val="00AA34ED"/>
    <w:rsid w:val="00AA37DF"/>
    <w:rsid w:val="00AA5C6E"/>
    <w:rsid w:val="00AA65D1"/>
    <w:rsid w:val="00AB029F"/>
    <w:rsid w:val="00AB162F"/>
    <w:rsid w:val="00AB3ECF"/>
    <w:rsid w:val="00AB3F72"/>
    <w:rsid w:val="00AB4C89"/>
    <w:rsid w:val="00AB7D98"/>
    <w:rsid w:val="00AC0ECC"/>
    <w:rsid w:val="00AC3CA0"/>
    <w:rsid w:val="00AC5124"/>
    <w:rsid w:val="00AC5E9B"/>
    <w:rsid w:val="00AC73A5"/>
    <w:rsid w:val="00AD0F51"/>
    <w:rsid w:val="00AD2196"/>
    <w:rsid w:val="00AE2C24"/>
    <w:rsid w:val="00AE3824"/>
    <w:rsid w:val="00AF0B71"/>
    <w:rsid w:val="00AF14E4"/>
    <w:rsid w:val="00AF365B"/>
    <w:rsid w:val="00AF57AC"/>
    <w:rsid w:val="00AF5E6B"/>
    <w:rsid w:val="00AF6DA1"/>
    <w:rsid w:val="00B0202A"/>
    <w:rsid w:val="00B05715"/>
    <w:rsid w:val="00B06D07"/>
    <w:rsid w:val="00B07C9D"/>
    <w:rsid w:val="00B07D2C"/>
    <w:rsid w:val="00B12139"/>
    <w:rsid w:val="00B15505"/>
    <w:rsid w:val="00B159DF"/>
    <w:rsid w:val="00B167B3"/>
    <w:rsid w:val="00B1757A"/>
    <w:rsid w:val="00B17A44"/>
    <w:rsid w:val="00B307AA"/>
    <w:rsid w:val="00B30990"/>
    <w:rsid w:val="00B33F32"/>
    <w:rsid w:val="00B3488A"/>
    <w:rsid w:val="00B35C3A"/>
    <w:rsid w:val="00B4276E"/>
    <w:rsid w:val="00B45323"/>
    <w:rsid w:val="00B460CB"/>
    <w:rsid w:val="00B50815"/>
    <w:rsid w:val="00B52DFC"/>
    <w:rsid w:val="00B53E06"/>
    <w:rsid w:val="00B556A9"/>
    <w:rsid w:val="00B57081"/>
    <w:rsid w:val="00B63BDB"/>
    <w:rsid w:val="00B664AD"/>
    <w:rsid w:val="00B70D19"/>
    <w:rsid w:val="00B73755"/>
    <w:rsid w:val="00B759F9"/>
    <w:rsid w:val="00B770B5"/>
    <w:rsid w:val="00B81E23"/>
    <w:rsid w:val="00B90605"/>
    <w:rsid w:val="00B9122C"/>
    <w:rsid w:val="00B93627"/>
    <w:rsid w:val="00B9575E"/>
    <w:rsid w:val="00BA2287"/>
    <w:rsid w:val="00BA2D2C"/>
    <w:rsid w:val="00BA4755"/>
    <w:rsid w:val="00BA5C16"/>
    <w:rsid w:val="00BB313B"/>
    <w:rsid w:val="00BB557F"/>
    <w:rsid w:val="00BC62B4"/>
    <w:rsid w:val="00BC6EC6"/>
    <w:rsid w:val="00BC7D2E"/>
    <w:rsid w:val="00BD017D"/>
    <w:rsid w:val="00BD618B"/>
    <w:rsid w:val="00BE01C1"/>
    <w:rsid w:val="00BE400A"/>
    <w:rsid w:val="00BE508B"/>
    <w:rsid w:val="00BE5799"/>
    <w:rsid w:val="00BE64D3"/>
    <w:rsid w:val="00BF1581"/>
    <w:rsid w:val="00BF1F73"/>
    <w:rsid w:val="00BF44EE"/>
    <w:rsid w:val="00C03BEA"/>
    <w:rsid w:val="00C05395"/>
    <w:rsid w:val="00C068B9"/>
    <w:rsid w:val="00C0743E"/>
    <w:rsid w:val="00C10716"/>
    <w:rsid w:val="00C11013"/>
    <w:rsid w:val="00C1295E"/>
    <w:rsid w:val="00C166DE"/>
    <w:rsid w:val="00C16A5C"/>
    <w:rsid w:val="00C20832"/>
    <w:rsid w:val="00C22616"/>
    <w:rsid w:val="00C24057"/>
    <w:rsid w:val="00C2483F"/>
    <w:rsid w:val="00C255FB"/>
    <w:rsid w:val="00C2774D"/>
    <w:rsid w:val="00C3063B"/>
    <w:rsid w:val="00C3171F"/>
    <w:rsid w:val="00C327F9"/>
    <w:rsid w:val="00C331E6"/>
    <w:rsid w:val="00C4013E"/>
    <w:rsid w:val="00C40D74"/>
    <w:rsid w:val="00C56B75"/>
    <w:rsid w:val="00C6196A"/>
    <w:rsid w:val="00C63CB0"/>
    <w:rsid w:val="00C6437B"/>
    <w:rsid w:val="00C653B3"/>
    <w:rsid w:val="00C6571F"/>
    <w:rsid w:val="00C65C24"/>
    <w:rsid w:val="00C6601E"/>
    <w:rsid w:val="00C6662C"/>
    <w:rsid w:val="00C70147"/>
    <w:rsid w:val="00C710A2"/>
    <w:rsid w:val="00C72B74"/>
    <w:rsid w:val="00C74BA4"/>
    <w:rsid w:val="00C75974"/>
    <w:rsid w:val="00C80911"/>
    <w:rsid w:val="00C8377D"/>
    <w:rsid w:val="00C84081"/>
    <w:rsid w:val="00C84649"/>
    <w:rsid w:val="00C852CA"/>
    <w:rsid w:val="00C85EFA"/>
    <w:rsid w:val="00C86A9B"/>
    <w:rsid w:val="00C90F86"/>
    <w:rsid w:val="00C9293D"/>
    <w:rsid w:val="00C95DB6"/>
    <w:rsid w:val="00C96BED"/>
    <w:rsid w:val="00CA4BF2"/>
    <w:rsid w:val="00CA60CA"/>
    <w:rsid w:val="00CA6215"/>
    <w:rsid w:val="00CA6716"/>
    <w:rsid w:val="00CB1BA5"/>
    <w:rsid w:val="00CB2791"/>
    <w:rsid w:val="00CB3174"/>
    <w:rsid w:val="00CB6178"/>
    <w:rsid w:val="00CC0E3C"/>
    <w:rsid w:val="00CC4E51"/>
    <w:rsid w:val="00CC7F72"/>
    <w:rsid w:val="00CD10A5"/>
    <w:rsid w:val="00CD19C3"/>
    <w:rsid w:val="00CD43F1"/>
    <w:rsid w:val="00CD6947"/>
    <w:rsid w:val="00CD7317"/>
    <w:rsid w:val="00CD7AC3"/>
    <w:rsid w:val="00CE285A"/>
    <w:rsid w:val="00CE2948"/>
    <w:rsid w:val="00CE63A4"/>
    <w:rsid w:val="00CE66F3"/>
    <w:rsid w:val="00CE75F0"/>
    <w:rsid w:val="00CF146F"/>
    <w:rsid w:val="00D00639"/>
    <w:rsid w:val="00D03344"/>
    <w:rsid w:val="00D1141C"/>
    <w:rsid w:val="00D1147C"/>
    <w:rsid w:val="00D11C28"/>
    <w:rsid w:val="00D11F3F"/>
    <w:rsid w:val="00D12784"/>
    <w:rsid w:val="00D20D30"/>
    <w:rsid w:val="00D21E52"/>
    <w:rsid w:val="00D22E6E"/>
    <w:rsid w:val="00D30F21"/>
    <w:rsid w:val="00D33E79"/>
    <w:rsid w:val="00D36C83"/>
    <w:rsid w:val="00D41809"/>
    <w:rsid w:val="00D41A48"/>
    <w:rsid w:val="00D42C31"/>
    <w:rsid w:val="00D519A9"/>
    <w:rsid w:val="00D5535E"/>
    <w:rsid w:val="00D56932"/>
    <w:rsid w:val="00D628CC"/>
    <w:rsid w:val="00D65AA1"/>
    <w:rsid w:val="00D70D7D"/>
    <w:rsid w:val="00D7424D"/>
    <w:rsid w:val="00D75101"/>
    <w:rsid w:val="00D77A9E"/>
    <w:rsid w:val="00D8057E"/>
    <w:rsid w:val="00D8059F"/>
    <w:rsid w:val="00D811EB"/>
    <w:rsid w:val="00D8326D"/>
    <w:rsid w:val="00D8421D"/>
    <w:rsid w:val="00D94974"/>
    <w:rsid w:val="00D97BA1"/>
    <w:rsid w:val="00DA01B1"/>
    <w:rsid w:val="00DA0E26"/>
    <w:rsid w:val="00DA124C"/>
    <w:rsid w:val="00DA1623"/>
    <w:rsid w:val="00DB1DFB"/>
    <w:rsid w:val="00DB54A6"/>
    <w:rsid w:val="00DB5C15"/>
    <w:rsid w:val="00DB76C7"/>
    <w:rsid w:val="00DC73C8"/>
    <w:rsid w:val="00DC7993"/>
    <w:rsid w:val="00DD093F"/>
    <w:rsid w:val="00DD35F7"/>
    <w:rsid w:val="00DD3E26"/>
    <w:rsid w:val="00DD5426"/>
    <w:rsid w:val="00DE3346"/>
    <w:rsid w:val="00DE78BE"/>
    <w:rsid w:val="00DF3D26"/>
    <w:rsid w:val="00DF7E89"/>
    <w:rsid w:val="00E032D6"/>
    <w:rsid w:val="00E039CD"/>
    <w:rsid w:val="00E04589"/>
    <w:rsid w:val="00E06B02"/>
    <w:rsid w:val="00E115F0"/>
    <w:rsid w:val="00E16E37"/>
    <w:rsid w:val="00E16F01"/>
    <w:rsid w:val="00E2051C"/>
    <w:rsid w:val="00E211FC"/>
    <w:rsid w:val="00E242FD"/>
    <w:rsid w:val="00E348E2"/>
    <w:rsid w:val="00E34D3D"/>
    <w:rsid w:val="00E405A6"/>
    <w:rsid w:val="00E42A0F"/>
    <w:rsid w:val="00E53D5F"/>
    <w:rsid w:val="00E55145"/>
    <w:rsid w:val="00E6065D"/>
    <w:rsid w:val="00E6115C"/>
    <w:rsid w:val="00E6202A"/>
    <w:rsid w:val="00E620A7"/>
    <w:rsid w:val="00E62421"/>
    <w:rsid w:val="00E65218"/>
    <w:rsid w:val="00E66F4E"/>
    <w:rsid w:val="00E71D67"/>
    <w:rsid w:val="00E72C36"/>
    <w:rsid w:val="00E74987"/>
    <w:rsid w:val="00E749BD"/>
    <w:rsid w:val="00E778C8"/>
    <w:rsid w:val="00E82E4B"/>
    <w:rsid w:val="00E835D3"/>
    <w:rsid w:val="00E855D0"/>
    <w:rsid w:val="00E86153"/>
    <w:rsid w:val="00E8626A"/>
    <w:rsid w:val="00E86A32"/>
    <w:rsid w:val="00E87FEB"/>
    <w:rsid w:val="00E91A4A"/>
    <w:rsid w:val="00E92496"/>
    <w:rsid w:val="00EA20B8"/>
    <w:rsid w:val="00EA2FB8"/>
    <w:rsid w:val="00EA4AED"/>
    <w:rsid w:val="00EB20D6"/>
    <w:rsid w:val="00EC03A0"/>
    <w:rsid w:val="00EC0FF4"/>
    <w:rsid w:val="00EC5636"/>
    <w:rsid w:val="00ED1795"/>
    <w:rsid w:val="00ED2252"/>
    <w:rsid w:val="00ED26FE"/>
    <w:rsid w:val="00ED3DE7"/>
    <w:rsid w:val="00EE0B9D"/>
    <w:rsid w:val="00EE0BB4"/>
    <w:rsid w:val="00EE1028"/>
    <w:rsid w:val="00EE1407"/>
    <w:rsid w:val="00EE406D"/>
    <w:rsid w:val="00EE6DDF"/>
    <w:rsid w:val="00EF155D"/>
    <w:rsid w:val="00EF3B4D"/>
    <w:rsid w:val="00EF43E4"/>
    <w:rsid w:val="00F0138E"/>
    <w:rsid w:val="00F038D0"/>
    <w:rsid w:val="00F0425E"/>
    <w:rsid w:val="00F0461D"/>
    <w:rsid w:val="00F066BD"/>
    <w:rsid w:val="00F06DA5"/>
    <w:rsid w:val="00F07236"/>
    <w:rsid w:val="00F10309"/>
    <w:rsid w:val="00F11180"/>
    <w:rsid w:val="00F2008F"/>
    <w:rsid w:val="00F2181E"/>
    <w:rsid w:val="00F26C72"/>
    <w:rsid w:val="00F27AD1"/>
    <w:rsid w:val="00F30746"/>
    <w:rsid w:val="00F31CC3"/>
    <w:rsid w:val="00F32B5E"/>
    <w:rsid w:val="00F353C3"/>
    <w:rsid w:val="00F40214"/>
    <w:rsid w:val="00F41154"/>
    <w:rsid w:val="00F448D9"/>
    <w:rsid w:val="00F50656"/>
    <w:rsid w:val="00F52233"/>
    <w:rsid w:val="00F61865"/>
    <w:rsid w:val="00F6203A"/>
    <w:rsid w:val="00F63F4A"/>
    <w:rsid w:val="00F66C66"/>
    <w:rsid w:val="00F728AC"/>
    <w:rsid w:val="00F76329"/>
    <w:rsid w:val="00F85653"/>
    <w:rsid w:val="00F87DC7"/>
    <w:rsid w:val="00F913B2"/>
    <w:rsid w:val="00F9463B"/>
    <w:rsid w:val="00FA130B"/>
    <w:rsid w:val="00FA3A10"/>
    <w:rsid w:val="00FA4703"/>
    <w:rsid w:val="00FA58CB"/>
    <w:rsid w:val="00FA639D"/>
    <w:rsid w:val="00FA7999"/>
    <w:rsid w:val="00FA7C73"/>
    <w:rsid w:val="00FB25A5"/>
    <w:rsid w:val="00FB3093"/>
    <w:rsid w:val="00FB6F7D"/>
    <w:rsid w:val="00FB7B99"/>
    <w:rsid w:val="00FC0815"/>
    <w:rsid w:val="00FC66EF"/>
    <w:rsid w:val="00FD3107"/>
    <w:rsid w:val="00FD4782"/>
    <w:rsid w:val="00FE02A2"/>
    <w:rsid w:val="00FE0A97"/>
    <w:rsid w:val="00FE4FEB"/>
    <w:rsid w:val="00FE5CF4"/>
    <w:rsid w:val="00FF15C9"/>
    <w:rsid w:val="00FF3FC3"/>
    <w:rsid w:val="00FF5CEB"/>
    <w:rsid w:val="01D647DD"/>
    <w:rsid w:val="02767C08"/>
    <w:rsid w:val="05FC5167"/>
    <w:rsid w:val="07043B9E"/>
    <w:rsid w:val="07906641"/>
    <w:rsid w:val="07FC2D73"/>
    <w:rsid w:val="0B9913E5"/>
    <w:rsid w:val="0CA362B3"/>
    <w:rsid w:val="0DC7118B"/>
    <w:rsid w:val="0E004194"/>
    <w:rsid w:val="0E0D3371"/>
    <w:rsid w:val="0FD94B5E"/>
    <w:rsid w:val="11066BB9"/>
    <w:rsid w:val="12496BA1"/>
    <w:rsid w:val="1473018B"/>
    <w:rsid w:val="158456A9"/>
    <w:rsid w:val="167C5B97"/>
    <w:rsid w:val="18B10327"/>
    <w:rsid w:val="1A932A3C"/>
    <w:rsid w:val="1AF574C8"/>
    <w:rsid w:val="1FF2320F"/>
    <w:rsid w:val="2150055C"/>
    <w:rsid w:val="2B1B3B79"/>
    <w:rsid w:val="2D41587A"/>
    <w:rsid w:val="2E8316F8"/>
    <w:rsid w:val="2FDE0017"/>
    <w:rsid w:val="2FED3712"/>
    <w:rsid w:val="3012746A"/>
    <w:rsid w:val="30B7061B"/>
    <w:rsid w:val="32832783"/>
    <w:rsid w:val="38D9233F"/>
    <w:rsid w:val="3A9D16DB"/>
    <w:rsid w:val="3AF14843"/>
    <w:rsid w:val="3DA2393A"/>
    <w:rsid w:val="44867BE1"/>
    <w:rsid w:val="4748194E"/>
    <w:rsid w:val="48155ECC"/>
    <w:rsid w:val="513D01C6"/>
    <w:rsid w:val="52934812"/>
    <w:rsid w:val="530506C9"/>
    <w:rsid w:val="53985F54"/>
    <w:rsid w:val="53991CCF"/>
    <w:rsid w:val="56B46C05"/>
    <w:rsid w:val="56C347BB"/>
    <w:rsid w:val="58D1588F"/>
    <w:rsid w:val="5EC90E0B"/>
    <w:rsid w:val="61411AE7"/>
    <w:rsid w:val="619B2572"/>
    <w:rsid w:val="64A1326A"/>
    <w:rsid w:val="656B0F3E"/>
    <w:rsid w:val="67AF001E"/>
    <w:rsid w:val="67B35E9C"/>
    <w:rsid w:val="68AE177D"/>
    <w:rsid w:val="6A685843"/>
    <w:rsid w:val="6CB53A11"/>
    <w:rsid w:val="6FE056B1"/>
    <w:rsid w:val="702B5FEA"/>
    <w:rsid w:val="767F436C"/>
    <w:rsid w:val="76CA72CE"/>
    <w:rsid w:val="76F63DC3"/>
    <w:rsid w:val="7A677535"/>
    <w:rsid w:val="7AB05AD5"/>
    <w:rsid w:val="7FB03B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snapToGrid w:val="0"/>
      <w:spacing w:line="360" w:lineRule="auto"/>
      <w:ind w:firstLine="600" w:firstLineChars="200"/>
      <w:jc w:val="both"/>
    </w:pPr>
    <w:rPr>
      <w:rFonts w:ascii="Times New Roman" w:hAnsi="Times New Roman" w:eastAsia="仿宋" w:cs="Times New Roman"/>
      <w:kern w:val="2"/>
      <w:sz w:val="28"/>
      <w:szCs w:val="24"/>
      <w:lang w:val="en-US" w:eastAsia="zh-CN" w:bidi="ar-SA"/>
    </w:rPr>
  </w:style>
  <w:style w:type="paragraph" w:styleId="2">
    <w:name w:val="heading 1"/>
    <w:basedOn w:val="1"/>
    <w:next w:val="1"/>
    <w:qFormat/>
    <w:uiPriority w:val="0"/>
    <w:pPr>
      <w:keepNext/>
      <w:keepLines/>
      <w:spacing w:beforeLines="50"/>
      <w:outlineLvl w:val="0"/>
    </w:pPr>
    <w:rPr>
      <w:b/>
      <w:kern w:val="44"/>
    </w:rPr>
  </w:style>
  <w:style w:type="paragraph" w:styleId="3">
    <w:name w:val="heading 2"/>
    <w:basedOn w:val="1"/>
    <w:next w:val="1"/>
    <w:qFormat/>
    <w:uiPriority w:val="0"/>
    <w:pPr>
      <w:keepNext/>
      <w:keepLines/>
      <w:spacing w:beforeLines="50"/>
      <w:outlineLvl w:val="1"/>
    </w:pPr>
    <w:rPr>
      <w:rFonts w:ascii="Arial" w:hAnsi="Arial"/>
      <w:b/>
    </w:rPr>
  </w:style>
  <w:style w:type="paragraph" w:styleId="4">
    <w:name w:val="heading 3"/>
    <w:basedOn w:val="1"/>
    <w:next w:val="1"/>
    <w:qFormat/>
    <w:uiPriority w:val="0"/>
    <w:pPr>
      <w:keepNext/>
      <w:keepLines/>
      <w:spacing w:beforeLines="50"/>
      <w:outlineLvl w:val="2"/>
    </w:pPr>
  </w:style>
  <w:style w:type="character" w:default="1" w:styleId="14">
    <w:name w:val="Default Paragraph Font"/>
    <w:autoRedefine/>
    <w:semiHidden/>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5">
    <w:name w:val="Document Map"/>
    <w:basedOn w:val="1"/>
    <w:link w:val="18"/>
    <w:qFormat/>
    <w:uiPriority w:val="0"/>
    <w:rPr>
      <w:rFonts w:ascii="宋体" w:eastAsia="宋体"/>
      <w:sz w:val="18"/>
      <w:szCs w:val="18"/>
    </w:rPr>
  </w:style>
  <w:style w:type="paragraph" w:styleId="6">
    <w:name w:val="annotation text"/>
    <w:basedOn w:val="1"/>
    <w:qFormat/>
    <w:uiPriority w:val="0"/>
    <w:pPr>
      <w:jc w:val="left"/>
    </w:pPr>
  </w:style>
  <w:style w:type="paragraph" w:styleId="7">
    <w:name w:val="footer"/>
    <w:basedOn w:val="1"/>
    <w:qFormat/>
    <w:uiPriority w:val="0"/>
    <w:pPr>
      <w:tabs>
        <w:tab w:val="center" w:pos="4153"/>
        <w:tab w:val="right" w:pos="8306"/>
      </w:tabs>
      <w:jc w:val="left"/>
    </w:pPr>
    <w:rPr>
      <w:sz w:val="18"/>
      <w:szCs w:val="18"/>
    </w:rPr>
  </w:style>
  <w:style w:type="paragraph" w:styleId="8">
    <w:name w:val="header"/>
    <w:basedOn w:val="1"/>
    <w:link w:val="17"/>
    <w:qFormat/>
    <w:uiPriority w:val="0"/>
    <w:pPr>
      <w:pBdr>
        <w:bottom w:val="single" w:color="auto" w:sz="6" w:space="1"/>
      </w:pBdr>
      <w:tabs>
        <w:tab w:val="center" w:pos="4153"/>
        <w:tab w:val="right" w:pos="8306"/>
      </w:tabs>
      <w:jc w:val="center"/>
    </w:pPr>
    <w:rPr>
      <w:sz w:val="18"/>
      <w:szCs w:val="18"/>
    </w:rPr>
  </w:style>
  <w:style w:type="paragraph" w:styleId="9">
    <w:name w:val="toc 1"/>
    <w:basedOn w:val="1"/>
    <w:next w:val="1"/>
    <w:qFormat/>
    <w:uiPriority w:val="39"/>
  </w:style>
  <w:style w:type="paragraph" w:styleId="10">
    <w:name w:val="toc 2"/>
    <w:basedOn w:val="1"/>
    <w:next w:val="1"/>
    <w:qFormat/>
    <w:uiPriority w:val="39"/>
    <w:pPr>
      <w:ind w:left="420" w:leftChars="200"/>
    </w:pPr>
  </w:style>
  <w:style w:type="paragraph" w:styleId="11">
    <w:name w:val="Normal (Web)"/>
    <w:basedOn w:val="1"/>
    <w:qFormat/>
    <w:uiPriority w:val="0"/>
    <w:pPr>
      <w:widowControl/>
      <w:ind w:firstLine="480"/>
      <w:jc w:val="left"/>
    </w:pPr>
    <w:rPr>
      <w:rFonts w:ascii="??" w:hAnsi="??" w:eastAsia="宋体" w:cs="宋体"/>
      <w:kern w:val="0"/>
      <w:sz w:val="24"/>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0"/>
  </w:style>
  <w:style w:type="character" w:styleId="16">
    <w:name w:val="Hyperlink"/>
    <w:basedOn w:val="14"/>
    <w:autoRedefine/>
    <w:unhideWhenUsed/>
    <w:qFormat/>
    <w:uiPriority w:val="99"/>
    <w:rPr>
      <w:color w:val="0000FF" w:themeColor="hyperlink"/>
      <w:u w:val="single"/>
      <w14:textFill>
        <w14:solidFill>
          <w14:schemeClr w14:val="hlink"/>
        </w14:solidFill>
      </w14:textFill>
    </w:rPr>
  </w:style>
  <w:style w:type="character" w:customStyle="1" w:styleId="17">
    <w:name w:val="页眉 字符"/>
    <w:link w:val="8"/>
    <w:qFormat/>
    <w:uiPriority w:val="0"/>
    <w:rPr>
      <w:kern w:val="2"/>
      <w:sz w:val="18"/>
      <w:szCs w:val="18"/>
    </w:rPr>
  </w:style>
  <w:style w:type="character" w:customStyle="1" w:styleId="18">
    <w:name w:val="文档结构图 字符"/>
    <w:basedOn w:val="14"/>
    <w:link w:val="5"/>
    <w:qFormat/>
    <w:uiPriority w:val="0"/>
    <w:rPr>
      <w:rFonts w:ascii="宋体"/>
      <w:kern w:val="2"/>
      <w:sz w:val="18"/>
      <w:szCs w:val="18"/>
    </w:rPr>
  </w:style>
  <w:style w:type="paragraph" w:customStyle="1" w:styleId="19">
    <w:name w:val="列出段落1"/>
    <w:basedOn w:val="1"/>
    <w:unhideWhenUsed/>
    <w:qFormat/>
    <w:uiPriority w:val="99"/>
    <w:pPr>
      <w:ind w:firstLine="420"/>
    </w:pPr>
  </w:style>
  <w:style w:type="paragraph" w:styleId="20">
    <w:name w:val="List Paragraph"/>
    <w:basedOn w:val="1"/>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numbering" Target="numbering.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90D987E-4793-4453-AD24-2AF87B8437B4}">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22</Pages>
  <Words>1933</Words>
  <Characters>11022</Characters>
  <Lines>91</Lines>
  <Paragraphs>25</Paragraphs>
  <TotalTime>1542</TotalTime>
  <ScaleCrop>false</ScaleCrop>
  <LinksUpToDate>false</LinksUpToDate>
  <CharactersWithSpaces>12930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2017-06-20T00:16:00Z</dcterms:created>
  <dc:creator>Administrator</dc:creator>
  <cp:lastModifiedBy>岁月微凉人安好</cp:lastModifiedBy>
  <cp:lastPrinted>2017-07-15T03:24:00Z</cp:lastPrinted>
  <dcterms:modified xsi:type="dcterms:W3CDTF">2024-05-13T08:27:41Z</dcterms:modified>
  <dc:title>附件3：</dc:title>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D7BAAEF307B443CFBDB3FDF2676EE542_12</vt:lpwstr>
  </property>
</Properties>
</file>