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2017年度安全生产与维稳经费</w:t>
      </w: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left="0" w:leftChars="0" w:firstLine="448" w:firstLineChars="200"/>
        <w:jc w:val="both"/>
        <w:textAlignment w:val="auto"/>
        <w:outlineLvl w:val="9"/>
        <w:rPr>
          <w:rFonts w:hint="eastAsia" w:ascii="宋体" w:hAnsi="宋体" w:cs="宋体"/>
          <w:color w:val="auto"/>
          <w:sz w:val="30"/>
          <w:szCs w:val="30"/>
          <w:highlight w:val="none"/>
          <w:u w:val="single"/>
          <w:lang w:eastAsia="zh-CN"/>
        </w:rPr>
      </w:pPr>
      <w:r>
        <w:rPr>
          <w:rFonts w:hint="eastAsia" w:ascii="宋体" w:hAnsi="宋体" w:eastAsia="宋体" w:cs="宋体"/>
          <w:spacing w:val="-23"/>
          <w:w w:val="90"/>
          <w:kern w:val="0"/>
          <w:sz w:val="30"/>
          <w:szCs w:val="30"/>
          <w:lang w:val="en-US" w:eastAsia="zh-CN"/>
        </w:rPr>
        <w:t>区</w:t>
      </w:r>
      <w:r>
        <w:rPr>
          <w:rFonts w:hint="eastAsia" w:ascii="宋体" w:hAnsi="宋体" w:eastAsia="宋体" w:cs="宋体"/>
          <w:spacing w:val="-23"/>
          <w:w w:val="90"/>
          <w:kern w:val="0"/>
          <w:sz w:val="30"/>
          <w:szCs w:val="30"/>
          <w:lang w:eastAsia="zh-CN"/>
        </w:rPr>
        <w:t>财政局主管业务科室</w:t>
      </w:r>
      <w:r>
        <w:rPr>
          <w:rFonts w:hint="eastAsia" w:ascii="宋体" w:hAnsi="宋体" w:eastAsia="宋体" w:cs="宋体"/>
          <w:spacing w:val="-23"/>
          <w:kern w:val="0"/>
          <w:sz w:val="30"/>
          <w:szCs w:val="30"/>
          <w:lang w:eastAsia="zh-CN"/>
        </w:rPr>
        <w:t>：</w:t>
      </w:r>
      <w:r>
        <w:rPr>
          <w:rFonts w:hint="eastAsia" w:ascii="宋体" w:hAnsi="宋体" w:cs="宋体"/>
          <w:color w:val="auto"/>
          <w:spacing w:val="-23"/>
          <w:sz w:val="30"/>
          <w:szCs w:val="30"/>
          <w:highlight w:val="none"/>
          <w:u w:val="single"/>
          <w:lang w:eastAsia="zh-CN"/>
        </w:rPr>
        <w:t>武汉东湖新技术开发区管委会财政局行财科</w:t>
      </w: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rPr>
      </w:pPr>
      <w:r>
        <w:rPr>
          <w:rFonts w:hint="eastAsia" w:ascii="宋体" w:hAnsi="宋体" w:cs="宋体"/>
          <w:sz w:val="30"/>
          <w:szCs w:val="30"/>
          <w:lang w:eastAsia="zh-CN"/>
        </w:rPr>
        <w:t>评价机构：</w:t>
      </w:r>
      <w:r>
        <w:rPr>
          <w:rFonts w:hint="eastAsia" w:ascii="宋体" w:hAnsi="宋体" w:cs="宋体"/>
          <w:sz w:val="30"/>
          <w:szCs w:val="30"/>
          <w:u w:val="single"/>
          <w:lang w:eastAsia="zh-CN"/>
        </w:rPr>
        <w:t>湖北永兴会计师事务有限责任公司</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2017年度安全生产与维稳经费项目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val="0"/>
        <w:snapToGrid w:val="0"/>
        <w:spacing w:after="0" w:line="600" w:lineRule="exact"/>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武新综治办（2016）16号、武新综治办（2016）2号、武新综治办（2016）8号等相关政策性文件及上级部门指导性意见，龙泉街综治办依据上级部门责任状和考评细则，认真落实主体责任，提升社会治理能力与水平。</w:t>
      </w:r>
    </w:p>
    <w:p>
      <w:pPr>
        <w:keepNext w:val="0"/>
        <w:keepLines w:val="0"/>
        <w:pageBreakBefore w:val="0"/>
        <w:widowControl/>
        <w:kinsoku/>
        <w:wordWrap/>
        <w:overflowPunct/>
        <w:topLinePunct w:val="0"/>
        <w:autoSpaceDE/>
        <w:autoSpaceDN/>
        <w:bidi w:val="0"/>
        <w:adjustRightInd w:val="0"/>
        <w:snapToGrid w:val="0"/>
        <w:spacing w:after="0" w:line="600" w:lineRule="exact"/>
        <w:ind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预防青少年违法犯罪、确保全年无较大的安全生产事故发生、做好禁毒及各种专项治理、开展农产品质量安全示范区创建活动、完成治理“餐桌污染”和建设“食品放心工程”等工作，龙泉街道办事处2017年安全与维稳经费预算支出80万元，其中：综合治理经费48万元、信访维稳经费12万元、安全生产经费15万元、食品、药品、烟花安全管理5万元。</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项目完成概况</w:t>
      </w:r>
    </w:p>
    <w:p>
      <w:pPr>
        <w:keepNext w:val="0"/>
        <w:keepLines w:val="0"/>
        <w:pageBreakBefore w:val="0"/>
        <w:widowControl/>
        <w:kinsoku/>
        <w:wordWrap/>
        <w:overflowPunct/>
        <w:topLinePunct w:val="0"/>
        <w:autoSpaceDE/>
        <w:autoSpaceDN/>
        <w:bidi w:val="0"/>
        <w:adjustRightInd w:val="0"/>
        <w:snapToGrid w:val="0"/>
        <w:spacing w:line="6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综治办安全生产与维稳经费支出80万元，其中：支出综合治理经费48万元，用于流动人口管理和预防青少年违法犯罪，平时教育、重点管理、专题讲座和法制宣传等；支出信访维稳经费12万元，用于村级便民服务中心和上访应对处理；支出安全生产经费15万元，用于安全生产专业人员培训、安全生产突发事件调查与处置费、宣传和资料归档；支出食品、药、烟花安全管理经费5万元，用于食品药品安全工作培训、食品药品安全巡查及处置、食品药品安全宣传和资料归档。</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青少年法治宣传工作完成率，目标值100%，计划开展青少年法治宣传活动2次。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禁毒宣传工作完成率，目标值100%，计划开展禁毒宣传活动3次。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专项治理工作完成率，目标值100%，计划开展专项治理12次。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接待、调解群众上访工作完成率，目标值100%，计划接待、调解群众上访450人次。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安全生产专业人员培训完成率，目标值100%，计划培训安全生产专业人员400人次。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印发安全生产宣传资料工作完成率，目标值100%，计划印发安全生产宣传资料60套。</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印发食品药品安全宣传资料工作完成率，目标值100%，计划印发食品药品安全宣传资料520份。</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（2）质量指标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资金使用合规率，目标值100%，项目资金严格按照项目预算范围和标准使用。</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较大安全生产事故发生率，目标值0，即2017年全年不发生较大安全生产事故。</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重点工作完成及时率，目标值100%，安全生产及维稳工作按照工作要求按时完成。</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（1）经济效益指标：加强流动人口管理、预防青少年违法犯罪、开展禁毒及各种专项治理、做好“食品放心工程”，保证安全药品市场，维护群众生活稳定，降低社会及企业经济损失。</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（2）社会效益指标：加强社会综合治理水平、保证生产安全平安建设（综治），全年不发生重大安全事故，维护社会和谐安全稳定。</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（3）生态效益指标：项目无直接生态效益，因此未设置生态效益指标。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（4）可持续影响指标：人员配备、内部管理制度、项目管理制度以及项目经费可持续性满足项目可持续性要求。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（5）服务对象满意度指标：做好社会综合治理工作，维护社会群众生活和谐稳定，服务对象满意度达95%。</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加强综合治理与维稳工作的执行，龙泉街综治办认真学习了武新综治办（2016）16号、武新综治办（2016）2号、武新综治办（2016）8号等相关政策性文件，并参考了安全生产培训依据、上级部门责任状和考评细则、安全生产事故调查和处置依据、上级部门责任状和考评细则，落实了具体工作人员，进行了详细分工，制定了经费申报审批及使用的相关规范。</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做好安全成生产与维稳经费的使用与管理，龙泉街综治办除遵守国家及省市及上级主管部门的相关规定外，还制定了各项财经管理制度，对项目资金实行单独核算，实行专款专用，资金拨付审批程序完整，坚决杜绝挤占、挪用等现象发生，确保项目经费落实到位。</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项目支出预算安排情况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预防青少年违法犯罪、确保全年无较大的安全生产事故发生、做好禁毒及各种专项治理、开展农产品质量安全示范区创建活动、完成治理“餐桌污染”和建设“食品放心工程”等工作，龙泉街道办事处2017年安全与维稳经费预算支出80万元，其中：综合治理经费48万元、信访维稳经费12万元、安全生产经费15万元、食品、药品、烟花安全管理5万元。</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实际资金到位情况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龙泉街道办事处2017年安全与维稳经费预算资金80万元，全部及时到位。</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实际支出情况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综治办安全生产与维稳经费支出80万元，其中：支出综合治理经费48万元，用于流动人口管理和预防青少年违法犯罪，平时教育、重点管理、专题讲座和法制宣传等；支出信访维稳经费12万元，用于村级便民服务中心和上访应对处理；支出安全生产经费15万元，用于安全生产专业人员培训、安全生产突发事件调查与处置费、宣传和资料归档；支出食品、药、烟花安全管理经费5万元，用于食品药品安全工作培训、食品药品安全巡查及处置、食品药品安全宣传和资料归档。</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青少年法治宣传工作完成率，项目实施后，实际开展青少年法治宣传活动2次，青少年法治宣传工作完成率100%。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禁毒宣传工作完成率，项目实施后，实际开展禁毒宣传活动3次，禁毒宣传工作完成率100%。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专项治理工作完成率，项目实施后，实际开展专项治理12次，专项治理工作完成率100%。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接待、调解群众上访工作完成率，实际接待、调解群众上访405人次，接待、调解群众上访工作完成率90.00%。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安全生产专业人员培训完成率，实际培训安全生产专业人员350人次，安全生产专业人员培训完成率87.50%。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印发安全生产宣传资料工作完成率，实际印发安全生产宣传资料60套，印发安全生产宣传资料工作完成率100%。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印发食品药品安全宣传资料工作完成率，实际印发食品药品安全宣传资料520份，印发食品药品安全宣传资料工作完成率100%。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资金使用合规率，项目资金严格按照项目预算范围和标准使用，未发生违规使用资金现象，资金使用合规率100%。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较大安全事故发生率，2017年未发生较大安全事故，较大安全事故发生率0。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重点工作完成及时率，接待、调解群众上访人数及培训安全生产专业人员数量两项工作未按时完成，7项重点工作按时完成5项，重点工作完成及时率71.43%。</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2017年龙泉街综治办共开展各项整治 20次，落实隐患整改30项，取缔烟花爆竹经营点2个，整改燃气安全隐患10处，全街安全生产连续多年“零事故”；</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全年接待群众来访66批次405人次，其中群访20批次涉359人，调解纠纷7件51人，矛盾调处率100%，调解成功率100%，无一例赴京、省、市非正常上访，全街社会稳定局面得到进一步巩固。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本单位机构健全，人员配备齐全，内部管理制度、项目管理制度健全并能得到有效执行，项目经费能得到持续性保障，项目可持续性较强。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2017年社会综合治理工作完成较好，社会群众生活和谐稳定，服务对象满意度达95%。</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安全生产与维稳经费项目已顺利完成，项目立项依据充分，项目绩效目标设置合理；项目财政资金按时到位；项目的组织实施有序，程序到位，但没有建立专门的项目业务管理制度；项目资金单独核算，资金的拨付审批程序和手续完整；项目的产出达到预期目标，项目效果良好；内部管理制度及经费可持续性基本满足项目可持续要求；项目受益对象满意度较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经综合分析，本项目评分得分为80分，评分结果级别为：良好。</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狠抓责任落实，安全稳定成果得到巩固。街道党工委、办事处牢固树立安全稳定高于一切、压倒一切的思想，把维护安全稳定作为当前最大的政治、最大的发展、最大的民生、最大的本事，从不掉以轻心、心存侥幸、松劲懈怠，今年召开了6次专题会议和升华码头、龙泉山风景区、何桥液化气罐等3次现场办公会，安排部署全街安全稳定工作；严格按照“分级负责、归口办理”和“谁主管、谁负责”的要求，坚持一级抓一级，一级对一级负责的原则，把安全稳定工作的各种责任落到实处，确保了全街未发生一起重大安全事故，未发生去市、赴省、进京非访和群体性事件，严格把握财务审核、专款专用的制度，确保每笔经费用到实处，确保了龙泉社会环境安全稳定。</w:t>
      </w:r>
    </w:p>
    <w:p>
      <w:pPr>
        <w:keepNext w:val="0"/>
        <w:keepLines w:val="0"/>
        <w:pageBreakBefore w:val="0"/>
        <w:widowControl/>
        <w:numPr>
          <w:ilvl w:val="0"/>
          <w:numId w:val="3"/>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存在问题</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安全生产培训参训人员覆盖率上还有不足，未达到当年目标，应提高安全生产培训规模和频率；在信访维稳接待上应加大工作力度，重要时期应加大人员投入，提高对上访群众做思想工作的效率；部门业务资料收集、归档方面较为混乱，还需提高。</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不断完善项目执行制度，加强考核管理，建立完善的后续考核机制，对于安全生产与维稳工作建立完善的时效考核机制。</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大对于安全生产参训人员的掌控力度，对于不配合、不参训、应付参训的企业和个人应加大惩处力度，施行考试考核制度，对于无法完成学习培训的个人和企业进行反复再教育，屡次不配合的企业和个人给与通报和惩处；</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信访维稳方面加强对上访人员的重点盯防，对于长期上访人员及历时遗留因素造成的上访人员及群体，应及时跟上级部门沟通学习经验，具体事例具体分析，化整为零的处理上访问题，对于个别长期上访的个人或群体在特殊时期可以采取慰问工作分配到人以“人盯人”的方法进行思想工作，加强维稳工作时效考核。</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建立完善的档案管理制度。各项业务工作在实施时要及时整理相关业务资料，并按照规定时限归档。档案资料归档、借阅等要建立严格的审批、交接制度。</w:t>
      </w:r>
    </w:p>
    <w:sectPr>
      <w:pgSz w:w="12240" w:h="15840"/>
      <w:pgMar w:top="1440" w:right="1800" w:bottom="1440" w:left="1800" w:header="720" w:footer="720" w:gutter="0"/>
      <w:pgBorders>
        <w:top w:val="none" w:sz="0" w:space="0"/>
        <w:left w:val="none" w:sz="0" w:space="0"/>
        <w:bottom w:val="none" w:sz="0" w:space="0"/>
        <w:right w:val="none" w:sz="0" w:space="0"/>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A5D49B"/>
    <w:multiLevelType w:val="singleLevel"/>
    <w:tmpl w:val="8DA5D49B"/>
    <w:lvl w:ilvl="0" w:tentative="0">
      <w:start w:val="2"/>
      <w:numFmt w:val="decimal"/>
      <w:suff w:val="nothing"/>
      <w:lvlText w:val="%1、"/>
      <w:lvlJc w:val="left"/>
    </w:lvl>
  </w:abstractNum>
  <w:abstractNum w:abstractNumId="1">
    <w:nsid w:val="C50673E6"/>
    <w:multiLevelType w:val="singleLevel"/>
    <w:tmpl w:val="C50673E6"/>
    <w:lvl w:ilvl="0" w:tentative="0">
      <w:start w:val="2"/>
      <w:numFmt w:val="decimal"/>
      <w:suff w:val="nothing"/>
      <w:lvlText w:val="%1、"/>
      <w:lvlJc w:val="left"/>
    </w:lvl>
  </w:abstractNum>
  <w:abstractNum w:abstractNumId="2">
    <w:nsid w:val="3F561C8C"/>
    <w:multiLevelType w:val="singleLevel"/>
    <w:tmpl w:val="3F561C8C"/>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5AE11B6"/>
    <w:rsid w:val="06452247"/>
    <w:rsid w:val="0753460C"/>
    <w:rsid w:val="09114A5C"/>
    <w:rsid w:val="09354B57"/>
    <w:rsid w:val="09617587"/>
    <w:rsid w:val="09F1280A"/>
    <w:rsid w:val="0AD802D8"/>
    <w:rsid w:val="0C0A0F69"/>
    <w:rsid w:val="0C2C0278"/>
    <w:rsid w:val="0C6A00C8"/>
    <w:rsid w:val="0CD538D7"/>
    <w:rsid w:val="0E6D60AF"/>
    <w:rsid w:val="0ED51910"/>
    <w:rsid w:val="0FC73195"/>
    <w:rsid w:val="106C5A46"/>
    <w:rsid w:val="10D73BD1"/>
    <w:rsid w:val="11E22EC9"/>
    <w:rsid w:val="13242A19"/>
    <w:rsid w:val="14073813"/>
    <w:rsid w:val="170B7B72"/>
    <w:rsid w:val="172B78C6"/>
    <w:rsid w:val="18273655"/>
    <w:rsid w:val="184D49E3"/>
    <w:rsid w:val="1A7B6636"/>
    <w:rsid w:val="1B3D39F0"/>
    <w:rsid w:val="1DB12D0F"/>
    <w:rsid w:val="1DD74048"/>
    <w:rsid w:val="1E6A0B5F"/>
    <w:rsid w:val="1EF86EFA"/>
    <w:rsid w:val="23A9193C"/>
    <w:rsid w:val="23AE175E"/>
    <w:rsid w:val="24D96220"/>
    <w:rsid w:val="25BC2C6E"/>
    <w:rsid w:val="25CC2A95"/>
    <w:rsid w:val="27812ADC"/>
    <w:rsid w:val="28114ADA"/>
    <w:rsid w:val="283C29A7"/>
    <w:rsid w:val="28647AC6"/>
    <w:rsid w:val="28650CBF"/>
    <w:rsid w:val="2898687E"/>
    <w:rsid w:val="2A5F06D9"/>
    <w:rsid w:val="2BD94340"/>
    <w:rsid w:val="2DE80CE1"/>
    <w:rsid w:val="2DF336E3"/>
    <w:rsid w:val="2F270ECE"/>
    <w:rsid w:val="30BC229C"/>
    <w:rsid w:val="3141263A"/>
    <w:rsid w:val="32237BD0"/>
    <w:rsid w:val="331705EB"/>
    <w:rsid w:val="333C27FE"/>
    <w:rsid w:val="33D32196"/>
    <w:rsid w:val="35836827"/>
    <w:rsid w:val="38DE4202"/>
    <w:rsid w:val="39BB60F8"/>
    <w:rsid w:val="3B7822F1"/>
    <w:rsid w:val="3B9C7A6A"/>
    <w:rsid w:val="3BA73176"/>
    <w:rsid w:val="3D967054"/>
    <w:rsid w:val="3DB54B7B"/>
    <w:rsid w:val="3E1B640E"/>
    <w:rsid w:val="3EEC468D"/>
    <w:rsid w:val="3F410EDC"/>
    <w:rsid w:val="3FB044FF"/>
    <w:rsid w:val="3FD35D67"/>
    <w:rsid w:val="41DC0476"/>
    <w:rsid w:val="438344D3"/>
    <w:rsid w:val="43B222C1"/>
    <w:rsid w:val="4417077C"/>
    <w:rsid w:val="44787A6D"/>
    <w:rsid w:val="453D30DC"/>
    <w:rsid w:val="45E235BE"/>
    <w:rsid w:val="47A04994"/>
    <w:rsid w:val="47B16DFD"/>
    <w:rsid w:val="48422DDC"/>
    <w:rsid w:val="4A122860"/>
    <w:rsid w:val="4A3330B8"/>
    <w:rsid w:val="4B715F70"/>
    <w:rsid w:val="4B824F2D"/>
    <w:rsid w:val="4C311132"/>
    <w:rsid w:val="4C995DD2"/>
    <w:rsid w:val="5099161A"/>
    <w:rsid w:val="50F5745C"/>
    <w:rsid w:val="51AB312B"/>
    <w:rsid w:val="54F73A76"/>
    <w:rsid w:val="55EE18E8"/>
    <w:rsid w:val="56413F1A"/>
    <w:rsid w:val="564B31CA"/>
    <w:rsid w:val="573053B8"/>
    <w:rsid w:val="59FD4D60"/>
    <w:rsid w:val="5BC552D4"/>
    <w:rsid w:val="5C265F2F"/>
    <w:rsid w:val="5C97456F"/>
    <w:rsid w:val="5E116D37"/>
    <w:rsid w:val="5F952EA6"/>
    <w:rsid w:val="60C73AC6"/>
    <w:rsid w:val="611E760E"/>
    <w:rsid w:val="61CB28E9"/>
    <w:rsid w:val="62CF28FE"/>
    <w:rsid w:val="63F96477"/>
    <w:rsid w:val="658459DA"/>
    <w:rsid w:val="698377A8"/>
    <w:rsid w:val="6AB9136E"/>
    <w:rsid w:val="6C522576"/>
    <w:rsid w:val="6C626544"/>
    <w:rsid w:val="6DC36B0E"/>
    <w:rsid w:val="6DD02F81"/>
    <w:rsid w:val="70F93FB5"/>
    <w:rsid w:val="71E00251"/>
    <w:rsid w:val="729B2383"/>
    <w:rsid w:val="74346FD9"/>
    <w:rsid w:val="75625E53"/>
    <w:rsid w:val="75770057"/>
    <w:rsid w:val="76632772"/>
    <w:rsid w:val="77C16C82"/>
    <w:rsid w:val="7C3362A9"/>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12</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2018-08-30T02:12:38Z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