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2017年度计划生育事业</w:t>
      </w:r>
      <w:r>
        <w:rPr>
          <w:rFonts w:hint="eastAsia" w:ascii="宋体" w:hAnsi="宋体" w:eastAsia="宋体" w:cs="宋体"/>
          <w:sz w:val="30"/>
          <w:szCs w:val="30"/>
          <w:u w:val="single"/>
          <w:lang w:eastAsia="zh-CN"/>
        </w:rPr>
        <w:t>经费</w:t>
      </w: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left="0" w:leftChars="0" w:firstLine="448" w:firstLineChars="200"/>
        <w:jc w:val="left"/>
        <w:textAlignment w:val="auto"/>
        <w:outlineLvl w:val="9"/>
        <w:rPr>
          <w:rFonts w:hint="eastAsia" w:ascii="宋体" w:hAnsi="宋体" w:cs="宋体"/>
          <w:color w:val="auto"/>
          <w:sz w:val="30"/>
          <w:szCs w:val="30"/>
          <w:highlight w:val="none"/>
          <w:u w:val="single"/>
          <w:lang w:eastAsia="zh-CN"/>
        </w:rPr>
      </w:pPr>
      <w:r>
        <w:rPr>
          <w:rFonts w:hint="eastAsia" w:ascii="宋体" w:hAnsi="宋体" w:eastAsia="宋体" w:cs="宋体"/>
          <w:spacing w:val="-23"/>
          <w:w w:val="90"/>
          <w:kern w:val="0"/>
          <w:sz w:val="30"/>
          <w:szCs w:val="30"/>
          <w:lang w:val="en-US" w:eastAsia="zh-CN"/>
        </w:rPr>
        <w:t>区</w:t>
      </w:r>
      <w:r>
        <w:rPr>
          <w:rFonts w:hint="eastAsia" w:ascii="宋体" w:hAnsi="宋体" w:eastAsia="宋体" w:cs="宋体"/>
          <w:spacing w:val="-23"/>
          <w:w w:val="90"/>
          <w:kern w:val="0"/>
          <w:sz w:val="30"/>
          <w:szCs w:val="30"/>
          <w:lang w:eastAsia="zh-CN"/>
        </w:rPr>
        <w:t>财政局主管业务科室</w:t>
      </w:r>
      <w:r>
        <w:rPr>
          <w:rFonts w:hint="eastAsia" w:ascii="宋体" w:hAnsi="宋体" w:eastAsia="宋体" w:cs="宋体"/>
          <w:spacing w:val="-23"/>
          <w:kern w:val="0"/>
          <w:sz w:val="30"/>
          <w:szCs w:val="30"/>
          <w:lang w:eastAsia="zh-CN"/>
        </w:rPr>
        <w:t>：</w:t>
      </w:r>
      <w:r>
        <w:rPr>
          <w:rFonts w:hint="eastAsia" w:ascii="宋体" w:hAnsi="宋体" w:cs="宋体"/>
          <w:color w:val="auto"/>
          <w:spacing w:val="-23"/>
          <w:sz w:val="30"/>
          <w:szCs w:val="30"/>
          <w:highlight w:val="none"/>
          <w:u w:val="single"/>
          <w:lang w:eastAsia="zh-CN"/>
        </w:rPr>
        <w:t>武汉东湖新技术开发区管委会财政局行财科</w:t>
      </w:r>
    </w:p>
    <w:p>
      <w:pPr>
        <w:keepNext w:val="0"/>
        <w:keepLines w:val="0"/>
        <w:pageBreakBefore w:val="0"/>
        <w:widowControl/>
        <w:kinsoku/>
        <w:wordWrap/>
        <w:overflowPunct/>
        <w:topLinePunct w:val="0"/>
        <w:autoSpaceDE/>
        <w:autoSpaceDN/>
        <w:bidi w:val="0"/>
        <w:adjustRightInd/>
        <w:snapToGrid/>
        <w:spacing w:line="600" w:lineRule="exact"/>
        <w:ind w:left="0" w:leftChars="0" w:firstLine="600" w:firstLineChars="200"/>
        <w:jc w:val="both"/>
        <w:textAlignment w:val="auto"/>
        <w:outlineLvl w:val="9"/>
        <w:rPr>
          <w:rFonts w:hint="eastAsia" w:ascii="宋体" w:hAnsi="宋体" w:eastAsia="宋体" w:cs="宋体"/>
          <w:sz w:val="30"/>
          <w:szCs w:val="30"/>
        </w:rPr>
      </w:pPr>
      <w:r>
        <w:rPr>
          <w:rFonts w:hint="eastAsia" w:ascii="宋体" w:hAnsi="宋体" w:cs="宋体"/>
          <w:sz w:val="30"/>
          <w:szCs w:val="30"/>
          <w:lang w:eastAsia="zh-CN"/>
        </w:rPr>
        <w:t>评价机构：</w:t>
      </w:r>
      <w:r>
        <w:rPr>
          <w:rFonts w:hint="eastAsia" w:ascii="宋体" w:hAnsi="宋体" w:cs="宋体"/>
          <w:sz w:val="30"/>
          <w:szCs w:val="30"/>
          <w:u w:val="single"/>
          <w:lang w:eastAsia="zh-CN"/>
        </w:rPr>
        <w:t>湖北永兴会计师事务有限责任公司</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2017年度计划生育事业经费项目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是我国的一项基本国策，坚持计划生育基本国策，鼓励按政策生育，充分发挥全面两孩政策效应，综合施策，有利于发展的人口总量势能、结构红利和素质资本叠加优势，促进人口与经济社会、资源环境协调可持续发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做好计划生育的管理工作，2017年龙泉街道办事处计划生育事业经费项目支出预算69.22万元，其中：计划生育家庭奖励经费6.02万元、人口和计划生育信息系统建设经费1.70万元、计划生育生殖健康促进及三查四术经费25.00万元、人口计划生育服务网络建设经费9.50万元、计划生育宣传教育经费10.00万元、关爱女孩专项经费5.00万元、人口和计划生育目标责任管理经费2.00万元、出生人口性别比综合治理经费3.00万元、流动人口计划生育管理经费2.00万元、健康文化馆经费5.00万元。</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2、项目完成概况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计划生育事业经费项目支出59.77万元，其中：计划生育家庭奖励经费5.67万元、人口和计划生育信息系统建设经费1.70万元、计划生育生殖健康促进及三查四术经费15.90万元、人口计划生育服务网络建设经费9.50万元、计划生育宣传教育经费10万元、关爱女孩专项经费5.00万元、人口和计划生育目标责任管理经费2.00万元、出生人口性别比综合治理经费3.00万元、流动人口计划生育管理经费2.00万元、健康文化馆经费5.00万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计划生育家庭奖励完成率，目标值100%，计划奖励600人，即对符合条件的人员发放奖励。</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计划生育信息采集完成率，目标值100%，计划采集计划生育信息2,000条。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计划生育生殖健康促进及三查服务完成率，目标值100%，计划服务4200人。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计划生育“四术”经费结算率，目标值100%，即对符合条件的“四术”经费全部结算。</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村社区计生专干人员配备完成率，目标值100%，计划配备村社区计生专干14人。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计生中心户长劳务补贴完成率，目标值100%，计划对69名户长进行劳务补贴。</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免费发放计生宣传资料完成率，目标值100%，计划免费发放计生宣传资料8000册。</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慰问留守女孩、独女户或双女户完成率，目标值100%，计划慰问200人。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（2）质量指标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计划外多孩率，目标值1.6%以内，严格按照政策宣传督导计划生育工作，政策外多孩率控制在1.6%以内；</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资金使用合规率，目标值100%，即严格按照项目预算范围和标准开支费用。</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重点工作完成及时率，目标值100%，即确保计划生育惠民补助及时发放，保障计划生育重点工作按时完成。</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（1）经济效益指标：对村社区计生专干及计生中心户长发放补助，减轻村集体的计生工作经济负担，通过计生工作的推进，降低计划外人口增长，降低国家和社会抚养成本。</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社会效益指标：加强出生人口性别比综合治理，降低出生人口性别比。</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生态效益指标：项目无直接生态效益，因此未设置生态效益指标。</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可持续影响指标：目标值为有充足人员支持项目执行、内部管理制度、项目管理制度以及项目经费可持续性满足项目可持续性要求。</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服务对象满意度指标：做好辖区计生服务工作，提高计生服务工作水平，辖区计生服务对象满意度达90%以上。</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落实计划生育基本国策，加强人口与计划生育服务与管理，龙泉街道办事处严格按照武新管[2011]142号、武财社[2014]38号、武办文[2015]80号、武新管社字[2013]49号、鄂人口委[2012]5号、武办发[2013]15号等文件精神及高新区绩效工作目标考核细则的要求开展计生工作。</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为了规范计生经费的使用与管理，龙泉街道办事处除遵守国家及省市相关规定外，还制定了各项财经管理制度，对项目资金实行单独核算，资金拨付审批程序完整。</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项目支出预算安排情况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计划生育事业经费项目支出预算69.22万元，其中：计划生育家庭奖励经费6.02万元、人口和计划生育信息系统建设经费1.70万元、计划生育生殖健康促进及三查四术经费25.00万元、人口计划生育服务网络建设经费9.50万元、计划生育宣传教育经费10.00万元、关爱女孩专项经费5.00万元、人口和计划生育目标责任管理经费2.00万元、出生人口性别比综合治理经费3.00万元、流动人口计划生育管理经费2.00万元、健康文化馆经费5.00万元。</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实际资金到位情况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2017年龙泉街道办事处计划生育事业经费全部及时到位。</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实际支出情况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计划生育事业经费项目支出59.77万元，其中：计划生育家庭奖励经费5.67万元、人口和计划生育信息系统建设经费1.70万元、计划生育生殖健康促进及三查四术经费15.90万元、人口计划生育服务网络建设经费9.50万元、计划生育宣传教育经费10万元、关爱女孩专项经费5.00万元、人口和计划生育目标责任管理经费2.00万元、出生人口性别比综合治理经费3.00万元、流动人口计划生育管理经费2.00万元、健康文化馆经费5.00万元。</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实际与预算差异的原因</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事业经费项目预算与实际支出存在一定差异，因“计划生育家庭奖励经费”、“计划生育生殖健康促进及三查四术经费”是按照实际发生情况使用，当年实际符合奖励人数及“四术”费用实际发生额与年初预算有差异。</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计划生育家庭奖励完成率，计划奖励600人，实际奖励600人，计划生育家庭奖励完成率100%。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计划生育信息采集完成率，计划采集计划生育信息2,000条，实际采集计划生育信息2,100条，计划生育信息采集完成率105%。</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计划生育生殖健康促进及三查服务完成率，计划服务4,200人，实际服务4,210人，计划生育生殖健康促进及三查服务完成率100.24%。</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计划生育“四术”经费结算率，对符合条件的“四术”经费全部结清，计划生育“四术”经费结算率100%。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村社区计生专干人员配备完成率，计划配备村社区计生专干14人，实际配备计生专干14人，村社区计生专干人员配备完成率100%。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计生中心户长劳务补贴完成率，计划对69名户长进行劳务补贴，实际补贴69名户长，计生中心户长劳务补贴完成率100%。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免费发放计生宣传资料完成率，计划免费发放计生宣传资料8000册，实际免费发放计生宣传资料8000册，免费发放计生宣传资料完成率100%。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慰问留守女孩、独女户或双女户完成率，计划慰问200人，实际慰问200人，慰问留守女孩、独女户或双女户完成率100%。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计划外多孩率，2017年龙泉街道办事处计划外多孩率严格控制在1.6%以内，计划外多孩率控制工作完成率100%</w:t>
      </w:r>
    </w:p>
    <w:p>
      <w:pPr>
        <w:keepNext w:val="0"/>
        <w:keepLines w:val="0"/>
        <w:pageBreakBefore w:val="0"/>
        <w:widowControl/>
        <w:numPr>
          <w:ilvl w:val="0"/>
          <w:numId w:val="3"/>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通过对村社区计生专干及计生中心户长发放补助提高专干及户长工作积极性，加强计划生育政策宣传，计划外多孩率严格控制在1.6%以内，有效降低了计划外人口增长，降低国家和社会抚养成本。</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计划生育服务工作对促进人口与经济社会、资源环境协调可持续发展具有重要意义，龙泉街道办事处内部组织机构健全，内部管理制度完善，人员配备充足，计生工作经费能得到持续保障，计划生育服务工作可持续性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辖区计划生育服务对象对2017年龙泉街道办事处计划生育服务工作认可度高，满意度90%，满意度较高。</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计生事业经费项目已顺利完成，项目立项依据充分，项目绩效目标设置合理；项目财政资金按时足额拨付到位；项目的组织实施有序，程序到位，但没有建立专门的项目业务管理制度；项目资金单独核算，资金的拨付审批程序和手续完整，但未制定项目资金的财务管理制度；通过对相关村社区计生工作人员的补贴，减轻了农村集体经济的负担，同时通过计生工作的有效推进，计划外生育人口逐步降低，为国家和社会节约了大量抚养成本；2017年度出生341人，综合出生人口性别比111.8，一孩性别比90.41，二孩及以上性别比129.55，综合出生人口性别比及二孩及以上性别比仍然较高；内部管理制度及经费可持续性基本满足项目可持续要求；项目受益对象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经综合分析本项目评分得分为84分，评分结果级别为：良好。</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高度重视计生工作，始终坚持把人口和计划生育工作作为“一把手工程”，坚持一把手亲自抓，负总责不动摇。加强组织领导，并落实到具体责任人，齐抓共管，抓好落实；充分发挥宣传教育的先导作用，营造浓厚的社会舆论氛围，加强孕产期全程服务管理，从源头防范选择性别生育；坚持依法行政,完善村民自治工作机制,认真执行计划生育政策和法规，严格控制非政策生育。</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2、存在问题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（1）“养儿防老”、“多子多福”的思想仍然存在，违反生育政策生育情况时有发生，人口控制难度大；</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（2）随着社会主义市场经济的发展和乡镇城市化建设进程的加快，人口流动性增强强，空挂户口、人户分离的越来越多，给现居住地的计划生育管理工作增加了工作量；</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（3）人口性别比综合治理是一项社会系统工程，涉及卫生、药监、公安、妇联、统计等多个部门的工作职能，计生部门在技术水平及及人力物力上都难以独立负荷；</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（1）保障落实计生惠民政策，关注失独家庭、计生家庭，及时提供保障，让响应国家计生政策的群众在就业、就医、入学、社会保险等生活方面得到更加明显的优惠；</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积极构建党政领导、部门配合、各方参与、优势互补、资源共享的工作格局。成立由政府牵头，人口计生、公安、工商、民政、劳动等部门参与的流动人口计划生育领导小组，明确各部门的职责，形成执法、清理清查、信息交流互通的部门联动机制。</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eastAsia="微软雅黑"/>
          <w:sz w:val="28"/>
          <w:szCs w:val="28"/>
          <w:lang w:eastAsia="zh-CN"/>
        </w:rPr>
      </w:pPr>
      <w:r>
        <w:rPr>
          <w:rFonts w:hint="eastAsia" w:ascii="宋体" w:hAnsi="宋体" w:eastAsia="宋体" w:cs="宋体"/>
          <w:sz w:val="28"/>
          <w:szCs w:val="28"/>
          <w:lang w:val="en-US" w:eastAsia="zh-CN"/>
        </w:rPr>
        <w:t>（3）加强各部门联动，建立健全综合治理制度和相关部门的目标管理责任制，使卫生、药监、公安、妇联、统计等部门真正参与到人口性别比综合治理工作，并发挥应该的作用。</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47B910"/>
    <w:multiLevelType w:val="singleLevel"/>
    <w:tmpl w:val="8147B910"/>
    <w:lvl w:ilvl="0" w:tentative="0">
      <w:start w:val="1"/>
      <w:numFmt w:val="decimal"/>
      <w:suff w:val="nothing"/>
      <w:lvlText w:val="（%1）"/>
      <w:lvlJc w:val="left"/>
    </w:lvl>
  </w:abstractNum>
  <w:abstractNum w:abstractNumId="1">
    <w:nsid w:val="F23F6F93"/>
    <w:multiLevelType w:val="singleLevel"/>
    <w:tmpl w:val="F23F6F93"/>
    <w:lvl w:ilvl="0" w:tentative="0">
      <w:start w:val="2"/>
      <w:numFmt w:val="decimal"/>
      <w:suff w:val="nothing"/>
      <w:lvlText w:val="%1、"/>
      <w:lvlJc w:val="left"/>
    </w:lvl>
  </w:abstractNum>
  <w:abstractNum w:abstractNumId="2">
    <w:nsid w:val="43BDBB16"/>
    <w:multiLevelType w:val="singleLevel"/>
    <w:tmpl w:val="43BDBB16"/>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3C2B10"/>
    <w:rsid w:val="003E4FA9"/>
    <w:rsid w:val="00A02F19"/>
    <w:rsid w:val="00A94AF2"/>
    <w:rsid w:val="014C17CD"/>
    <w:rsid w:val="0180705A"/>
    <w:rsid w:val="018E6BD9"/>
    <w:rsid w:val="033D76BB"/>
    <w:rsid w:val="05195502"/>
    <w:rsid w:val="05AE11B6"/>
    <w:rsid w:val="06452247"/>
    <w:rsid w:val="0753460C"/>
    <w:rsid w:val="08B317A3"/>
    <w:rsid w:val="09311530"/>
    <w:rsid w:val="09617587"/>
    <w:rsid w:val="0AD802D8"/>
    <w:rsid w:val="0B183F22"/>
    <w:rsid w:val="0C145FA2"/>
    <w:rsid w:val="0CA23862"/>
    <w:rsid w:val="0CAD5D91"/>
    <w:rsid w:val="0E181006"/>
    <w:rsid w:val="0E9B0662"/>
    <w:rsid w:val="0F185E23"/>
    <w:rsid w:val="10684658"/>
    <w:rsid w:val="11F01CC3"/>
    <w:rsid w:val="172B78C6"/>
    <w:rsid w:val="184D49E3"/>
    <w:rsid w:val="1A7A65AD"/>
    <w:rsid w:val="1A7B6636"/>
    <w:rsid w:val="1B3D39F0"/>
    <w:rsid w:val="1BC87138"/>
    <w:rsid w:val="1BD13C85"/>
    <w:rsid w:val="1BF315C7"/>
    <w:rsid w:val="1DD74048"/>
    <w:rsid w:val="1E6A0B5F"/>
    <w:rsid w:val="1E902BA4"/>
    <w:rsid w:val="1EF86EFA"/>
    <w:rsid w:val="1FDA54E3"/>
    <w:rsid w:val="202F6B08"/>
    <w:rsid w:val="209D15C2"/>
    <w:rsid w:val="22CE4AF5"/>
    <w:rsid w:val="2375284C"/>
    <w:rsid w:val="23AE175E"/>
    <w:rsid w:val="24550740"/>
    <w:rsid w:val="24D96220"/>
    <w:rsid w:val="25BC2C6E"/>
    <w:rsid w:val="25CC2A95"/>
    <w:rsid w:val="27812ADC"/>
    <w:rsid w:val="28647AC6"/>
    <w:rsid w:val="2898687E"/>
    <w:rsid w:val="28C90077"/>
    <w:rsid w:val="2DE80CE1"/>
    <w:rsid w:val="2DF336E3"/>
    <w:rsid w:val="2F270ECE"/>
    <w:rsid w:val="301C3853"/>
    <w:rsid w:val="3141263A"/>
    <w:rsid w:val="31522813"/>
    <w:rsid w:val="320A5701"/>
    <w:rsid w:val="333C27FE"/>
    <w:rsid w:val="33E30B24"/>
    <w:rsid w:val="346959F9"/>
    <w:rsid w:val="38DE4202"/>
    <w:rsid w:val="3B7822F1"/>
    <w:rsid w:val="3BA73176"/>
    <w:rsid w:val="3DB54B7B"/>
    <w:rsid w:val="3E1A6261"/>
    <w:rsid w:val="43B222C1"/>
    <w:rsid w:val="4417077C"/>
    <w:rsid w:val="44787A6D"/>
    <w:rsid w:val="45E235BE"/>
    <w:rsid w:val="45FC4A60"/>
    <w:rsid w:val="48422DDC"/>
    <w:rsid w:val="48517F36"/>
    <w:rsid w:val="4A3330B8"/>
    <w:rsid w:val="4AB52BEC"/>
    <w:rsid w:val="4C311132"/>
    <w:rsid w:val="4C995DD2"/>
    <w:rsid w:val="51BE51A3"/>
    <w:rsid w:val="52670486"/>
    <w:rsid w:val="55EE18E8"/>
    <w:rsid w:val="5AA077EA"/>
    <w:rsid w:val="5BB22910"/>
    <w:rsid w:val="5C353409"/>
    <w:rsid w:val="5E116D37"/>
    <w:rsid w:val="62CF28FE"/>
    <w:rsid w:val="63F96477"/>
    <w:rsid w:val="6C4A0142"/>
    <w:rsid w:val="6DA6517C"/>
    <w:rsid w:val="6E063702"/>
    <w:rsid w:val="70F93FB5"/>
    <w:rsid w:val="74346FD9"/>
    <w:rsid w:val="75625E53"/>
    <w:rsid w:val="75C55547"/>
    <w:rsid w:val="75E25A65"/>
    <w:rsid w:val="76471DF5"/>
    <w:rsid w:val="770E3723"/>
    <w:rsid w:val="77436586"/>
    <w:rsid w:val="77C16C82"/>
    <w:rsid w:val="782014F6"/>
    <w:rsid w:val="7AE84874"/>
    <w:rsid w:val="7B89440A"/>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2018-08-28T15:36:55Z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