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宋体" w:hAnsi="宋体" w:cs="Times New Roman"/>
          <w:b/>
          <w:bCs/>
          <w:color w:val="auto"/>
          <w:sz w:val="30"/>
          <w:szCs w:val="30"/>
          <w:highlight w:val="none"/>
        </w:rPr>
      </w:pPr>
    </w:p>
    <w:p>
      <w:pPr>
        <w:spacing w:line="360" w:lineRule="auto"/>
        <w:jc w:val="center"/>
        <w:rPr>
          <w:rFonts w:ascii="宋体" w:hAnsi="宋体" w:cs="Times New Roman"/>
          <w:b/>
          <w:bCs/>
          <w:color w:val="auto"/>
          <w:sz w:val="36"/>
          <w:szCs w:val="36"/>
          <w:highlight w:val="none"/>
          <w:lang w:eastAsia="zh-CN"/>
        </w:rPr>
      </w:pPr>
      <w:r>
        <w:rPr>
          <w:rFonts w:hint="eastAsia" w:ascii="宋体" w:hAnsi="宋体" w:cs="宋体"/>
          <w:b/>
          <w:bCs/>
          <w:color w:val="auto"/>
          <w:sz w:val="36"/>
          <w:szCs w:val="36"/>
          <w:highlight w:val="none"/>
          <w:lang w:eastAsia="zh-CN"/>
        </w:rPr>
        <w:t>武汉东湖新技术开发区预算项目绩效自评报告</w:t>
      </w: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ind w:firstLine="600" w:firstLineChars="200"/>
        <w:jc w:val="both"/>
        <w:rPr>
          <w:rFonts w:ascii="宋体" w:hAnsi="宋体" w:cs="Times New Roman"/>
          <w:color w:val="auto"/>
          <w:sz w:val="30"/>
          <w:szCs w:val="30"/>
          <w:highlight w:val="none"/>
          <w:u w:val="single"/>
          <w:lang w:eastAsia="zh-CN"/>
        </w:rPr>
      </w:pPr>
      <w:r>
        <w:rPr>
          <w:rFonts w:hint="eastAsia" w:ascii="宋体" w:hAnsi="宋体" w:cs="宋体"/>
          <w:color w:val="auto"/>
          <w:sz w:val="30"/>
          <w:szCs w:val="30"/>
          <w:highlight w:val="none"/>
          <w:lang w:eastAsia="zh-CN"/>
        </w:rPr>
        <w:t>项目名称：</w:t>
      </w:r>
      <w:r>
        <w:rPr>
          <w:rFonts w:ascii="宋体" w:hAnsi="宋体" w:cs="宋体"/>
          <w:color w:val="auto"/>
          <w:sz w:val="30"/>
          <w:szCs w:val="30"/>
          <w:highlight w:val="none"/>
          <w:u w:val="single"/>
          <w:lang w:eastAsia="zh-CN"/>
        </w:rPr>
        <w:t>2017</w:t>
      </w:r>
      <w:r>
        <w:rPr>
          <w:rFonts w:hint="eastAsia" w:ascii="宋体" w:hAnsi="宋体" w:cs="宋体"/>
          <w:color w:val="auto"/>
          <w:sz w:val="30"/>
          <w:szCs w:val="30"/>
          <w:highlight w:val="none"/>
          <w:u w:val="single"/>
          <w:lang w:eastAsia="zh-CN"/>
        </w:rPr>
        <w:t>年度</w:t>
      </w:r>
      <w:r>
        <w:rPr>
          <w:rFonts w:hint="eastAsia" w:ascii="宋体" w:hAnsi="宋体" w:cs="宋体"/>
          <w:color w:val="auto"/>
          <w:sz w:val="30"/>
          <w:szCs w:val="30"/>
          <w:highlight w:val="none"/>
          <w:u w:val="single"/>
          <w:lang w:val="en-US" w:eastAsia="zh-CN"/>
        </w:rPr>
        <w:t>基层组织</w:t>
      </w:r>
      <w:r>
        <w:rPr>
          <w:rFonts w:hint="eastAsia" w:ascii="宋体" w:hAnsi="宋体" w:cs="宋体"/>
          <w:color w:val="auto"/>
          <w:sz w:val="30"/>
          <w:szCs w:val="30"/>
          <w:highlight w:val="none"/>
          <w:u w:val="single"/>
          <w:lang w:eastAsia="zh-CN"/>
        </w:rPr>
        <w:t>经费</w:t>
      </w:r>
    </w:p>
    <w:p>
      <w:pPr>
        <w:spacing w:line="360" w:lineRule="auto"/>
        <w:ind w:firstLine="600" w:firstLineChars="200"/>
        <w:jc w:val="both"/>
        <w:rPr>
          <w:rFonts w:ascii="宋体" w:hAnsi="宋体" w:cs="宋体"/>
          <w:color w:val="auto"/>
          <w:sz w:val="30"/>
          <w:szCs w:val="30"/>
          <w:highlight w:val="none"/>
          <w:u w:val="single"/>
          <w:lang w:eastAsia="zh-CN"/>
        </w:rPr>
      </w:pPr>
      <w:r>
        <w:rPr>
          <w:rFonts w:hint="eastAsia" w:ascii="宋体" w:hAnsi="宋体" w:cs="宋体"/>
          <w:color w:val="auto"/>
          <w:sz w:val="30"/>
          <w:szCs w:val="30"/>
          <w:highlight w:val="none"/>
          <w:lang w:eastAsia="zh-CN"/>
        </w:rPr>
        <w:t>项目单位：</w:t>
      </w:r>
      <w:r>
        <w:rPr>
          <w:rFonts w:hint="eastAsia" w:ascii="宋体" w:hAnsi="宋体" w:cs="宋体"/>
          <w:color w:val="auto"/>
          <w:sz w:val="30"/>
          <w:szCs w:val="30"/>
          <w:highlight w:val="none"/>
          <w:u w:val="single"/>
          <w:lang w:eastAsia="zh-CN"/>
        </w:rPr>
        <w:t>武汉东湖新技术开发区龙泉街道办事处</w:t>
      </w:r>
      <w:r>
        <w:rPr>
          <w:rFonts w:ascii="宋体" w:hAnsi="宋体" w:cs="宋体"/>
          <w:color w:val="auto"/>
          <w:sz w:val="30"/>
          <w:szCs w:val="30"/>
          <w:highlight w:val="none"/>
          <w:u w:val="single"/>
          <w:lang w:eastAsia="zh-CN"/>
        </w:rPr>
        <w:t xml:space="preserve">               </w:t>
      </w:r>
    </w:p>
    <w:p>
      <w:pPr>
        <w:spacing w:line="360" w:lineRule="auto"/>
        <w:ind w:firstLine="600" w:firstLineChars="200"/>
        <w:jc w:val="both"/>
        <w:rPr>
          <w:rFonts w:ascii="宋体" w:hAnsi="宋体" w:cs="Times New Roman"/>
          <w:color w:val="auto"/>
          <w:sz w:val="30"/>
          <w:szCs w:val="30"/>
          <w:highlight w:val="none"/>
          <w:lang w:eastAsia="zh-CN"/>
        </w:rPr>
      </w:pPr>
      <w:r>
        <w:rPr>
          <w:rFonts w:hint="eastAsia" w:ascii="宋体" w:hAnsi="宋体" w:cs="宋体"/>
          <w:color w:val="auto"/>
          <w:sz w:val="30"/>
          <w:szCs w:val="30"/>
          <w:highlight w:val="none"/>
          <w:lang w:eastAsia="zh-CN"/>
        </w:rPr>
        <w:t>主管部门：</w:t>
      </w:r>
      <w:r>
        <w:rPr>
          <w:rFonts w:ascii="宋体" w:hAnsi="宋体" w:cs="宋体"/>
          <w:color w:val="auto"/>
          <w:sz w:val="30"/>
          <w:szCs w:val="30"/>
          <w:highlight w:val="none"/>
          <w:u w:val="single"/>
          <w:lang w:eastAsia="zh-CN"/>
        </w:rPr>
        <w:t xml:space="preserve">                         (</w:t>
      </w:r>
      <w:r>
        <w:rPr>
          <w:rFonts w:hint="eastAsia" w:ascii="宋体" w:hAnsi="宋体" w:cs="宋体"/>
          <w:color w:val="auto"/>
          <w:sz w:val="30"/>
          <w:szCs w:val="30"/>
          <w:highlight w:val="none"/>
          <w:u w:val="single"/>
          <w:lang w:eastAsia="zh-CN"/>
        </w:rPr>
        <w:t>盖章</w:t>
      </w:r>
      <w:r>
        <w:rPr>
          <w:rFonts w:ascii="宋体" w:hAnsi="宋体" w:cs="宋体"/>
          <w:color w:val="auto"/>
          <w:sz w:val="30"/>
          <w:szCs w:val="30"/>
          <w:highlight w:val="none"/>
          <w:u w:val="single"/>
          <w:lang w:eastAsia="zh-CN"/>
        </w:rPr>
        <w:t>)</w:t>
      </w:r>
    </w:p>
    <w:p>
      <w:pPr>
        <w:spacing w:line="360" w:lineRule="auto"/>
        <w:ind w:firstLine="600" w:firstLineChars="200"/>
        <w:jc w:val="both"/>
        <w:rPr>
          <w:rFonts w:ascii="宋体" w:hAnsi="宋体" w:cs="Times New Roman"/>
          <w:color w:val="auto"/>
          <w:sz w:val="30"/>
          <w:szCs w:val="30"/>
          <w:highlight w:val="none"/>
          <w:lang w:eastAsia="zh-CN"/>
        </w:rPr>
      </w:pPr>
      <w:r>
        <w:rPr>
          <w:rFonts w:hint="eastAsia" w:ascii="宋体" w:hAnsi="宋体" w:cs="宋体"/>
          <w:color w:val="auto"/>
          <w:sz w:val="30"/>
          <w:szCs w:val="30"/>
          <w:highlight w:val="none"/>
          <w:lang w:eastAsia="zh-CN"/>
        </w:rPr>
        <w:t>区财政局主管业务科室：</w:t>
      </w:r>
      <w:r>
        <w:rPr>
          <w:rFonts w:ascii="宋体" w:hAnsi="宋体" w:cs="宋体"/>
          <w:color w:val="auto"/>
          <w:sz w:val="30"/>
          <w:szCs w:val="30"/>
          <w:highlight w:val="none"/>
          <w:u w:val="single"/>
          <w:lang w:eastAsia="zh-CN"/>
        </w:rPr>
        <w:t xml:space="preserve">              (</w:t>
      </w:r>
      <w:r>
        <w:rPr>
          <w:rFonts w:hint="eastAsia" w:ascii="宋体" w:hAnsi="宋体" w:cs="宋体"/>
          <w:color w:val="auto"/>
          <w:sz w:val="30"/>
          <w:szCs w:val="30"/>
          <w:highlight w:val="none"/>
          <w:u w:val="single"/>
          <w:lang w:eastAsia="zh-CN"/>
        </w:rPr>
        <w:t>盖章</w:t>
      </w:r>
      <w:r>
        <w:rPr>
          <w:rFonts w:ascii="宋体" w:hAnsi="宋体" w:cs="宋体"/>
          <w:color w:val="auto"/>
          <w:sz w:val="30"/>
          <w:szCs w:val="30"/>
          <w:highlight w:val="none"/>
          <w:u w:val="single"/>
          <w:lang w:eastAsia="zh-CN"/>
        </w:rPr>
        <w:t>)</w:t>
      </w: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center"/>
        <w:rPr>
          <w:rFonts w:ascii="宋体" w:hAnsi="宋体" w:cs="Times New Roman"/>
          <w:color w:val="auto"/>
          <w:sz w:val="28"/>
          <w:szCs w:val="28"/>
          <w:highlight w:val="none"/>
          <w:lang w:eastAsia="zh-CN"/>
        </w:rPr>
      </w:pPr>
      <w:r>
        <w:rPr>
          <w:rFonts w:hint="eastAsia" w:ascii="宋体" w:hAnsi="宋体" w:cs="宋体"/>
          <w:color w:val="auto"/>
          <w:sz w:val="28"/>
          <w:szCs w:val="28"/>
          <w:highlight w:val="none"/>
          <w:lang w:eastAsia="zh-CN"/>
        </w:rPr>
        <w:t>二○一八年五月</w:t>
      </w:r>
    </w:p>
    <w:p>
      <w:pPr>
        <w:spacing w:line="360" w:lineRule="auto"/>
        <w:jc w:val="both"/>
        <w:rPr>
          <w:rFonts w:cs="Times New Roman"/>
          <w:color w:val="auto"/>
          <w:highlight w:val="none"/>
          <w:lang w:eastAsia="zh-CN"/>
        </w:rPr>
      </w:pPr>
    </w:p>
    <w:p>
      <w:pPr>
        <w:spacing w:line="360" w:lineRule="auto"/>
        <w:jc w:val="center"/>
        <w:rPr>
          <w:rFonts w:ascii="宋体" w:hAnsi="宋体" w:cs="Times New Roman"/>
          <w:b/>
          <w:bCs/>
          <w:color w:val="auto"/>
          <w:sz w:val="36"/>
          <w:szCs w:val="36"/>
          <w:highlight w:val="none"/>
          <w:lang w:eastAsia="zh-CN"/>
        </w:rPr>
      </w:pPr>
      <w:r>
        <w:rPr>
          <w:rFonts w:ascii="宋体" w:hAnsi="宋体" w:cs="宋体"/>
          <w:b/>
          <w:bCs/>
          <w:color w:val="auto"/>
          <w:sz w:val="36"/>
          <w:szCs w:val="36"/>
          <w:highlight w:val="none"/>
          <w:lang w:eastAsia="zh-CN"/>
        </w:rPr>
        <w:t>2017</w:t>
      </w:r>
      <w:r>
        <w:rPr>
          <w:rFonts w:hint="eastAsia" w:ascii="宋体" w:hAnsi="宋体" w:cs="宋体"/>
          <w:b/>
          <w:bCs/>
          <w:color w:val="auto"/>
          <w:sz w:val="36"/>
          <w:szCs w:val="36"/>
          <w:highlight w:val="none"/>
          <w:lang w:eastAsia="zh-CN"/>
        </w:rPr>
        <w:t>年度</w:t>
      </w:r>
      <w:r>
        <w:rPr>
          <w:rFonts w:hint="eastAsia" w:ascii="宋体" w:hAnsi="宋体" w:cs="宋体"/>
          <w:b/>
          <w:bCs/>
          <w:color w:val="auto"/>
          <w:sz w:val="36"/>
          <w:szCs w:val="36"/>
          <w:highlight w:val="none"/>
          <w:lang w:val="en-US" w:eastAsia="zh-CN"/>
        </w:rPr>
        <w:t>基层组织</w:t>
      </w:r>
      <w:r>
        <w:rPr>
          <w:rFonts w:hint="eastAsia" w:ascii="宋体" w:hAnsi="宋体" w:cs="宋体"/>
          <w:b/>
          <w:bCs/>
          <w:color w:val="auto"/>
          <w:sz w:val="36"/>
          <w:szCs w:val="36"/>
          <w:highlight w:val="none"/>
          <w:lang w:eastAsia="zh-CN"/>
        </w:rPr>
        <w:t>经费项目</w:t>
      </w:r>
    </w:p>
    <w:p>
      <w:pPr>
        <w:spacing w:line="360" w:lineRule="auto"/>
        <w:jc w:val="center"/>
        <w:rPr>
          <w:rFonts w:cs="Times New Roman"/>
          <w:color w:val="auto"/>
          <w:highlight w:val="none"/>
          <w:lang w:eastAsia="zh-CN"/>
        </w:rPr>
      </w:pPr>
      <w:r>
        <w:rPr>
          <w:rFonts w:hint="eastAsia" w:ascii="宋体" w:hAnsi="宋体" w:cs="宋体"/>
          <w:b/>
          <w:bCs/>
          <w:color w:val="auto"/>
          <w:sz w:val="36"/>
          <w:szCs w:val="36"/>
          <w:highlight w:val="none"/>
          <w:lang w:eastAsia="zh-CN"/>
        </w:rPr>
        <w:t>绩效自评报告</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一、项目基本情况</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（一）项目概况</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、项目内容</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val="en-US" w:eastAsia="zh-CN"/>
        </w:rPr>
        <w:t>为做好基层</w:t>
      </w:r>
      <w:r>
        <w:rPr>
          <w:rFonts w:hint="eastAsia" w:ascii="宋体" w:hAnsi="宋体" w:cs="宋体"/>
          <w:color w:val="auto"/>
          <w:sz w:val="28"/>
          <w:szCs w:val="28"/>
          <w:highlight w:val="none"/>
          <w:lang w:eastAsia="zh-CN"/>
        </w:rPr>
        <w:t>党政工团、干部培训、妇联、人大政协、基层财政建设等</w:t>
      </w:r>
      <w:r>
        <w:rPr>
          <w:rFonts w:hint="eastAsia" w:ascii="宋体" w:hAnsi="宋体" w:cs="宋体"/>
          <w:color w:val="auto"/>
          <w:sz w:val="28"/>
          <w:szCs w:val="28"/>
          <w:highlight w:val="none"/>
          <w:lang w:val="en-US" w:eastAsia="zh-CN"/>
        </w:rPr>
        <w:t>工作，</w:t>
      </w: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w:t>
      </w:r>
      <w:r>
        <w:rPr>
          <w:rFonts w:hint="eastAsia" w:ascii="宋体" w:hAnsi="宋体" w:cs="宋体"/>
          <w:color w:val="auto"/>
          <w:sz w:val="28"/>
          <w:szCs w:val="28"/>
          <w:highlight w:val="none"/>
          <w:lang w:val="en-US" w:eastAsia="zh-CN"/>
        </w:rPr>
        <w:t>基层组</w:t>
      </w:r>
      <w:bookmarkStart w:id="0" w:name="_GoBack"/>
      <w:bookmarkEnd w:id="0"/>
      <w:r>
        <w:rPr>
          <w:rFonts w:hint="eastAsia" w:ascii="宋体" w:hAnsi="宋体" w:cs="宋体"/>
          <w:color w:val="auto"/>
          <w:sz w:val="28"/>
          <w:szCs w:val="28"/>
          <w:highlight w:val="none"/>
          <w:lang w:val="en-US" w:eastAsia="zh-CN"/>
        </w:rPr>
        <w:t>织</w:t>
      </w:r>
      <w:r>
        <w:rPr>
          <w:rFonts w:hint="eastAsia" w:ascii="宋体" w:hAnsi="宋体" w:cs="宋体"/>
          <w:color w:val="auto"/>
          <w:sz w:val="28"/>
          <w:szCs w:val="28"/>
          <w:highlight w:val="none"/>
          <w:lang w:eastAsia="zh-CN"/>
        </w:rPr>
        <w:t>经费支出预算</w:t>
      </w:r>
      <w:r>
        <w:rPr>
          <w:rFonts w:hint="eastAsia" w:ascii="宋体" w:hAnsi="宋体" w:cs="宋体"/>
          <w:color w:val="auto"/>
          <w:sz w:val="28"/>
          <w:szCs w:val="28"/>
          <w:highlight w:val="none"/>
          <w:lang w:val="en-US" w:eastAsia="zh-CN"/>
        </w:rPr>
        <w:t>190.00</w:t>
      </w:r>
      <w:r>
        <w:rPr>
          <w:rFonts w:hint="eastAsia" w:ascii="宋体" w:hAnsi="宋体" w:cs="宋体"/>
          <w:color w:val="auto"/>
          <w:sz w:val="28"/>
          <w:szCs w:val="28"/>
          <w:highlight w:val="none"/>
          <w:lang w:eastAsia="zh-CN"/>
        </w:rPr>
        <w:t>万元，</w:t>
      </w:r>
      <w:r>
        <w:rPr>
          <w:rFonts w:hint="eastAsia" w:ascii="宋体" w:hAnsi="宋体" w:cs="宋体"/>
          <w:color w:val="auto"/>
          <w:sz w:val="28"/>
          <w:szCs w:val="28"/>
          <w:highlight w:val="none"/>
          <w:lang w:val="en-US" w:eastAsia="zh-CN"/>
        </w:rPr>
        <w:t>其中：基层财政建设经费77.00万元、党政建设经费103.00万元、基本农田保护10.00万元</w:t>
      </w:r>
      <w:r>
        <w:rPr>
          <w:rFonts w:hint="eastAsia" w:ascii="宋体" w:hAnsi="宋体" w:cs="宋体"/>
          <w:color w:val="auto"/>
          <w:sz w:val="28"/>
          <w:szCs w:val="28"/>
          <w:highlight w:val="none"/>
          <w:lang w:eastAsia="zh-CN"/>
        </w:rPr>
        <w:t>。</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、项目完成概况</w:t>
      </w:r>
    </w:p>
    <w:p>
      <w:pPr>
        <w:spacing w:after="0" w:line="600" w:lineRule="exact"/>
        <w:ind w:firstLine="560" w:firstLineChars="200"/>
        <w:jc w:val="both"/>
        <w:rPr>
          <w:rFonts w:ascii="宋体" w:hAnsi="宋体"/>
          <w:color w:val="auto"/>
          <w:sz w:val="28"/>
          <w:szCs w:val="28"/>
          <w:highlight w:val="none"/>
          <w:lang w:eastAsia="zh-CN"/>
        </w:rPr>
      </w:pP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w:t>
      </w:r>
      <w:r>
        <w:rPr>
          <w:rFonts w:hint="eastAsia" w:ascii="宋体" w:hAnsi="宋体" w:cs="宋体"/>
          <w:color w:val="auto"/>
          <w:sz w:val="28"/>
          <w:szCs w:val="28"/>
          <w:highlight w:val="none"/>
          <w:lang w:val="en-US" w:eastAsia="zh-CN"/>
        </w:rPr>
        <w:t>基层组织</w:t>
      </w:r>
      <w:r>
        <w:rPr>
          <w:rFonts w:hint="eastAsia" w:ascii="宋体" w:hAnsi="宋体" w:cs="宋体"/>
          <w:color w:val="auto"/>
          <w:sz w:val="28"/>
          <w:szCs w:val="28"/>
          <w:highlight w:val="none"/>
          <w:lang w:eastAsia="zh-CN"/>
        </w:rPr>
        <w:t>经费支出</w:t>
      </w:r>
      <w:r>
        <w:rPr>
          <w:rFonts w:hint="eastAsia" w:ascii="宋体" w:hAnsi="宋体" w:cs="宋体"/>
          <w:color w:val="auto"/>
          <w:sz w:val="28"/>
          <w:szCs w:val="28"/>
          <w:highlight w:val="none"/>
          <w:lang w:val="en-US" w:eastAsia="zh-CN"/>
        </w:rPr>
        <w:t>189.10</w:t>
      </w:r>
      <w:r>
        <w:rPr>
          <w:rFonts w:hint="eastAsia" w:ascii="宋体" w:hAnsi="宋体" w:cs="宋体"/>
          <w:color w:val="auto"/>
          <w:sz w:val="28"/>
          <w:szCs w:val="28"/>
          <w:highlight w:val="none"/>
          <w:lang w:eastAsia="zh-CN"/>
        </w:rPr>
        <w:t>万元，其中：基层财政建设经费7</w:t>
      </w:r>
      <w:r>
        <w:rPr>
          <w:rFonts w:hint="eastAsia" w:ascii="宋体" w:hAnsi="宋体" w:cs="宋体"/>
          <w:color w:val="auto"/>
          <w:sz w:val="28"/>
          <w:szCs w:val="28"/>
          <w:highlight w:val="none"/>
          <w:lang w:val="en-US" w:eastAsia="zh-CN"/>
        </w:rPr>
        <w:t>6</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lang w:eastAsia="zh-CN"/>
        </w:rPr>
        <w:t>万元、党政建设经费103.00万元、基本农田保护10.00万元。</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（二）项目预算绩效目标</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、产出目标</w:t>
      </w:r>
    </w:p>
    <w:p>
      <w:pPr>
        <w:spacing w:after="0" w:line="600" w:lineRule="exact"/>
        <w:ind w:firstLine="560" w:firstLineChars="200"/>
        <w:jc w:val="both"/>
        <w:outlineLvl w:val="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）数量指标</w:t>
      </w:r>
    </w:p>
    <w:tbl>
      <w:tblPr>
        <w:tblStyle w:val="5"/>
        <w:tblW w:w="8504" w:type="dxa"/>
        <w:jc w:val="center"/>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1109"/>
        <w:gridCol w:w="1876"/>
        <w:gridCol w:w="352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40" w:hRule="exact"/>
          <w:jc w:val="center"/>
        </w:trPr>
        <w:tc>
          <w:tcPr>
            <w:tcW w:w="1109"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一级指标</w:t>
            </w:r>
          </w:p>
        </w:tc>
        <w:tc>
          <w:tcPr>
            <w:tcW w:w="187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二级指标</w:t>
            </w: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指标内容</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0" w:hRule="exact"/>
          <w:jc w:val="center"/>
        </w:trPr>
        <w:tc>
          <w:tcPr>
            <w:tcW w:w="1109"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产出指标</w:t>
            </w:r>
          </w:p>
        </w:tc>
        <w:tc>
          <w:tcPr>
            <w:tcW w:w="1876"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数量指标</w:t>
            </w: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财务培训人数</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80人次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40" w:hRule="exact"/>
          <w:jc w:val="center"/>
        </w:trPr>
        <w:tc>
          <w:tcPr>
            <w:tcW w:w="1109"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1876"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开展党支部活动次数</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5</w:t>
            </w:r>
            <w:r>
              <w:rPr>
                <w:rFonts w:hint="eastAsia" w:ascii="宋体" w:hAnsi="宋体" w:cs="宋体"/>
                <w:i w:val="0"/>
                <w:color w:val="auto"/>
                <w:kern w:val="0"/>
                <w:sz w:val="21"/>
                <w:szCs w:val="21"/>
                <w:highlight w:val="none"/>
                <w:u w:val="none"/>
                <w:lang w:val="en-US" w:eastAsia="zh-CN" w:bidi="ar"/>
              </w:rPr>
              <w:t>4</w:t>
            </w:r>
            <w:r>
              <w:rPr>
                <w:rFonts w:hint="eastAsia" w:ascii="宋体" w:hAnsi="宋体" w:eastAsia="宋体" w:cs="宋体"/>
                <w:i w:val="0"/>
                <w:color w:val="auto"/>
                <w:kern w:val="0"/>
                <w:sz w:val="21"/>
                <w:szCs w:val="21"/>
                <w:highlight w:val="none"/>
                <w:u w:val="none"/>
                <w:lang w:val="en-US" w:eastAsia="zh-CN"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0" w:hRule="exact"/>
          <w:jc w:val="center"/>
        </w:trPr>
        <w:tc>
          <w:tcPr>
            <w:tcW w:w="1109"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1876"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开展文体活动数量</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2</w:t>
            </w:r>
            <w:r>
              <w:rPr>
                <w:rFonts w:hint="eastAsia" w:ascii="宋体" w:hAnsi="宋体" w:cs="宋体"/>
                <w:i w:val="0"/>
                <w:color w:val="auto"/>
                <w:kern w:val="0"/>
                <w:sz w:val="21"/>
                <w:szCs w:val="21"/>
                <w:highlight w:val="none"/>
                <w:u w:val="none"/>
                <w:lang w:val="en-US" w:eastAsia="zh-CN" w:bidi="ar"/>
              </w:rPr>
              <w:t>8</w:t>
            </w:r>
            <w:r>
              <w:rPr>
                <w:rFonts w:hint="eastAsia" w:ascii="宋体" w:hAnsi="宋体" w:eastAsia="宋体" w:cs="宋体"/>
                <w:i w:val="0"/>
                <w:color w:val="auto"/>
                <w:kern w:val="0"/>
                <w:sz w:val="21"/>
                <w:szCs w:val="21"/>
                <w:highlight w:val="none"/>
                <w:u w:val="none"/>
                <w:lang w:val="en-US" w:eastAsia="zh-CN" w:bidi="ar"/>
              </w:rPr>
              <w:t>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0" w:hRule="exact"/>
          <w:jc w:val="center"/>
        </w:trPr>
        <w:tc>
          <w:tcPr>
            <w:tcW w:w="1109"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1876"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村干部、街道干部培训人数</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1</w:t>
            </w:r>
            <w:r>
              <w:rPr>
                <w:rFonts w:hint="eastAsia" w:ascii="宋体" w:hAnsi="宋体" w:cs="宋体"/>
                <w:i w:val="0"/>
                <w:color w:val="auto"/>
                <w:kern w:val="0"/>
                <w:sz w:val="21"/>
                <w:szCs w:val="21"/>
                <w:highlight w:val="none"/>
                <w:u w:val="none"/>
                <w:lang w:val="en-US" w:eastAsia="zh-CN" w:bidi="ar"/>
              </w:rPr>
              <w:t>,</w:t>
            </w:r>
            <w:r>
              <w:rPr>
                <w:rFonts w:hint="eastAsia" w:ascii="宋体" w:hAnsi="宋体" w:eastAsia="宋体" w:cs="宋体"/>
                <w:i w:val="0"/>
                <w:color w:val="auto"/>
                <w:kern w:val="0"/>
                <w:sz w:val="21"/>
                <w:szCs w:val="21"/>
                <w:highlight w:val="none"/>
                <w:u w:val="none"/>
                <w:lang w:val="en-US" w:eastAsia="zh-CN" w:bidi="ar"/>
              </w:rPr>
              <w:t>300人次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0" w:hRule="exact"/>
          <w:jc w:val="center"/>
        </w:trPr>
        <w:tc>
          <w:tcPr>
            <w:tcW w:w="1109"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1876"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开展纪检监察工作次数</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3</w:t>
            </w:r>
            <w:r>
              <w:rPr>
                <w:rFonts w:hint="eastAsia" w:ascii="宋体" w:hAnsi="宋体" w:cs="宋体"/>
                <w:i w:val="0"/>
                <w:color w:val="auto"/>
                <w:kern w:val="0"/>
                <w:sz w:val="21"/>
                <w:szCs w:val="21"/>
                <w:highlight w:val="none"/>
                <w:u w:val="none"/>
                <w:lang w:val="en-US" w:eastAsia="zh-CN" w:bidi="ar"/>
              </w:rPr>
              <w:t>2</w:t>
            </w:r>
            <w:r>
              <w:rPr>
                <w:rFonts w:hint="eastAsia" w:ascii="宋体" w:hAnsi="宋体" w:eastAsia="宋体" w:cs="宋体"/>
                <w:i w:val="0"/>
                <w:color w:val="auto"/>
                <w:kern w:val="0"/>
                <w:sz w:val="21"/>
                <w:szCs w:val="21"/>
                <w:highlight w:val="none"/>
                <w:u w:val="none"/>
                <w:lang w:val="en-US" w:eastAsia="zh-CN"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40" w:hRule="exact"/>
          <w:jc w:val="center"/>
        </w:trPr>
        <w:tc>
          <w:tcPr>
            <w:tcW w:w="1109"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1876" w:type="dxa"/>
            <w:vMerge w:val="continue"/>
            <w:shd w:val="clear" w:color="auto" w:fill="auto"/>
            <w:vAlign w:val="center"/>
          </w:tcPr>
          <w:p>
            <w:pPr>
              <w:spacing w:line="240" w:lineRule="auto"/>
              <w:jc w:val="center"/>
              <w:rPr>
                <w:rFonts w:hint="eastAsia" w:ascii="宋体" w:hAnsi="宋体" w:eastAsia="宋体" w:cs="宋体"/>
                <w:i w:val="0"/>
                <w:color w:val="auto"/>
                <w:sz w:val="21"/>
                <w:szCs w:val="21"/>
                <w:highlight w:val="none"/>
                <w:u w:val="none"/>
              </w:rPr>
            </w:pPr>
          </w:p>
        </w:tc>
        <w:tc>
          <w:tcPr>
            <w:tcW w:w="3521"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基本农田巡查管护面积</w:t>
            </w:r>
          </w:p>
        </w:tc>
        <w:tc>
          <w:tcPr>
            <w:tcW w:w="199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bidi="ar"/>
              </w:rPr>
              <w:t>50</w:t>
            </w:r>
            <w:r>
              <w:rPr>
                <w:rFonts w:hint="eastAsia" w:ascii="宋体" w:hAnsi="宋体" w:cs="宋体"/>
                <w:i w:val="0"/>
                <w:color w:val="auto"/>
                <w:kern w:val="0"/>
                <w:sz w:val="21"/>
                <w:szCs w:val="21"/>
                <w:highlight w:val="none"/>
                <w:u w:val="none"/>
                <w:lang w:val="en-US" w:eastAsia="zh-CN" w:bidi="ar"/>
              </w:rPr>
              <w:t>,</w:t>
            </w:r>
            <w:r>
              <w:rPr>
                <w:rFonts w:hint="eastAsia" w:ascii="宋体" w:hAnsi="宋体" w:eastAsia="宋体" w:cs="宋体"/>
                <w:i w:val="0"/>
                <w:color w:val="auto"/>
                <w:kern w:val="0"/>
                <w:sz w:val="21"/>
                <w:szCs w:val="21"/>
                <w:highlight w:val="none"/>
                <w:u w:val="none"/>
                <w:lang w:val="en-US" w:eastAsia="zh-CN" w:bidi="ar"/>
              </w:rPr>
              <w:t>040亩</w:t>
            </w:r>
          </w:p>
        </w:tc>
      </w:tr>
    </w:tbl>
    <w:p>
      <w:pPr>
        <w:spacing w:after="0" w:line="600" w:lineRule="exact"/>
        <w:ind w:firstLine="560" w:firstLineChars="200"/>
        <w:jc w:val="both"/>
        <w:outlineLvl w:val="0"/>
        <w:rPr>
          <w:rFonts w:hint="eastAsia" w:ascii="宋体" w:hAnsi="宋体" w:cs="宋体"/>
          <w:color w:val="auto"/>
          <w:sz w:val="28"/>
          <w:szCs w:val="28"/>
          <w:highlight w:val="none"/>
          <w:lang w:eastAsia="zh-CN"/>
        </w:rPr>
      </w:pP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2</w:t>
      </w:r>
      <w:r>
        <w:rPr>
          <w:rFonts w:hint="eastAsia" w:ascii="宋体" w:hAnsi="宋体" w:cs="宋体"/>
          <w:color w:val="auto"/>
          <w:sz w:val="28"/>
          <w:szCs w:val="28"/>
          <w:highlight w:val="none"/>
          <w:lang w:eastAsia="zh-CN"/>
        </w:rPr>
        <w:t>）质量指标</w:t>
      </w:r>
    </w:p>
    <w:p>
      <w:pPr>
        <w:spacing w:after="0" w:line="600" w:lineRule="exact"/>
        <w:ind w:firstLine="560" w:firstLineChars="200"/>
        <w:jc w:val="both"/>
        <w:outlineLvl w:val="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按照年初预算要求做好</w:t>
      </w:r>
      <w:r>
        <w:rPr>
          <w:rFonts w:hint="eastAsia" w:ascii="宋体" w:hAnsi="宋体" w:cs="宋体"/>
          <w:color w:val="auto"/>
          <w:sz w:val="28"/>
          <w:szCs w:val="28"/>
          <w:highlight w:val="none"/>
          <w:lang w:eastAsia="zh-CN"/>
        </w:rPr>
        <w:t>基层党政工团、干部培训、妇联、人大政协、基层财政建设等工作，</w:t>
      </w:r>
      <w:r>
        <w:rPr>
          <w:rFonts w:hint="eastAsia" w:ascii="宋体" w:hAnsi="宋体" w:cs="宋体"/>
          <w:color w:val="auto"/>
          <w:sz w:val="28"/>
          <w:szCs w:val="28"/>
          <w:highlight w:val="none"/>
          <w:lang w:val="en-US" w:eastAsia="zh-CN"/>
        </w:rPr>
        <w:t>预算资金使用合规率达100%。</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3</w:t>
      </w:r>
      <w:r>
        <w:rPr>
          <w:rFonts w:hint="eastAsia" w:ascii="宋体" w:hAnsi="宋体" w:cs="宋体"/>
          <w:color w:val="auto"/>
          <w:sz w:val="28"/>
          <w:szCs w:val="28"/>
          <w:highlight w:val="none"/>
          <w:lang w:eastAsia="zh-CN"/>
        </w:rPr>
        <w:t>）时效指标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基层党政工团、干部培训、妇联、人大政协、基层财政建设等</w:t>
      </w:r>
      <w:r>
        <w:rPr>
          <w:rFonts w:hint="eastAsia" w:ascii="宋体" w:hAnsi="宋体" w:cs="宋体"/>
          <w:color w:val="auto"/>
          <w:sz w:val="28"/>
          <w:szCs w:val="28"/>
          <w:highlight w:val="none"/>
          <w:lang w:val="en-US" w:eastAsia="zh-CN"/>
        </w:rPr>
        <w:t>工作</w:t>
      </w:r>
      <w:r>
        <w:rPr>
          <w:rFonts w:hint="eastAsia" w:ascii="宋体" w:hAnsi="宋体" w:cs="宋体"/>
          <w:color w:val="auto"/>
          <w:sz w:val="28"/>
          <w:szCs w:val="28"/>
          <w:highlight w:val="none"/>
          <w:lang w:eastAsia="zh-CN"/>
        </w:rPr>
        <w:t>按照工作计划及时完成。</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4</w:t>
      </w:r>
      <w:r>
        <w:rPr>
          <w:rFonts w:hint="eastAsia" w:ascii="宋体" w:hAnsi="宋体" w:cs="宋体"/>
          <w:color w:val="auto"/>
          <w:sz w:val="28"/>
          <w:szCs w:val="28"/>
          <w:highlight w:val="none"/>
          <w:lang w:eastAsia="zh-CN"/>
        </w:rPr>
        <w:t>）成本指标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项目经费开支严格按照预算执行，实际经费开支不超过年初申报资金额度。</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、效果目标</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）社会效益</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val="en-US" w:eastAsia="zh-CN"/>
        </w:rPr>
        <w:t>确保</w:t>
      </w:r>
      <w:r>
        <w:rPr>
          <w:rFonts w:hint="eastAsia" w:ascii="宋体" w:hAnsi="宋体" w:cs="宋体"/>
          <w:color w:val="auto"/>
          <w:sz w:val="28"/>
          <w:szCs w:val="28"/>
          <w:highlight w:val="none"/>
          <w:lang w:eastAsia="zh-CN"/>
        </w:rPr>
        <w:t>基层党政工团、干部培训、妇联、人大政协、基层财政建设等</w:t>
      </w:r>
      <w:r>
        <w:rPr>
          <w:rFonts w:hint="eastAsia" w:ascii="宋体" w:hAnsi="宋体" w:cs="宋体"/>
          <w:color w:val="auto"/>
          <w:sz w:val="28"/>
          <w:szCs w:val="28"/>
          <w:highlight w:val="none"/>
          <w:lang w:val="en-US" w:eastAsia="zh-CN"/>
        </w:rPr>
        <w:t>工作正常开展，健全组织建设，提高基层组织服务水平</w:t>
      </w:r>
      <w:r>
        <w:rPr>
          <w:rFonts w:hint="eastAsia" w:ascii="宋体" w:hAnsi="宋体" w:cs="宋体"/>
          <w:color w:val="auto"/>
          <w:sz w:val="28"/>
          <w:szCs w:val="28"/>
          <w:highlight w:val="none"/>
          <w:lang w:eastAsia="zh-CN"/>
        </w:rPr>
        <w:t>。</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2</w:t>
      </w:r>
      <w:r>
        <w:rPr>
          <w:rFonts w:hint="eastAsia" w:ascii="宋体" w:hAnsi="宋体" w:cs="宋体"/>
          <w:color w:val="auto"/>
          <w:sz w:val="28"/>
          <w:szCs w:val="28"/>
          <w:highlight w:val="none"/>
          <w:lang w:eastAsia="zh-CN"/>
        </w:rPr>
        <w:t>）可持续影响指标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人员配备、内部管理制度、项目管理制度以及项目经费可持续性满足项目可持续性要求。</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3</w:t>
      </w:r>
      <w:r>
        <w:rPr>
          <w:rFonts w:hint="eastAsia" w:ascii="宋体" w:hAnsi="宋体" w:cs="宋体"/>
          <w:color w:val="auto"/>
          <w:sz w:val="28"/>
          <w:szCs w:val="28"/>
          <w:highlight w:val="none"/>
          <w:lang w:eastAsia="zh-CN"/>
        </w:rPr>
        <w:t>）服务对象满意度指标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社会公众满意度达</w:t>
      </w:r>
      <w:r>
        <w:rPr>
          <w:rFonts w:ascii="宋体" w:hAnsi="宋体" w:cs="宋体"/>
          <w:color w:val="auto"/>
          <w:sz w:val="28"/>
          <w:szCs w:val="28"/>
          <w:highlight w:val="none"/>
          <w:lang w:eastAsia="zh-CN"/>
        </w:rPr>
        <w:t>90%</w:t>
      </w:r>
      <w:r>
        <w:rPr>
          <w:rFonts w:hint="eastAsia" w:ascii="宋体" w:hAnsi="宋体" w:cs="宋体"/>
          <w:color w:val="auto"/>
          <w:sz w:val="28"/>
          <w:szCs w:val="28"/>
          <w:highlight w:val="none"/>
          <w:lang w:eastAsia="zh-CN"/>
        </w:rPr>
        <w:t>以上。</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二、项目绩效分析</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（一）项目管理情况</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、业务管理情况</w:t>
      </w:r>
    </w:p>
    <w:p>
      <w:pPr>
        <w:spacing w:after="0" w:line="600" w:lineRule="exact"/>
        <w:ind w:firstLine="560" w:firstLineChars="200"/>
        <w:jc w:val="both"/>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龙泉街道办事处严格按照《</w:t>
      </w:r>
      <w:r>
        <w:rPr>
          <w:rFonts w:hint="eastAsia" w:ascii="宋体" w:hAnsi="宋体" w:cs="宋体"/>
          <w:color w:val="auto"/>
          <w:sz w:val="28"/>
          <w:szCs w:val="28"/>
          <w:highlight w:val="none"/>
          <w:lang w:eastAsia="zh-CN"/>
        </w:rPr>
        <w:t>关于开展乡镇财政专管员制度落实情况专项检查的通知</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鄂财农村发</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2015</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6号</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《关于在我省社会组织党员中开展“学党章党规、学系列讲话，做合格党员”学习教育的指导方案》（鄂学社组发</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2016</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1号）、</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湖北省财政厅、湖北省国土资源厅关于调整地方分成的新增建设用地土地有偿使用费分配方式的通知</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鄂财建发</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2007</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64号</w:t>
      </w:r>
      <w:r>
        <w:rPr>
          <w:rFonts w:hint="eastAsia" w:ascii="宋体" w:hAnsi="宋体" w:cs="宋体"/>
          <w:color w:val="auto"/>
          <w:sz w:val="28"/>
          <w:szCs w:val="28"/>
          <w:highlight w:val="none"/>
          <w:lang w:val="en-US" w:eastAsia="zh-CN"/>
        </w:rPr>
        <w:t>）等文件精神对基层党政工团、干部培训、妇联、人大政协、基层财政建设等工作进行管控，健全组织建设，提高基层组织服务水平。</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、财务管理情况</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val="en-US" w:eastAsia="zh-CN"/>
        </w:rPr>
        <w:t>基层组织经费是用于基层党政工团、干部培训、妇联、人大政协、基层财政建设等工作的专项资金</w:t>
      </w:r>
      <w:r>
        <w:rPr>
          <w:rFonts w:hint="eastAsia" w:ascii="宋体" w:hAnsi="宋体" w:cs="宋体"/>
          <w:color w:val="auto"/>
          <w:sz w:val="28"/>
          <w:szCs w:val="28"/>
          <w:highlight w:val="none"/>
          <w:lang w:eastAsia="zh-CN"/>
        </w:rPr>
        <w:t>，龙泉街道办事处除遵守国家及省市相关规定外，还制定了各项财经管理制度，对项目资金实行单独核算，资金拨付审批程序完整。</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（二）项目预算绩效目标的完成情况</w:t>
      </w:r>
    </w:p>
    <w:p>
      <w:pPr>
        <w:spacing w:after="0" w:line="600" w:lineRule="exact"/>
        <w:ind w:firstLine="560" w:firstLineChars="200"/>
        <w:jc w:val="both"/>
        <w:outlineLvl w:val="0"/>
        <w:rPr>
          <w:rFonts w:ascii="宋体" w:hAnsi="宋体"/>
          <w:color w:val="auto"/>
          <w:sz w:val="28"/>
          <w:szCs w:val="28"/>
          <w:highlight w:val="none"/>
          <w:lang w:eastAsia="zh-CN"/>
        </w:rPr>
      </w:pP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、产出目标</w:t>
      </w:r>
    </w:p>
    <w:tbl>
      <w:tblPr>
        <w:tblStyle w:val="5"/>
        <w:tblW w:w="8504" w:type="dxa"/>
        <w:jc w:val="center"/>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836"/>
        <w:gridCol w:w="1414"/>
        <w:gridCol w:w="2655"/>
        <w:gridCol w:w="1507"/>
        <w:gridCol w:w="2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PrEx>
        <w:trPr>
          <w:trHeight w:val="397" w:hRule="exact"/>
          <w:jc w:val="center"/>
        </w:trPr>
        <w:tc>
          <w:tcPr>
            <w:tcW w:w="8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一级指标</w:t>
            </w:r>
          </w:p>
        </w:tc>
        <w:tc>
          <w:tcPr>
            <w:tcW w:w="141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二级指标</w:t>
            </w: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指标内容</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目标值</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产出指标</w:t>
            </w:r>
          </w:p>
        </w:tc>
        <w:tc>
          <w:tcPr>
            <w:tcW w:w="1414"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数量指标</w:t>
            </w: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财务培训人数</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80人次</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80人次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开展党支部活动次数</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5</w:t>
            </w:r>
            <w:r>
              <w:rPr>
                <w:rFonts w:hint="eastAsia" w:ascii="宋体" w:hAnsi="宋体" w:cs="宋体"/>
                <w:i w:val="0"/>
                <w:color w:val="auto"/>
                <w:kern w:val="0"/>
                <w:sz w:val="20"/>
                <w:szCs w:val="20"/>
                <w:highlight w:val="none"/>
                <w:u w:val="none"/>
                <w:lang w:val="en-US" w:eastAsia="zh-CN" w:bidi="ar"/>
              </w:rPr>
              <w:t>4</w:t>
            </w:r>
            <w:r>
              <w:rPr>
                <w:rFonts w:hint="eastAsia" w:ascii="宋体" w:hAnsi="宋体" w:eastAsia="宋体" w:cs="宋体"/>
                <w:i w:val="0"/>
                <w:color w:val="auto"/>
                <w:kern w:val="0"/>
                <w:sz w:val="20"/>
                <w:szCs w:val="20"/>
                <w:highlight w:val="none"/>
                <w:u w:val="none"/>
                <w:lang w:val="en-US" w:eastAsia="zh-CN" w:bidi="ar"/>
              </w:rPr>
              <w:t>次</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54次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开展文体活动数量</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w:t>
            </w:r>
            <w:r>
              <w:rPr>
                <w:rFonts w:hint="eastAsia" w:ascii="宋体" w:hAnsi="宋体" w:cs="宋体"/>
                <w:i w:val="0"/>
                <w:color w:val="auto"/>
                <w:kern w:val="0"/>
                <w:sz w:val="20"/>
                <w:szCs w:val="20"/>
                <w:highlight w:val="none"/>
                <w:u w:val="none"/>
                <w:lang w:val="en-US" w:eastAsia="zh-CN" w:bidi="ar"/>
              </w:rPr>
              <w:t>8</w:t>
            </w:r>
            <w:r>
              <w:rPr>
                <w:rFonts w:hint="eastAsia" w:ascii="宋体" w:hAnsi="宋体" w:eastAsia="宋体" w:cs="宋体"/>
                <w:i w:val="0"/>
                <w:color w:val="auto"/>
                <w:kern w:val="0"/>
                <w:sz w:val="20"/>
                <w:szCs w:val="20"/>
                <w:highlight w:val="none"/>
                <w:u w:val="none"/>
                <w:lang w:val="en-US" w:eastAsia="zh-CN" w:bidi="ar"/>
              </w:rPr>
              <w:t>场次</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28场次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村干部、街道干部培训人数</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r>
              <w:rPr>
                <w:rFonts w:hint="eastAsia" w:ascii="宋体" w:hAnsi="宋体" w:cs="宋体"/>
                <w:i w:val="0"/>
                <w:color w:val="auto"/>
                <w:kern w:val="0"/>
                <w:sz w:val="20"/>
                <w:szCs w:val="20"/>
                <w:highlight w:val="none"/>
                <w:u w:val="none"/>
                <w:lang w:val="en-US" w:eastAsia="zh-CN" w:bidi="ar"/>
              </w:rPr>
              <w:t>,</w:t>
            </w:r>
            <w:r>
              <w:rPr>
                <w:rFonts w:hint="eastAsia" w:ascii="宋体" w:hAnsi="宋体" w:eastAsia="宋体" w:cs="宋体"/>
                <w:i w:val="0"/>
                <w:color w:val="auto"/>
                <w:kern w:val="0"/>
                <w:sz w:val="20"/>
                <w:szCs w:val="20"/>
                <w:highlight w:val="none"/>
                <w:u w:val="none"/>
                <w:lang w:val="en-US" w:eastAsia="zh-CN" w:bidi="ar"/>
              </w:rPr>
              <w:t>300人次</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w:t>
            </w:r>
            <w:r>
              <w:rPr>
                <w:rFonts w:hint="eastAsia" w:ascii="宋体" w:hAnsi="宋体" w:cs="宋体"/>
                <w:i w:val="0"/>
                <w:color w:val="auto"/>
                <w:kern w:val="0"/>
                <w:sz w:val="20"/>
                <w:szCs w:val="20"/>
                <w:highlight w:val="none"/>
                <w:u w:val="none"/>
                <w:lang w:val="en-US" w:eastAsia="zh-CN" w:bidi="ar"/>
              </w:rPr>
              <w:t>,</w:t>
            </w:r>
            <w:r>
              <w:rPr>
                <w:rFonts w:hint="eastAsia" w:ascii="宋体" w:hAnsi="宋体" w:eastAsia="宋体" w:cs="宋体"/>
                <w:i w:val="0"/>
                <w:color w:val="auto"/>
                <w:kern w:val="0"/>
                <w:sz w:val="20"/>
                <w:szCs w:val="20"/>
                <w:highlight w:val="none"/>
                <w:u w:val="none"/>
                <w:lang w:val="en-US" w:eastAsia="zh-CN" w:bidi="ar"/>
              </w:rPr>
              <w:t>300人次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开展纪检监察工作次数</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3</w:t>
            </w:r>
            <w:r>
              <w:rPr>
                <w:rFonts w:hint="eastAsia" w:ascii="宋体" w:hAnsi="宋体" w:cs="宋体"/>
                <w:i w:val="0"/>
                <w:color w:val="auto"/>
                <w:kern w:val="0"/>
                <w:sz w:val="20"/>
                <w:szCs w:val="20"/>
                <w:highlight w:val="none"/>
                <w:u w:val="none"/>
                <w:lang w:val="en-US" w:eastAsia="zh-CN" w:bidi="ar"/>
              </w:rPr>
              <w:t>2</w:t>
            </w:r>
            <w:r>
              <w:rPr>
                <w:rFonts w:hint="eastAsia" w:ascii="宋体" w:hAnsi="宋体" w:eastAsia="宋体" w:cs="宋体"/>
                <w:i w:val="0"/>
                <w:color w:val="auto"/>
                <w:kern w:val="0"/>
                <w:sz w:val="20"/>
                <w:szCs w:val="20"/>
                <w:highlight w:val="none"/>
                <w:u w:val="none"/>
                <w:lang w:val="en-US" w:eastAsia="zh-CN" w:bidi="ar"/>
              </w:rPr>
              <w:t>次</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32次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基本农田巡查管护面积</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50</w:t>
            </w:r>
            <w:r>
              <w:rPr>
                <w:rFonts w:hint="eastAsia" w:ascii="宋体" w:hAnsi="宋体" w:cs="宋体"/>
                <w:i w:val="0"/>
                <w:color w:val="auto"/>
                <w:kern w:val="0"/>
                <w:sz w:val="20"/>
                <w:szCs w:val="20"/>
                <w:highlight w:val="none"/>
                <w:u w:val="none"/>
                <w:lang w:val="en-US" w:eastAsia="zh-CN" w:bidi="ar"/>
              </w:rPr>
              <w:t>,</w:t>
            </w:r>
            <w:r>
              <w:rPr>
                <w:rFonts w:hint="eastAsia" w:ascii="宋体" w:hAnsi="宋体" w:eastAsia="宋体" w:cs="宋体"/>
                <w:i w:val="0"/>
                <w:color w:val="auto"/>
                <w:kern w:val="0"/>
                <w:sz w:val="20"/>
                <w:szCs w:val="20"/>
                <w:highlight w:val="none"/>
                <w:u w:val="none"/>
                <w:lang w:val="en-US" w:eastAsia="zh-CN" w:bidi="ar"/>
              </w:rPr>
              <w:t>040亩</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50</w:t>
            </w:r>
            <w:r>
              <w:rPr>
                <w:rFonts w:hint="eastAsia" w:ascii="宋体" w:hAnsi="宋体" w:cs="宋体"/>
                <w:i w:val="0"/>
                <w:color w:val="auto"/>
                <w:kern w:val="0"/>
                <w:sz w:val="20"/>
                <w:szCs w:val="20"/>
                <w:highlight w:val="none"/>
                <w:u w:val="none"/>
                <w:lang w:val="en-US" w:eastAsia="zh-CN" w:bidi="ar"/>
              </w:rPr>
              <w:t>,</w:t>
            </w:r>
            <w:r>
              <w:rPr>
                <w:rFonts w:hint="eastAsia" w:ascii="宋体" w:hAnsi="宋体" w:eastAsia="宋体" w:cs="宋体"/>
                <w:i w:val="0"/>
                <w:color w:val="auto"/>
                <w:kern w:val="0"/>
                <w:sz w:val="20"/>
                <w:szCs w:val="20"/>
                <w:highlight w:val="none"/>
                <w:u w:val="none"/>
                <w:lang w:val="en-US" w:eastAsia="zh-CN" w:bidi="ar"/>
              </w:rPr>
              <w:t>040亩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质量指标</w:t>
            </w: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资金使用合规率</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时效指标</w:t>
            </w: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重点工作完成及时率</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Ex>
        <w:trPr>
          <w:trHeight w:val="397" w:hRule="exact"/>
          <w:jc w:val="center"/>
        </w:trPr>
        <w:tc>
          <w:tcPr>
            <w:tcW w:w="836" w:type="dxa"/>
            <w:vMerge w:val="continue"/>
            <w:shd w:val="clear" w:color="auto" w:fill="auto"/>
            <w:vAlign w:val="center"/>
          </w:tcPr>
          <w:p>
            <w:pPr>
              <w:jc w:val="center"/>
              <w:rPr>
                <w:rFonts w:hint="eastAsia" w:ascii="宋体" w:hAnsi="宋体" w:eastAsia="宋体" w:cs="宋体"/>
                <w:i w:val="0"/>
                <w:color w:val="auto"/>
                <w:sz w:val="20"/>
                <w:szCs w:val="20"/>
                <w:highlight w:val="none"/>
                <w:u w:val="none"/>
              </w:rPr>
            </w:pPr>
          </w:p>
        </w:tc>
        <w:tc>
          <w:tcPr>
            <w:tcW w:w="141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成本指标</w:t>
            </w:r>
          </w:p>
        </w:tc>
        <w:tc>
          <w:tcPr>
            <w:tcW w:w="265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经费支出/年初申报金额</w:t>
            </w:r>
          </w:p>
        </w:tc>
        <w:tc>
          <w:tcPr>
            <w:tcW w:w="150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2092"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99.53%</w:t>
            </w:r>
          </w:p>
        </w:tc>
      </w:tr>
    </w:tbl>
    <w:p>
      <w:pPr>
        <w:spacing w:after="0" w:line="360" w:lineRule="auto"/>
        <w:ind w:firstLine="420" w:firstLineChars="200"/>
        <w:jc w:val="both"/>
        <w:rPr>
          <w:rFonts w:ascii="宋体" w:hAnsi="宋体"/>
          <w:color w:val="auto"/>
          <w:sz w:val="21"/>
          <w:szCs w:val="21"/>
          <w:highlight w:val="none"/>
          <w:lang w:eastAsia="zh-CN"/>
        </w:rPr>
      </w:pP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、效果目标</w:t>
      </w:r>
    </w:p>
    <w:p>
      <w:pPr>
        <w:spacing w:after="0" w:line="600" w:lineRule="exact"/>
        <w:ind w:firstLine="560" w:firstLineChars="200"/>
        <w:jc w:val="both"/>
        <w:rPr>
          <w:rFonts w:hint="eastAsia" w:ascii="宋体" w:hAnsi="宋体"/>
          <w:color w:val="auto"/>
          <w:sz w:val="28"/>
          <w:szCs w:val="28"/>
          <w:highlight w:val="none"/>
          <w:lang w:val="en-US" w:eastAsia="zh-CN"/>
        </w:rPr>
      </w:pPr>
      <w:r>
        <w:rPr>
          <w:rFonts w:hint="eastAsia" w:ascii="宋体" w:hAnsi="宋体"/>
          <w:color w:val="auto"/>
          <w:sz w:val="28"/>
          <w:szCs w:val="28"/>
          <w:highlight w:val="none"/>
          <w:lang w:val="en-US" w:eastAsia="zh-CN"/>
        </w:rPr>
        <w:t>龙泉街道办事处积极开展基层财政建设工作，2017年按照年初工作计划培训基层财务人员80人次，开展党支部活动54次，开展群众文体活动28场次，培训村干部、街道干部1,300人次，开展纪检监察工作32次，巡查管护基本农田50,040亩，资金使用合规，重点工作及时完成，促进了基层组织建设、提高了基层服务水平。</w:t>
      </w:r>
    </w:p>
    <w:p>
      <w:pPr>
        <w:spacing w:after="0" w:line="600" w:lineRule="exact"/>
        <w:jc w:val="both"/>
        <w:rPr>
          <w:rFonts w:ascii="宋体" w:hAnsi="宋体"/>
          <w:b/>
          <w:bCs/>
          <w:color w:val="auto"/>
          <w:sz w:val="28"/>
          <w:szCs w:val="28"/>
          <w:highlight w:val="none"/>
          <w:lang w:eastAsia="zh-CN"/>
        </w:rPr>
      </w:pPr>
      <w:r>
        <w:rPr>
          <w:rFonts w:hint="eastAsia" w:ascii="宋体" w:hAnsi="宋体" w:cs="宋体"/>
          <w:b/>
          <w:bCs/>
          <w:color w:val="auto"/>
          <w:sz w:val="28"/>
          <w:szCs w:val="28"/>
          <w:highlight w:val="none"/>
          <w:lang w:eastAsia="zh-CN"/>
        </w:rPr>
        <w:t>三、自评结论</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（一）自评结论</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武汉东湖新技术开发区龙泉街道办事处</w:t>
      </w: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w:t>
      </w:r>
      <w:r>
        <w:rPr>
          <w:rFonts w:hint="eastAsia" w:ascii="宋体" w:hAnsi="宋体" w:cs="宋体"/>
          <w:color w:val="auto"/>
          <w:sz w:val="28"/>
          <w:szCs w:val="28"/>
          <w:highlight w:val="none"/>
          <w:lang w:val="en-US" w:eastAsia="zh-CN"/>
        </w:rPr>
        <w:t>基层组织经费</w:t>
      </w:r>
      <w:r>
        <w:rPr>
          <w:rFonts w:hint="eastAsia" w:ascii="宋体" w:hAnsi="宋体" w:cs="宋体"/>
          <w:color w:val="auto"/>
          <w:sz w:val="28"/>
          <w:szCs w:val="28"/>
          <w:highlight w:val="none"/>
          <w:lang w:eastAsia="zh-CN"/>
        </w:rPr>
        <w:t>项目立项依据充分，项目绩效目标设置合理；项目财政资金按时足额拨付到位；项目的组织实施有序，程序到位；项目资金单独核算，资金的拨付审批程序和手续完整；</w:t>
      </w:r>
      <w:r>
        <w:rPr>
          <w:rFonts w:hint="eastAsia" w:ascii="宋体" w:hAnsi="宋体" w:cs="宋体"/>
          <w:color w:val="auto"/>
          <w:sz w:val="28"/>
          <w:szCs w:val="28"/>
          <w:highlight w:val="none"/>
          <w:lang w:val="en-US" w:eastAsia="zh-CN"/>
        </w:rPr>
        <w:t>有效租金了</w:t>
      </w:r>
      <w:r>
        <w:rPr>
          <w:rFonts w:hint="eastAsia" w:ascii="宋体" w:hAnsi="宋体" w:cs="宋体"/>
          <w:color w:val="auto"/>
          <w:sz w:val="28"/>
          <w:szCs w:val="28"/>
          <w:highlight w:val="none"/>
          <w:lang w:eastAsia="zh-CN"/>
        </w:rPr>
        <w:t>基层组织建设、提高了基层服务水平；</w:t>
      </w:r>
      <w:r>
        <w:rPr>
          <w:rFonts w:hint="eastAsia" w:ascii="宋体" w:hAnsi="宋体" w:cs="宋体"/>
          <w:color w:val="auto"/>
          <w:sz w:val="28"/>
          <w:szCs w:val="28"/>
          <w:highlight w:val="none"/>
          <w:lang w:val="en-US" w:eastAsia="zh-CN"/>
        </w:rPr>
        <w:t>各基层组织</w:t>
      </w:r>
      <w:r>
        <w:rPr>
          <w:rFonts w:hint="eastAsia" w:ascii="宋体" w:hAnsi="宋体" w:cs="宋体"/>
          <w:color w:val="auto"/>
          <w:sz w:val="28"/>
          <w:szCs w:val="28"/>
          <w:highlight w:val="none"/>
          <w:lang w:eastAsia="zh-CN"/>
        </w:rPr>
        <w:t>内部管理制度健全，项目经费可持续性基本满足项目可持续要求；社会公众满意度较高，项目的绩效目标基本实现。</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经综合分析，本项目评分得分为</w:t>
      </w:r>
      <w:r>
        <w:rPr>
          <w:rFonts w:ascii="宋体" w:hAnsi="宋体" w:cs="宋体"/>
          <w:color w:val="auto"/>
          <w:sz w:val="28"/>
          <w:szCs w:val="28"/>
          <w:highlight w:val="none"/>
          <w:lang w:eastAsia="zh-CN"/>
        </w:rPr>
        <w:t>86.00</w:t>
      </w:r>
      <w:r>
        <w:rPr>
          <w:rFonts w:hint="eastAsia" w:ascii="宋体" w:hAnsi="宋体" w:cs="宋体"/>
          <w:color w:val="auto"/>
          <w:sz w:val="28"/>
          <w:szCs w:val="28"/>
          <w:highlight w:val="none"/>
          <w:lang w:eastAsia="zh-CN"/>
        </w:rPr>
        <w:t>分，评分结果级别为：良好。各项指标得分情况如下：</w:t>
      </w:r>
    </w:p>
    <w:tbl>
      <w:tblPr>
        <w:tblStyle w:val="5"/>
        <w:tblW w:w="85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5"/>
        <w:gridCol w:w="1762"/>
        <w:gridCol w:w="1762"/>
        <w:gridCol w:w="1763"/>
        <w:gridCol w:w="2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序号</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指标</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分值</w:t>
            </w:r>
          </w:p>
        </w:tc>
        <w:tc>
          <w:tcPr>
            <w:tcW w:w="1763"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评价得分</w:t>
            </w:r>
          </w:p>
        </w:tc>
        <w:tc>
          <w:tcPr>
            <w:tcW w:w="220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投入管理</w:t>
            </w: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16.00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16.00</w:t>
            </w:r>
          </w:p>
        </w:tc>
        <w:tc>
          <w:tcPr>
            <w:tcW w:w="2202" w:type="dxa"/>
            <w:vMerge w:val="restart"/>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2</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过程管理</w:t>
            </w: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24.00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22.00</w:t>
            </w:r>
          </w:p>
        </w:tc>
        <w:tc>
          <w:tcPr>
            <w:tcW w:w="2202" w:type="dxa"/>
            <w:vMerge w:val="continue"/>
            <w:vAlign w:val="center"/>
          </w:tcPr>
          <w:p>
            <w:pPr>
              <w:spacing w:after="0" w:line="360" w:lineRule="auto"/>
              <w:ind w:firstLine="420" w:firstLineChars="200"/>
              <w:jc w:val="center"/>
              <w:rPr>
                <w:rFonts w:ascii="宋体" w:hAnsi="宋体"/>
                <w:color w:val="auto"/>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3</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项目绩效</w:t>
            </w: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60.00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48.00</w:t>
            </w:r>
          </w:p>
        </w:tc>
        <w:tc>
          <w:tcPr>
            <w:tcW w:w="2202" w:type="dxa"/>
            <w:vMerge w:val="continue"/>
            <w:vAlign w:val="center"/>
          </w:tcPr>
          <w:p>
            <w:pPr>
              <w:spacing w:after="0" w:line="360" w:lineRule="auto"/>
              <w:ind w:firstLine="420" w:firstLineChars="200"/>
              <w:jc w:val="center"/>
              <w:rPr>
                <w:rFonts w:ascii="宋体" w:hAnsi="宋体"/>
                <w:color w:val="auto"/>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合计</w:t>
            </w:r>
          </w:p>
        </w:tc>
        <w:tc>
          <w:tcPr>
            <w:tcW w:w="1762" w:type="dxa"/>
            <w:vAlign w:val="center"/>
          </w:tcPr>
          <w:p>
            <w:pPr>
              <w:spacing w:after="0" w:line="360" w:lineRule="auto"/>
              <w:jc w:val="center"/>
              <w:rPr>
                <w:rFonts w:ascii="宋体" w:hAnsi="宋体"/>
                <w:color w:val="auto"/>
                <w:sz w:val="21"/>
                <w:szCs w:val="21"/>
                <w:highlight w:val="none"/>
                <w:lang w:eastAsia="zh-CN"/>
              </w:rPr>
            </w:pP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100.00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86.00</w:t>
            </w:r>
          </w:p>
        </w:tc>
        <w:tc>
          <w:tcPr>
            <w:tcW w:w="2202" w:type="dxa"/>
            <w:vMerge w:val="continue"/>
            <w:vAlign w:val="center"/>
          </w:tcPr>
          <w:p>
            <w:pPr>
              <w:spacing w:after="0" w:line="360" w:lineRule="auto"/>
              <w:ind w:firstLine="420" w:firstLineChars="200"/>
              <w:jc w:val="center"/>
              <w:rPr>
                <w:rFonts w:ascii="宋体" w:hAnsi="宋体"/>
                <w:color w:val="auto"/>
                <w:sz w:val="21"/>
                <w:szCs w:val="21"/>
                <w:highlight w:val="none"/>
                <w:lang w:eastAsia="zh-CN"/>
              </w:rPr>
            </w:pPr>
          </w:p>
        </w:tc>
      </w:tr>
    </w:tbl>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（二）主要经验</w:t>
      </w:r>
      <w:r>
        <w:rPr>
          <w:color w:val="auto"/>
          <w:sz w:val="28"/>
          <w:szCs w:val="28"/>
          <w:highlight w:val="none"/>
          <w:lang w:eastAsia="zh-CN"/>
        </w:rPr>
        <w:t>,</w:t>
      </w:r>
      <w:r>
        <w:rPr>
          <w:rFonts w:hint="eastAsia" w:cs="宋体"/>
          <w:color w:val="auto"/>
          <w:sz w:val="28"/>
          <w:szCs w:val="28"/>
          <w:highlight w:val="none"/>
          <w:lang w:eastAsia="zh-CN"/>
        </w:rPr>
        <w:t>存在的问题和改进措施</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、主要经验和做法</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加强基层支部建设，对全街13个村按照标准和要求进行统一整治提升，一村一策，突出党务、村务规范建设，规范村级“三资”管理；加强党员教育培训，依托“主题党日”活动、远程教育站点、党员活动室、农家书屋、道德讲堂等阵地，充分利用现代媒体灵活便捷的优势，推动党员教育常态化；积极开展活动，干群文化生活水平不断提高；认真落实党风廉政建设主体责任，确保党风廉政建设责任制落到实处；加大日常巡查监管力度,</w:t>
      </w:r>
      <w:r>
        <w:rPr>
          <w:rFonts w:hint="eastAsia" w:ascii="宋体" w:hAnsi="宋体" w:cs="宋体"/>
          <w:color w:val="auto"/>
          <w:sz w:val="28"/>
          <w:szCs w:val="28"/>
          <w:highlight w:val="none"/>
          <w:lang w:val="en-US" w:eastAsia="zh-CN"/>
        </w:rPr>
        <w:t>确保基本农田巡查管护到位；</w:t>
      </w:r>
      <w:r>
        <w:rPr>
          <w:rFonts w:hint="eastAsia" w:ascii="宋体" w:hAnsi="宋体" w:cs="宋体"/>
          <w:color w:val="auto"/>
          <w:sz w:val="28"/>
          <w:szCs w:val="28"/>
          <w:highlight w:val="none"/>
          <w:lang w:eastAsia="zh-CN"/>
        </w:rPr>
        <w:t>健全组织建设，基层服务阵地作用不断强化。</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、存在问题</w:t>
      </w:r>
    </w:p>
    <w:p>
      <w:pPr>
        <w:spacing w:after="0" w:line="600" w:lineRule="exact"/>
        <w:ind w:firstLine="560" w:firstLineChars="200"/>
        <w:jc w:val="both"/>
        <w:rPr>
          <w:rFonts w:ascii="宋体" w:hAnsi="宋体" w:cs="宋体"/>
          <w:color w:val="auto"/>
          <w:sz w:val="28"/>
          <w:szCs w:val="28"/>
          <w:highlight w:val="none"/>
          <w:lang w:eastAsia="zh-CN"/>
        </w:rPr>
      </w:pPr>
      <w:r>
        <w:rPr>
          <w:rFonts w:ascii="宋体" w:hAnsi="宋体" w:cs="宋体"/>
          <w:color w:val="auto"/>
          <w:sz w:val="28"/>
          <w:szCs w:val="28"/>
          <w:highlight w:val="none"/>
          <w:lang w:eastAsia="zh-CN"/>
        </w:rPr>
        <w:t xml:space="preserve"> </w:t>
      </w:r>
      <w:r>
        <w:rPr>
          <w:rFonts w:hint="eastAsia" w:ascii="宋体" w:hAnsi="宋体" w:cs="宋体"/>
          <w:color w:val="auto"/>
          <w:sz w:val="28"/>
          <w:szCs w:val="28"/>
          <w:highlight w:val="none"/>
          <w:lang w:val="en-US" w:eastAsia="zh-CN"/>
        </w:rPr>
        <w:t>绩效意识不强，部分</w:t>
      </w:r>
      <w:r>
        <w:rPr>
          <w:rFonts w:hint="eastAsia" w:ascii="宋体" w:hAnsi="宋体" w:cs="宋体"/>
          <w:color w:val="auto"/>
          <w:sz w:val="28"/>
          <w:szCs w:val="28"/>
          <w:highlight w:val="none"/>
          <w:lang w:eastAsia="zh-CN"/>
        </w:rPr>
        <w:t>项目单位申请预算时，绩效目标申报</w:t>
      </w:r>
      <w:r>
        <w:rPr>
          <w:rFonts w:hint="eastAsia" w:ascii="宋体" w:hAnsi="宋体" w:cs="宋体"/>
          <w:color w:val="auto"/>
          <w:sz w:val="28"/>
          <w:szCs w:val="28"/>
          <w:highlight w:val="none"/>
          <w:lang w:val="en-US" w:eastAsia="zh-CN"/>
        </w:rPr>
        <w:t>的</w:t>
      </w:r>
      <w:r>
        <w:rPr>
          <w:rFonts w:hint="eastAsia" w:ascii="宋体" w:hAnsi="宋体" w:cs="宋体"/>
          <w:color w:val="auto"/>
          <w:sz w:val="28"/>
          <w:szCs w:val="28"/>
          <w:highlight w:val="none"/>
          <w:lang w:eastAsia="zh-CN"/>
        </w:rPr>
        <w:t>指标</w:t>
      </w:r>
      <w:r>
        <w:rPr>
          <w:rFonts w:hint="eastAsia" w:ascii="宋体" w:hAnsi="宋体" w:cs="宋体"/>
          <w:color w:val="auto"/>
          <w:sz w:val="28"/>
          <w:szCs w:val="28"/>
          <w:highlight w:val="none"/>
          <w:lang w:val="en-US" w:eastAsia="zh-CN"/>
        </w:rPr>
        <w:t>不够</w:t>
      </w:r>
      <w:r>
        <w:rPr>
          <w:rFonts w:hint="eastAsia" w:ascii="宋体" w:hAnsi="宋体" w:cs="宋体"/>
          <w:color w:val="auto"/>
          <w:sz w:val="28"/>
          <w:szCs w:val="28"/>
          <w:highlight w:val="none"/>
          <w:lang w:eastAsia="zh-CN"/>
        </w:rPr>
        <w:t>明确、具体，</w:t>
      </w:r>
      <w:r>
        <w:rPr>
          <w:rFonts w:hint="eastAsia" w:ascii="宋体" w:hAnsi="宋体" w:cs="宋体"/>
          <w:color w:val="auto"/>
          <w:sz w:val="28"/>
          <w:szCs w:val="28"/>
          <w:highlight w:val="none"/>
          <w:lang w:val="en-US" w:eastAsia="zh-CN"/>
        </w:rPr>
        <w:t>不利于项目的绩效考评和绩效评价结果的应用。</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3</w:t>
      </w:r>
      <w:r>
        <w:rPr>
          <w:rFonts w:hint="eastAsia" w:ascii="宋体" w:hAnsi="宋体" w:cs="宋体"/>
          <w:b/>
          <w:bCs/>
          <w:color w:val="auto"/>
          <w:sz w:val="28"/>
          <w:szCs w:val="28"/>
          <w:highlight w:val="none"/>
          <w:lang w:eastAsia="zh-CN"/>
        </w:rPr>
        <w:t>、建议</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olor w:val="auto"/>
          <w:sz w:val="28"/>
          <w:szCs w:val="28"/>
          <w:highlight w:val="none"/>
          <w:lang w:eastAsia="zh-CN"/>
        </w:rPr>
        <w:t>进一步完善专项资金项目绩效评价指标体系，增强项目绩效目标的细化和可衡量性，根据项目的实际特点，加强项目资金预算编制的科学性、针对性；</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720"/>
  <w:doNotHyphenateCaps/>
  <w:displayHorizontalDrawingGridEvery w:val="1"/>
  <w:displayVerticalDrawingGridEvery w:val="1"/>
  <w:noPunctuationKerning w:val="1"/>
  <w:characterSpacingControl w:val="doNotCompress"/>
  <w:noLineBreaksAfter w:lang="zh-CN" w:val="$([{£¥·‘“〈《「『【〔〖〝﹙﹛﹝＄（．［｛￡￥"/>
  <w:noLineBreaksBefore w:lang="zh-CN" w:val="!%),.:;&gt;?]}¢¨°·ˇˉ―‖’”…‰′″›℃∶、。〃〉》」』】〕〗〞︶︺︾﹀﹄﹚﹜﹞！＂％＇），．：；？］｀｜｝～￠"/>
  <w:doNotValidateAgainstSchema/>
  <w:doNotDemarcateInvalidXml/>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AF2"/>
    <w:rsid w:val="00106BA7"/>
    <w:rsid w:val="00195812"/>
    <w:rsid w:val="00264F96"/>
    <w:rsid w:val="002E6B71"/>
    <w:rsid w:val="00377674"/>
    <w:rsid w:val="006F258B"/>
    <w:rsid w:val="00A02F19"/>
    <w:rsid w:val="00A94AF2"/>
    <w:rsid w:val="0180705A"/>
    <w:rsid w:val="037C2FD1"/>
    <w:rsid w:val="051D6F89"/>
    <w:rsid w:val="05AE11B6"/>
    <w:rsid w:val="06452247"/>
    <w:rsid w:val="0753460C"/>
    <w:rsid w:val="09114A5C"/>
    <w:rsid w:val="09617587"/>
    <w:rsid w:val="0AD802D8"/>
    <w:rsid w:val="0D4D62B1"/>
    <w:rsid w:val="0E6D60AF"/>
    <w:rsid w:val="172B78C6"/>
    <w:rsid w:val="184D49E3"/>
    <w:rsid w:val="1A7B6636"/>
    <w:rsid w:val="1B3D39F0"/>
    <w:rsid w:val="1BEB4E0B"/>
    <w:rsid w:val="1DD74048"/>
    <w:rsid w:val="1E52118E"/>
    <w:rsid w:val="1E6A0B5F"/>
    <w:rsid w:val="1EF86EFA"/>
    <w:rsid w:val="2048173E"/>
    <w:rsid w:val="21B72B7C"/>
    <w:rsid w:val="232A545E"/>
    <w:rsid w:val="23A9193C"/>
    <w:rsid w:val="23AE175E"/>
    <w:rsid w:val="244F07B3"/>
    <w:rsid w:val="24D96220"/>
    <w:rsid w:val="24FC1F7D"/>
    <w:rsid w:val="25BC2C6E"/>
    <w:rsid w:val="25CC2A95"/>
    <w:rsid w:val="27812ADC"/>
    <w:rsid w:val="27913E4E"/>
    <w:rsid w:val="283C29A7"/>
    <w:rsid w:val="28647AC6"/>
    <w:rsid w:val="2898687E"/>
    <w:rsid w:val="2B613563"/>
    <w:rsid w:val="2C0E7FED"/>
    <w:rsid w:val="2C947258"/>
    <w:rsid w:val="2D4F7AAC"/>
    <w:rsid w:val="2DE80CE1"/>
    <w:rsid w:val="2DF336E3"/>
    <w:rsid w:val="2F270ECE"/>
    <w:rsid w:val="2F5576BF"/>
    <w:rsid w:val="30BC229C"/>
    <w:rsid w:val="310A62F0"/>
    <w:rsid w:val="3141263A"/>
    <w:rsid w:val="331705EB"/>
    <w:rsid w:val="333C27FE"/>
    <w:rsid w:val="33D32196"/>
    <w:rsid w:val="38DE4202"/>
    <w:rsid w:val="38FD4FC6"/>
    <w:rsid w:val="39310794"/>
    <w:rsid w:val="3B1C3959"/>
    <w:rsid w:val="3B7822F1"/>
    <w:rsid w:val="3B877383"/>
    <w:rsid w:val="3BA73176"/>
    <w:rsid w:val="3DB54B7B"/>
    <w:rsid w:val="3DC07B90"/>
    <w:rsid w:val="3EEC468D"/>
    <w:rsid w:val="3F410EDC"/>
    <w:rsid w:val="407140B4"/>
    <w:rsid w:val="43472EF6"/>
    <w:rsid w:val="43B222C1"/>
    <w:rsid w:val="4417077C"/>
    <w:rsid w:val="44787A6D"/>
    <w:rsid w:val="44D06F09"/>
    <w:rsid w:val="45E235BE"/>
    <w:rsid w:val="46254C4E"/>
    <w:rsid w:val="48422DDC"/>
    <w:rsid w:val="4A3330B8"/>
    <w:rsid w:val="4AAF698D"/>
    <w:rsid w:val="4B715F70"/>
    <w:rsid w:val="4BDC10EF"/>
    <w:rsid w:val="4C311132"/>
    <w:rsid w:val="4C995DD2"/>
    <w:rsid w:val="4F3C42A2"/>
    <w:rsid w:val="50D62312"/>
    <w:rsid w:val="51AB3C21"/>
    <w:rsid w:val="54F73A76"/>
    <w:rsid w:val="55EE18E8"/>
    <w:rsid w:val="564B31CA"/>
    <w:rsid w:val="59CE6174"/>
    <w:rsid w:val="5B1561BE"/>
    <w:rsid w:val="5B947FFF"/>
    <w:rsid w:val="5E116D37"/>
    <w:rsid w:val="5E594D72"/>
    <w:rsid w:val="5E672AE2"/>
    <w:rsid w:val="5F952EA6"/>
    <w:rsid w:val="5FBE02A2"/>
    <w:rsid w:val="60C73AC6"/>
    <w:rsid w:val="61CB28E9"/>
    <w:rsid w:val="62A66F71"/>
    <w:rsid w:val="62CF28FE"/>
    <w:rsid w:val="631A4086"/>
    <w:rsid w:val="63F96477"/>
    <w:rsid w:val="658459DA"/>
    <w:rsid w:val="66C97BA3"/>
    <w:rsid w:val="67C13875"/>
    <w:rsid w:val="6A6F02E7"/>
    <w:rsid w:val="6AB9136E"/>
    <w:rsid w:val="6BD05579"/>
    <w:rsid w:val="6C522576"/>
    <w:rsid w:val="6D721C24"/>
    <w:rsid w:val="6D74654C"/>
    <w:rsid w:val="6DAC4982"/>
    <w:rsid w:val="6E0E0FD5"/>
    <w:rsid w:val="6F311E89"/>
    <w:rsid w:val="70F93FB5"/>
    <w:rsid w:val="73735F25"/>
    <w:rsid w:val="74346FD9"/>
    <w:rsid w:val="754770FF"/>
    <w:rsid w:val="75625E53"/>
    <w:rsid w:val="77C16C82"/>
    <w:rsid w:val="79C3517A"/>
    <w:rsid w:val="7A2A42AC"/>
    <w:rsid w:val="7B2D2427"/>
    <w:rsid w:val="7CB947F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Calibri"/>
      <w:kern w:val="0"/>
      <w:sz w:val="22"/>
      <w:szCs w:val="22"/>
      <w:lang w:val="en-US" w:eastAsia="en-US" w:bidi="ar-SA"/>
    </w:rPr>
  </w:style>
  <w:style w:type="paragraph" w:styleId="2">
    <w:name w:val="heading 3"/>
    <w:basedOn w:val="1"/>
    <w:next w:val="1"/>
    <w:link w:val="6"/>
    <w:qFormat/>
    <w:locked/>
    <w:uiPriority w:val="99"/>
    <w:pPr>
      <w:keepNext/>
      <w:keepLines/>
      <w:spacing w:before="260" w:after="260" w:line="416" w:lineRule="auto"/>
      <w:outlineLvl w:val="2"/>
    </w:pPr>
    <w:rPr>
      <w:b/>
      <w:bCs/>
      <w:sz w:val="32"/>
      <w:szCs w:val="32"/>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8"/>
    <w:semiHidden/>
    <w:uiPriority w:val="99"/>
    <w:pPr>
      <w:shd w:val="clear" w:color="auto" w:fill="000080"/>
    </w:pPr>
  </w:style>
  <w:style w:type="character" w:customStyle="1" w:styleId="6">
    <w:name w:val="Heading 3 Char"/>
    <w:basedOn w:val="4"/>
    <w:link w:val="2"/>
    <w:semiHidden/>
    <w:qFormat/>
    <w:uiPriority w:val="9"/>
    <w:rPr>
      <w:rFonts w:ascii="Calibri" w:hAnsi="Calibri" w:cs="Calibri"/>
      <w:b/>
      <w:bCs/>
      <w:kern w:val="0"/>
      <w:sz w:val="32"/>
      <w:szCs w:val="32"/>
      <w:lang w:eastAsia="en-US"/>
    </w:rPr>
  </w:style>
  <w:style w:type="paragraph" w:customStyle="1" w:styleId="7">
    <w:name w:val="列出段落1"/>
    <w:basedOn w:val="1"/>
    <w:qFormat/>
    <w:uiPriority w:val="99"/>
    <w:pPr>
      <w:ind w:firstLine="420" w:firstLineChars="200"/>
    </w:pPr>
  </w:style>
  <w:style w:type="character" w:customStyle="1" w:styleId="8">
    <w:name w:val="Document Map Char"/>
    <w:basedOn w:val="4"/>
    <w:link w:val="3"/>
    <w:semiHidden/>
    <w:uiPriority w:val="99"/>
    <w:rPr>
      <w:kern w:val="0"/>
      <w:sz w:val="0"/>
      <w:szCs w:val="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officegen</Company>
  <Pages>7</Pages>
  <Words>470</Words>
  <Characters>2681</Characters>
  <Lines>0</Lines>
  <Paragraphs>0</Paragraphs>
  <TotalTime>43</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2018-05-30T08:35:21Z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