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Lines="100" w:afterLines="100" w:line="560" w:lineRule="atLeast"/>
        <w:ind w:left="420" w:firstLine="646"/>
        <w:jc w:val="both"/>
        <w:rPr>
          <w:rFonts w:ascii="宋体" w:hAnsi="宋体" w:eastAsia="宋体"/>
          <w:b/>
          <w:color w:val="auto"/>
          <w:w w:val="90"/>
          <w:kern w:val="44"/>
          <w:sz w:val="36"/>
          <w:szCs w:val="36"/>
          <w:highlight w:val="none"/>
        </w:rPr>
      </w:pPr>
      <w:r>
        <w:rPr>
          <w:rFonts w:ascii="宋体" w:hAnsi="宋体" w:eastAsia="宋体"/>
          <w:b/>
          <w:color w:val="auto"/>
          <w:w w:val="90"/>
          <w:kern w:val="44"/>
          <w:sz w:val="36"/>
          <w:szCs w:val="36"/>
          <w:highlight w:val="none"/>
        </w:rPr>
        <w:t>武汉东湖新技术开发区预算项目绩效自评报告</w:t>
      </w:r>
      <w:r>
        <w:rPr>
          <w:rFonts w:hint="eastAsia" w:ascii="宋体" w:hAnsi="宋体" w:eastAsia="宋体"/>
          <w:b/>
          <w:color w:val="auto"/>
          <w:w w:val="90"/>
          <w:kern w:val="44"/>
          <w:sz w:val="36"/>
          <w:szCs w:val="36"/>
          <w:highlight w:val="none"/>
        </w:rPr>
        <w:t xml:space="preserve"> </w:t>
      </w:r>
    </w:p>
    <w:p>
      <w:pPr>
        <w:snapToGrid w:val="0"/>
        <w:spacing w:before="156" w:after="156" w:line="600" w:lineRule="atLeast"/>
        <w:ind w:left="420" w:right="24"/>
        <w:jc w:val="left"/>
        <w:rPr>
          <w:rFonts w:ascii="仿宋_GB2312" w:eastAsia="仿宋_GB2312"/>
          <w:b/>
          <w:color w:val="auto"/>
          <w:sz w:val="32"/>
          <w:highlight w:val="none"/>
        </w:rPr>
      </w:pPr>
    </w:p>
    <w:p>
      <w:pPr>
        <w:snapToGrid w:val="0"/>
        <w:spacing w:before="156" w:after="156" w:line="600" w:lineRule="atLeast"/>
        <w:ind w:left="420" w:right="24"/>
        <w:jc w:val="left"/>
        <w:rPr>
          <w:rFonts w:ascii="仿宋_GB2312" w:eastAsia="仿宋_GB2312"/>
          <w:b/>
          <w:color w:val="auto"/>
          <w:sz w:val="32"/>
          <w:highlight w:val="none"/>
        </w:rPr>
      </w:pPr>
    </w:p>
    <w:p>
      <w:pPr>
        <w:snapToGrid w:val="0"/>
        <w:spacing w:before="156" w:after="156" w:line="600" w:lineRule="atLeast"/>
        <w:ind w:left="420" w:right="24"/>
        <w:jc w:val="center"/>
        <w:rPr>
          <w:rFonts w:ascii="仿宋_GB2312" w:eastAsia="仿宋_GB2312"/>
          <w:b/>
          <w:color w:val="auto"/>
          <w:sz w:val="32"/>
          <w:highlight w:val="none"/>
        </w:rPr>
      </w:pPr>
    </w:p>
    <w:p>
      <w:pPr>
        <w:spacing w:before="156" w:after="156"/>
        <w:ind w:left="420"/>
        <w:rPr>
          <w:rFonts w:ascii="仿宋_GB2312"/>
          <w:b/>
          <w:color w:val="auto"/>
          <w:szCs w:val="32"/>
          <w:highlight w:val="none"/>
        </w:rPr>
      </w:pPr>
    </w:p>
    <w:p>
      <w:pPr>
        <w:spacing w:before="156" w:after="156"/>
        <w:ind w:left="420"/>
        <w:rPr>
          <w:rFonts w:ascii="仿宋_GB2312"/>
          <w:b/>
          <w:color w:val="auto"/>
          <w:szCs w:val="32"/>
          <w:highlight w:val="none"/>
        </w:rPr>
      </w:pPr>
    </w:p>
    <w:p>
      <w:pPr>
        <w:spacing w:before="156" w:after="156"/>
        <w:ind w:left="420"/>
        <w:rPr>
          <w:rFonts w:ascii="仿宋_GB2312"/>
          <w:b/>
          <w:color w:val="auto"/>
          <w:sz w:val="36"/>
          <w:szCs w:val="36"/>
          <w:highlight w:val="none"/>
        </w:rPr>
      </w:pPr>
    </w:p>
    <w:p>
      <w:pPr>
        <w:spacing w:beforeLines="100" w:afterLines="100"/>
        <w:ind w:left="420"/>
        <w:rPr>
          <w:rFonts w:ascii="宋体" w:hAnsi="宋体" w:eastAsia="宋体"/>
          <w:b/>
          <w:color w:val="auto"/>
          <w:sz w:val="36"/>
          <w:szCs w:val="36"/>
          <w:highlight w:val="none"/>
          <w:u w:val="single"/>
        </w:rPr>
      </w:pPr>
      <w:r>
        <w:rPr>
          <w:rFonts w:hint="eastAsia" w:ascii="仿宋_GB2312"/>
          <w:b/>
          <w:color w:val="auto"/>
          <w:sz w:val="36"/>
          <w:szCs w:val="36"/>
          <w:highlight w:val="none"/>
        </w:rPr>
        <w:t xml:space="preserve">    </w:t>
      </w:r>
      <w:r>
        <w:rPr>
          <w:rFonts w:hint="eastAsia" w:ascii="宋体" w:hAnsi="宋体" w:eastAsia="宋体"/>
          <w:b/>
          <w:color w:val="auto"/>
          <w:sz w:val="36"/>
          <w:szCs w:val="36"/>
          <w:highlight w:val="none"/>
        </w:rPr>
        <w:t xml:space="preserve"> </w:t>
      </w:r>
      <w:r>
        <w:rPr>
          <w:rFonts w:hint="eastAsia" w:ascii="宋体" w:hAnsi="宋体" w:eastAsia="宋体"/>
          <w:b/>
          <w:bCs/>
          <w:color w:val="auto"/>
          <w:sz w:val="36"/>
          <w:szCs w:val="36"/>
          <w:highlight w:val="none"/>
        </w:rPr>
        <w:t xml:space="preserve">项目名称：  </w:t>
      </w:r>
      <w:r>
        <w:rPr>
          <w:rFonts w:hint="eastAsia" w:ascii="宋体" w:hAnsi="宋体" w:eastAsia="宋体"/>
          <w:b/>
          <w:bCs/>
          <w:color w:val="auto"/>
          <w:sz w:val="36"/>
          <w:szCs w:val="36"/>
          <w:highlight w:val="none"/>
          <w:u w:val="single"/>
        </w:rPr>
        <w:t xml:space="preserve">       办案费                </w:t>
      </w:r>
    </w:p>
    <w:p>
      <w:pPr>
        <w:spacing w:beforeLines="100" w:afterLines="100"/>
        <w:ind w:left="420" w:firstLine="885" w:firstLineChars="245"/>
        <w:rPr>
          <w:rFonts w:ascii="宋体" w:hAnsi="宋体" w:eastAsia="宋体"/>
          <w:b/>
          <w:color w:val="auto"/>
          <w:sz w:val="36"/>
          <w:szCs w:val="36"/>
          <w:highlight w:val="none"/>
          <w:u w:val="single"/>
        </w:rPr>
      </w:pPr>
      <w:r>
        <w:rPr>
          <w:rFonts w:hint="eastAsia" w:ascii="宋体" w:hAnsi="宋体" w:eastAsia="宋体"/>
          <w:b/>
          <w:bCs/>
          <w:color w:val="auto"/>
          <w:sz w:val="36"/>
          <w:szCs w:val="36"/>
          <w:highlight w:val="none"/>
        </w:rPr>
        <w:t xml:space="preserve">项目单位： </w:t>
      </w:r>
      <w:r>
        <w:rPr>
          <w:rFonts w:hint="eastAsia" w:ascii="宋体" w:hAnsi="宋体" w:eastAsia="宋体"/>
          <w:b/>
          <w:bCs/>
          <w:color w:val="auto"/>
          <w:sz w:val="30"/>
          <w:szCs w:val="30"/>
          <w:highlight w:val="none"/>
          <w:u w:val="single"/>
        </w:rPr>
        <w:t xml:space="preserve">武汉市公安局武汉东湖新技术开发区分局 </w:t>
      </w:r>
    </w:p>
    <w:p>
      <w:pPr>
        <w:spacing w:beforeLines="100" w:afterLines="100"/>
        <w:ind w:left="420" w:firstLine="964" w:firstLineChars="300"/>
        <w:rPr>
          <w:rFonts w:ascii="宋体" w:hAnsi="宋体" w:eastAsia="宋体"/>
          <w:b/>
          <w:bCs/>
          <w:color w:val="auto"/>
          <w:sz w:val="30"/>
          <w:szCs w:val="30"/>
          <w:highlight w:val="none"/>
          <w:u w:val="single"/>
        </w:rPr>
      </w:pPr>
      <w:r>
        <w:rPr>
          <w:rFonts w:hint="eastAsia" w:ascii="宋体" w:hAnsi="宋体" w:eastAsia="宋体"/>
          <w:b/>
          <w:bCs/>
          <w:color w:val="auto"/>
          <w:sz w:val="32"/>
          <w:szCs w:val="32"/>
          <w:highlight w:val="none"/>
        </w:rPr>
        <w:t>区财政局主管业务科室</w:t>
      </w:r>
      <w:r>
        <w:rPr>
          <w:rFonts w:hint="eastAsia" w:ascii="宋体" w:hAnsi="宋体" w:eastAsia="宋体"/>
          <w:b/>
          <w:bCs/>
          <w:color w:val="auto"/>
          <w:sz w:val="30"/>
          <w:szCs w:val="30"/>
          <w:highlight w:val="none"/>
        </w:rPr>
        <w:t>：</w:t>
      </w:r>
      <w:r>
        <w:rPr>
          <w:rFonts w:hint="eastAsia" w:ascii="宋体" w:hAnsi="宋体" w:eastAsia="宋体"/>
          <w:b/>
          <w:bCs/>
          <w:color w:val="auto"/>
          <w:sz w:val="30"/>
          <w:szCs w:val="30"/>
          <w:highlight w:val="none"/>
          <w:u w:val="single"/>
        </w:rPr>
        <w:t xml:space="preserve"> 东湖高新区财政局行财科  </w:t>
      </w:r>
    </w:p>
    <w:p>
      <w:pPr>
        <w:spacing w:beforeLines="100" w:afterLines="100"/>
        <w:ind w:left="420" w:firstLine="904" w:firstLineChars="250"/>
        <w:rPr>
          <w:rFonts w:ascii="宋体" w:hAnsi="宋体" w:eastAsia="宋体"/>
          <w:b/>
          <w:bCs/>
          <w:color w:val="auto"/>
          <w:sz w:val="36"/>
          <w:szCs w:val="36"/>
          <w:highlight w:val="none"/>
          <w:u w:val="single"/>
        </w:rPr>
      </w:pPr>
      <w:r>
        <w:rPr>
          <w:rFonts w:hint="eastAsia" w:ascii="宋体" w:hAnsi="宋体" w:eastAsia="宋体"/>
          <w:b/>
          <w:bCs/>
          <w:color w:val="auto"/>
          <w:sz w:val="36"/>
          <w:szCs w:val="36"/>
          <w:highlight w:val="none"/>
        </w:rPr>
        <w:t xml:space="preserve">评价机构： </w:t>
      </w:r>
      <w:r>
        <w:rPr>
          <w:rFonts w:hint="eastAsia" w:ascii="宋体" w:hAnsi="宋体" w:eastAsia="宋体"/>
          <w:b/>
          <w:bCs/>
          <w:color w:val="auto"/>
          <w:sz w:val="36"/>
          <w:szCs w:val="36"/>
          <w:highlight w:val="none"/>
          <w:u w:val="single"/>
        </w:rPr>
        <w:t xml:space="preserve">  </w:t>
      </w:r>
      <w:r>
        <w:rPr>
          <w:rFonts w:hint="eastAsia" w:ascii="宋体" w:hAnsi="宋体" w:eastAsia="宋体"/>
          <w:b/>
          <w:bCs/>
          <w:color w:val="auto"/>
          <w:sz w:val="30"/>
          <w:szCs w:val="30"/>
          <w:highlight w:val="none"/>
          <w:u w:val="single"/>
        </w:rPr>
        <w:t xml:space="preserve">湖北中信会计师事务有限责任公司  </w:t>
      </w:r>
      <w:r>
        <w:rPr>
          <w:rFonts w:hint="eastAsia" w:ascii="宋体" w:hAnsi="宋体" w:eastAsia="宋体"/>
          <w:b/>
          <w:bCs/>
          <w:color w:val="auto"/>
          <w:sz w:val="36"/>
          <w:szCs w:val="36"/>
          <w:highlight w:val="none"/>
          <w:u w:val="single"/>
        </w:rPr>
        <w:t xml:space="preserve"> </w:t>
      </w:r>
    </w:p>
    <w:p>
      <w:pPr>
        <w:spacing w:before="156" w:after="156"/>
        <w:ind w:left="420" w:firstLine="900" w:firstLineChars="250"/>
        <w:rPr>
          <w:rFonts w:ascii="黑体" w:eastAsia="黑体"/>
          <w:bCs/>
          <w:color w:val="auto"/>
          <w:sz w:val="36"/>
          <w:szCs w:val="36"/>
          <w:highlight w:val="none"/>
        </w:rPr>
      </w:pPr>
    </w:p>
    <w:p>
      <w:pPr>
        <w:spacing w:before="156" w:after="156"/>
        <w:ind w:left="420"/>
        <w:jc w:val="center"/>
        <w:rPr>
          <w:rFonts w:ascii="Times New Roman" w:cs="Times New Roman"/>
          <w:b/>
          <w:color w:val="auto"/>
          <w:sz w:val="30"/>
          <w:szCs w:val="30"/>
          <w:highlight w:val="none"/>
        </w:rPr>
      </w:pPr>
    </w:p>
    <w:p>
      <w:pPr>
        <w:spacing w:before="156" w:after="156"/>
        <w:ind w:left="420"/>
        <w:jc w:val="center"/>
        <w:rPr>
          <w:rFonts w:ascii="Times New Roman" w:cs="Times New Roman"/>
          <w:b/>
          <w:color w:val="auto"/>
          <w:sz w:val="30"/>
          <w:szCs w:val="30"/>
          <w:highlight w:val="none"/>
        </w:rPr>
      </w:pPr>
    </w:p>
    <w:p>
      <w:pPr>
        <w:spacing w:before="156" w:after="156"/>
        <w:ind w:left="420"/>
        <w:jc w:val="center"/>
        <w:rPr>
          <w:rFonts w:ascii="Times New Roman" w:cs="Times New Roman"/>
          <w:b/>
          <w:color w:val="auto"/>
          <w:sz w:val="30"/>
          <w:szCs w:val="30"/>
          <w:highlight w:val="none"/>
        </w:rPr>
      </w:pPr>
    </w:p>
    <w:p>
      <w:pPr>
        <w:spacing w:before="156" w:after="156"/>
        <w:ind w:left="420"/>
        <w:jc w:val="center"/>
        <w:rPr>
          <w:rFonts w:ascii="Times New Roman" w:cs="Times New Roman"/>
          <w:b/>
          <w:color w:val="auto"/>
          <w:sz w:val="30"/>
          <w:szCs w:val="30"/>
          <w:highlight w:val="none"/>
        </w:rPr>
      </w:pPr>
    </w:p>
    <w:p>
      <w:pPr>
        <w:spacing w:before="156" w:after="156"/>
        <w:ind w:leftChars="0"/>
        <w:jc w:val="center"/>
        <w:rPr>
          <w:rFonts w:ascii="Times New Roman" w:cs="Times New Roman"/>
          <w:b/>
          <w:color w:val="auto"/>
          <w:sz w:val="30"/>
          <w:szCs w:val="30"/>
          <w:highlight w:val="none"/>
        </w:rPr>
      </w:pPr>
    </w:p>
    <w:p>
      <w:pPr>
        <w:spacing w:before="156" w:after="156"/>
        <w:ind w:leftChars="0"/>
        <w:jc w:val="center"/>
        <w:rPr>
          <w:rFonts w:ascii="Times New Roman" w:cs="Times New Roman"/>
          <w:b/>
          <w:color w:val="auto"/>
          <w:sz w:val="30"/>
          <w:szCs w:val="30"/>
          <w:highlight w:val="none"/>
        </w:rPr>
      </w:pPr>
      <w:r>
        <w:rPr>
          <w:rFonts w:hint="eastAsia" w:ascii="Times New Roman" w:cs="Times New Roman"/>
          <w:b/>
          <w:color w:val="auto"/>
          <w:sz w:val="30"/>
          <w:szCs w:val="30"/>
          <w:highlight w:val="none"/>
        </w:rPr>
        <w:t>2018年06月</w:t>
      </w:r>
    </w:p>
    <w:p>
      <w:pPr>
        <w:spacing w:before="156" w:after="156"/>
        <w:ind w:leftChars="0"/>
        <w:jc w:val="center"/>
        <w:rPr>
          <w:rFonts w:ascii="Times New Roman" w:cs="Times New Roman"/>
          <w:b/>
          <w:color w:val="auto"/>
          <w:sz w:val="30"/>
          <w:szCs w:val="30"/>
          <w:highlight w:val="none"/>
        </w:rPr>
        <w:sectPr>
          <w:headerReference r:id="rId5" w:type="first"/>
          <w:footerReference r:id="rId8" w:type="first"/>
          <w:headerReference r:id="rId3" w:type="default"/>
          <w:footerReference r:id="rId6" w:type="default"/>
          <w:headerReference r:id="rId4" w:type="even"/>
          <w:footerReference r:id="rId7" w:type="even"/>
          <w:pgSz w:w="11906" w:h="16838"/>
          <w:pgMar w:top="1474" w:right="1474" w:bottom="1474" w:left="1474" w:header="851" w:footer="992" w:gutter="340"/>
          <w:pgNumType w:fmt="numberInDash" w:start="1"/>
          <w:cols w:space="425" w:num="1"/>
          <w:docGrid w:type="lines" w:linePitch="312" w:charSpace="0"/>
        </w:sectPr>
      </w:pPr>
    </w:p>
    <w:p>
      <w:pPr>
        <w:spacing w:before="156" w:after="156"/>
        <w:ind w:left="0" w:leftChars="0"/>
        <w:rPr>
          <w:rFonts w:ascii="Times New Roman" w:hAnsi="Times New Roman" w:cs="Times New Roman"/>
          <w:b/>
          <w:color w:val="auto"/>
          <w:sz w:val="24"/>
          <w:szCs w:val="24"/>
          <w:highlight w:val="none"/>
        </w:rPr>
      </w:pPr>
      <w:r>
        <w:rPr>
          <w:rFonts w:ascii="Times New Roman" w:cs="Times New Roman"/>
          <w:b/>
          <w:color w:val="auto"/>
          <w:sz w:val="24"/>
          <w:szCs w:val="24"/>
          <w:highlight w:val="none"/>
        </w:rPr>
        <w:t>一、项目基本情况</w:t>
      </w:r>
    </w:p>
    <w:p>
      <w:pPr>
        <w:spacing w:before="156" w:after="156"/>
        <w:ind w:left="420"/>
        <w:rPr>
          <w:rFonts w:ascii="Times New Roman" w:hAnsi="Times New Roman" w:cs="Times New Roman"/>
          <w:b/>
          <w:bCs/>
          <w:color w:val="auto"/>
          <w:sz w:val="24"/>
          <w:szCs w:val="24"/>
          <w:highlight w:val="none"/>
        </w:rPr>
      </w:pPr>
      <w:r>
        <w:rPr>
          <w:rFonts w:ascii="Times New Roman" w:cs="Times New Roman"/>
          <w:b/>
          <w:bCs/>
          <w:color w:val="auto"/>
          <w:sz w:val="24"/>
          <w:szCs w:val="24"/>
          <w:highlight w:val="none"/>
        </w:rPr>
        <w:t>（一）项目概况</w:t>
      </w:r>
    </w:p>
    <w:p>
      <w:pPr>
        <w:spacing w:beforeLines="0" w:after="156"/>
        <w:ind w:left="0" w:leftChars="0" w:firstLine="480" w:firstLineChars="200"/>
        <w:rPr>
          <w:rFonts w:ascii="Times New Roman" w:hAnsi="Times New Roman" w:cs="Times New Roman"/>
          <w:color w:val="auto"/>
          <w:sz w:val="24"/>
          <w:szCs w:val="24"/>
          <w:highlight w:val="none"/>
        </w:rPr>
      </w:pPr>
      <w:r>
        <w:rPr>
          <w:rFonts w:ascii="Times New Roman" w:cs="Times New Roman"/>
          <w:color w:val="auto"/>
          <w:sz w:val="24"/>
          <w:szCs w:val="24"/>
          <w:highlight w:val="none"/>
        </w:rPr>
        <w:t>办案费项目系武汉市公安局武汉东湖新技术开发区分局（以下简称</w:t>
      </w:r>
      <w:r>
        <w:rPr>
          <w:rFonts w:ascii="Times New Roman" w:hAnsi="Times New Roman" w:cs="Times New Roman"/>
          <w:color w:val="auto"/>
          <w:sz w:val="24"/>
          <w:szCs w:val="24"/>
          <w:highlight w:val="none"/>
        </w:rPr>
        <w:t>“</w:t>
      </w:r>
      <w:r>
        <w:rPr>
          <w:rFonts w:ascii="Times New Roman" w:cs="Times New Roman"/>
          <w:color w:val="auto"/>
          <w:sz w:val="24"/>
          <w:szCs w:val="24"/>
          <w:highlight w:val="none"/>
        </w:rPr>
        <w:t>高新分局</w:t>
      </w:r>
      <w:r>
        <w:rPr>
          <w:rFonts w:ascii="Times New Roman" w:hAnsi="Times New Roman" w:cs="Times New Roman"/>
          <w:color w:val="auto"/>
          <w:sz w:val="24"/>
          <w:szCs w:val="24"/>
          <w:highlight w:val="none"/>
        </w:rPr>
        <w:t>”</w:t>
      </w:r>
      <w:r>
        <w:rPr>
          <w:rFonts w:ascii="Times New Roman" w:cs="Times New Roman"/>
          <w:color w:val="auto"/>
          <w:sz w:val="24"/>
          <w:szCs w:val="24"/>
          <w:highlight w:val="none"/>
        </w:rPr>
        <w:t>）为办理各类刑事、治安案件，预防、制止和侦查违法犯罪活动；防范、打击恐怖活动；维护社会治安秩序，制止危害社会治安秩序的财政预算项目。</w:t>
      </w:r>
    </w:p>
    <w:p>
      <w:pPr>
        <w:spacing w:beforeLines="0" w:after="156"/>
        <w:ind w:left="0" w:leftChars="0" w:firstLine="480" w:firstLineChars="200"/>
        <w:rPr>
          <w:rFonts w:ascii="Times New Roman" w:hAnsi="Times New Roman" w:cs="Times New Roman"/>
          <w:color w:val="auto"/>
          <w:sz w:val="24"/>
          <w:szCs w:val="24"/>
          <w:highlight w:val="none"/>
        </w:rPr>
      </w:pPr>
      <w:r>
        <w:rPr>
          <w:rFonts w:ascii="Times New Roman" w:cs="Times New Roman"/>
          <w:color w:val="auto"/>
          <w:sz w:val="24"/>
          <w:szCs w:val="24"/>
          <w:highlight w:val="none"/>
        </w:rPr>
        <w:t>该项目立项依据为《市财政局市公安局关于制定全市区级公安机关公用经费保障最低标准的通知》武财行</w:t>
      </w:r>
      <w:r>
        <w:rPr>
          <w:rFonts w:ascii="Times New Roman" w:hAnsi="Times New Roman" w:cs="Times New Roman"/>
          <w:color w:val="auto"/>
          <w:sz w:val="24"/>
          <w:szCs w:val="24"/>
          <w:highlight w:val="none"/>
        </w:rPr>
        <w:t>[2007]542</w:t>
      </w:r>
      <w:r>
        <w:rPr>
          <w:rFonts w:ascii="Times New Roman" w:cs="Times New Roman"/>
          <w:color w:val="auto"/>
          <w:sz w:val="24"/>
          <w:szCs w:val="24"/>
          <w:highlight w:val="none"/>
        </w:rPr>
        <w:t>号精神以及高新分局的工作职责和单位工作的实际需要。</w:t>
      </w:r>
    </w:p>
    <w:p>
      <w:pPr>
        <w:spacing w:beforeLines="0" w:after="156"/>
        <w:ind w:left="0" w:leftChars="0" w:firstLine="480" w:firstLineChars="200"/>
        <w:rPr>
          <w:rFonts w:ascii="Times New Roman" w:hAnsi="Times New Roman" w:cs="Times New Roman"/>
          <w:color w:val="auto"/>
          <w:sz w:val="24"/>
          <w:szCs w:val="24"/>
          <w:highlight w:val="none"/>
        </w:rPr>
      </w:pPr>
      <w:r>
        <w:rPr>
          <w:rFonts w:ascii="Times New Roman" w:cs="Times New Roman"/>
          <w:color w:val="auto"/>
          <w:sz w:val="24"/>
          <w:szCs w:val="24"/>
          <w:highlight w:val="none"/>
        </w:rPr>
        <w:t>办案费项目的内容为案件的办理和治安管理支出，具体如下：</w:t>
      </w:r>
    </w:p>
    <w:p>
      <w:pPr>
        <w:spacing w:beforeLines="0" w:after="156"/>
        <w:ind w:left="0" w:leftChars="0" w:firstLine="480" w:firstLineChars="200"/>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1</w:t>
      </w:r>
      <w:r>
        <w:rPr>
          <w:rFonts w:ascii="Times New Roman" w:cs="Times New Roman"/>
          <w:color w:val="auto"/>
          <w:sz w:val="24"/>
          <w:szCs w:val="24"/>
          <w:highlight w:val="none"/>
        </w:rPr>
        <w:t>、案件办理工作经费</w:t>
      </w:r>
      <w:r>
        <w:rPr>
          <w:rFonts w:ascii="Times New Roman" w:hAnsi="Times New Roman" w:cs="Times New Roman"/>
          <w:color w:val="auto"/>
          <w:sz w:val="24"/>
          <w:szCs w:val="24"/>
          <w:highlight w:val="none"/>
        </w:rPr>
        <w:t>300.00</w:t>
      </w:r>
      <w:r>
        <w:rPr>
          <w:rFonts w:ascii="Times New Roman" w:cs="Times New Roman"/>
          <w:color w:val="auto"/>
          <w:sz w:val="24"/>
          <w:szCs w:val="24"/>
          <w:highlight w:val="none"/>
        </w:rPr>
        <w:t>万元，用于刑事案件办理、治安案件办理等专项工作；</w:t>
      </w:r>
    </w:p>
    <w:p>
      <w:pPr>
        <w:spacing w:beforeLines="0" w:after="156"/>
        <w:ind w:left="0" w:leftChars="0" w:firstLine="480" w:firstLineChars="200"/>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2</w:t>
      </w:r>
      <w:r>
        <w:rPr>
          <w:rFonts w:ascii="Times New Roman" w:cs="Times New Roman"/>
          <w:color w:val="auto"/>
          <w:sz w:val="24"/>
          <w:szCs w:val="24"/>
          <w:highlight w:val="none"/>
        </w:rPr>
        <w:t>、</w:t>
      </w:r>
      <w:r>
        <w:rPr>
          <w:rFonts w:ascii="Times New Roman" w:hAnsi="Times New Roman" w:cs="Times New Roman"/>
          <w:color w:val="auto"/>
          <w:sz w:val="24"/>
          <w:szCs w:val="24"/>
          <w:highlight w:val="none"/>
        </w:rPr>
        <w:t xml:space="preserve"> </w:t>
      </w:r>
      <w:r>
        <w:rPr>
          <w:rFonts w:ascii="Times New Roman" w:cs="Times New Roman"/>
          <w:color w:val="auto"/>
          <w:sz w:val="24"/>
          <w:szCs w:val="24"/>
          <w:highlight w:val="none"/>
        </w:rPr>
        <w:t>其它治安管理业务费用</w:t>
      </w:r>
      <w:r>
        <w:rPr>
          <w:rFonts w:ascii="Times New Roman" w:hAnsi="Times New Roman" w:cs="Times New Roman"/>
          <w:color w:val="auto"/>
          <w:sz w:val="24"/>
          <w:szCs w:val="24"/>
          <w:highlight w:val="none"/>
        </w:rPr>
        <w:t>100.00</w:t>
      </w:r>
      <w:r>
        <w:rPr>
          <w:rFonts w:ascii="Times New Roman" w:cs="Times New Roman"/>
          <w:color w:val="auto"/>
          <w:sz w:val="24"/>
          <w:szCs w:val="24"/>
          <w:highlight w:val="none"/>
        </w:rPr>
        <w:t>万元，用于重大警保卫及大型活动安保、犬类及其它危险物品管理及处置、专项整治、清查等工作；</w:t>
      </w:r>
    </w:p>
    <w:p>
      <w:pPr>
        <w:spacing w:beforeLines="0" w:after="156"/>
        <w:ind w:left="0" w:leftChars="0" w:firstLine="480" w:firstLineChars="200"/>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3</w:t>
      </w:r>
      <w:r>
        <w:rPr>
          <w:rFonts w:ascii="Times New Roman" w:cs="Times New Roman"/>
          <w:color w:val="auto"/>
          <w:sz w:val="24"/>
          <w:szCs w:val="24"/>
          <w:highlight w:val="none"/>
        </w:rPr>
        <w:t>、特情工作专项经费</w:t>
      </w:r>
      <w:r>
        <w:rPr>
          <w:rFonts w:ascii="Times New Roman" w:hAnsi="Times New Roman" w:cs="Times New Roman"/>
          <w:color w:val="auto"/>
          <w:sz w:val="24"/>
          <w:szCs w:val="24"/>
          <w:highlight w:val="none"/>
        </w:rPr>
        <w:t>100.00</w:t>
      </w:r>
      <w:r>
        <w:rPr>
          <w:rFonts w:ascii="Times New Roman" w:cs="Times New Roman"/>
          <w:color w:val="auto"/>
          <w:sz w:val="24"/>
          <w:szCs w:val="24"/>
          <w:highlight w:val="none"/>
        </w:rPr>
        <w:t>万元；</w:t>
      </w:r>
    </w:p>
    <w:p>
      <w:pPr>
        <w:spacing w:before="156" w:after="156"/>
        <w:ind w:left="0" w:leftChars="0" w:firstLine="480" w:firstLineChars="200"/>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4</w:t>
      </w:r>
      <w:r>
        <w:rPr>
          <w:rFonts w:ascii="Times New Roman" w:cs="Times New Roman"/>
          <w:color w:val="auto"/>
          <w:sz w:val="24"/>
          <w:szCs w:val="24"/>
          <w:highlight w:val="none"/>
        </w:rPr>
        <w:t>、奖励经费</w:t>
      </w:r>
      <w:r>
        <w:rPr>
          <w:rFonts w:ascii="Times New Roman" w:hAnsi="Times New Roman" w:cs="Times New Roman"/>
          <w:color w:val="auto"/>
          <w:sz w:val="24"/>
          <w:szCs w:val="24"/>
          <w:highlight w:val="none"/>
        </w:rPr>
        <w:t>100.00</w:t>
      </w:r>
      <w:r>
        <w:rPr>
          <w:rFonts w:ascii="Times New Roman" w:cs="Times New Roman"/>
          <w:color w:val="auto"/>
          <w:sz w:val="24"/>
          <w:szCs w:val="24"/>
          <w:highlight w:val="none"/>
        </w:rPr>
        <w:t>万元，包含用于群众奖励及案件奖励。</w:t>
      </w:r>
    </w:p>
    <w:p>
      <w:pPr>
        <w:spacing w:beforeLines="0" w:afterLines="0"/>
        <w:ind w:left="0" w:leftChars="0" w:firstLine="480" w:firstLineChars="200"/>
        <w:rPr>
          <w:rFonts w:ascii="Times New Roman" w:hAnsi="Times New Roman" w:cs="Times New Roman"/>
          <w:color w:val="auto"/>
          <w:sz w:val="24"/>
          <w:szCs w:val="24"/>
          <w:highlight w:val="none"/>
        </w:rPr>
      </w:pPr>
      <w:r>
        <w:rPr>
          <w:rFonts w:ascii="Times New Roman" w:cs="Times New Roman"/>
          <w:color w:val="auto"/>
          <w:sz w:val="24"/>
          <w:szCs w:val="24"/>
          <w:highlight w:val="none"/>
        </w:rPr>
        <w:t>该项目支出</w:t>
      </w:r>
      <w:r>
        <w:rPr>
          <w:rFonts w:ascii="Times New Roman" w:hAnsi="Times New Roman" w:cs="Times New Roman"/>
          <w:color w:val="auto"/>
          <w:sz w:val="24"/>
          <w:szCs w:val="24"/>
          <w:highlight w:val="none"/>
        </w:rPr>
        <w:t>600.00</w:t>
      </w:r>
      <w:r>
        <w:rPr>
          <w:rFonts w:ascii="Times New Roman" w:cs="Times New Roman"/>
          <w:color w:val="auto"/>
          <w:sz w:val="24"/>
          <w:szCs w:val="24"/>
          <w:highlight w:val="none"/>
        </w:rPr>
        <w:t>万元在当期已全部使用完毕。</w:t>
      </w:r>
    </w:p>
    <w:p>
      <w:pPr>
        <w:spacing w:beforeLines="0" w:after="156"/>
        <w:ind w:left="0" w:leftChars="0" w:firstLine="482" w:firstLineChars="200"/>
        <w:rPr>
          <w:rFonts w:ascii="Times New Roman" w:hAnsi="Times New Roman" w:cs="Times New Roman"/>
          <w:b/>
          <w:bCs/>
          <w:color w:val="auto"/>
          <w:sz w:val="24"/>
          <w:szCs w:val="24"/>
          <w:highlight w:val="none"/>
        </w:rPr>
      </w:pPr>
      <w:r>
        <w:rPr>
          <w:rFonts w:ascii="Times New Roman" w:cs="Times New Roman"/>
          <w:b/>
          <w:bCs/>
          <w:color w:val="auto"/>
          <w:sz w:val="24"/>
          <w:szCs w:val="24"/>
          <w:highlight w:val="none"/>
        </w:rPr>
        <w:t>（二）项目预算绩效目标</w:t>
      </w:r>
    </w:p>
    <w:p>
      <w:pPr>
        <w:spacing w:beforeLines="0" w:after="156"/>
        <w:ind w:left="0" w:leftChars="0" w:firstLine="480" w:firstLineChars="200"/>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1</w:t>
      </w:r>
      <w:r>
        <w:rPr>
          <w:rFonts w:ascii="Times New Roman" w:cs="Times New Roman"/>
          <w:color w:val="auto"/>
          <w:sz w:val="24"/>
          <w:szCs w:val="24"/>
          <w:highlight w:val="none"/>
        </w:rPr>
        <w:t>、产出目标</w:t>
      </w:r>
    </w:p>
    <w:p>
      <w:pPr>
        <w:spacing w:beforeLines="0" w:after="156"/>
        <w:ind w:left="0" w:leftChars="0" w:firstLine="480" w:firstLineChars="200"/>
        <w:rPr>
          <w:rFonts w:ascii="Times New Roman" w:hAnsi="Times New Roman" w:cs="Times New Roman"/>
          <w:color w:val="auto"/>
          <w:sz w:val="24"/>
          <w:szCs w:val="24"/>
          <w:highlight w:val="none"/>
        </w:rPr>
      </w:pPr>
      <w:r>
        <w:rPr>
          <w:rFonts w:ascii="Times New Roman" w:cs="Times New Roman"/>
          <w:color w:val="auto"/>
          <w:sz w:val="24"/>
          <w:szCs w:val="24"/>
          <w:highlight w:val="none"/>
        </w:rPr>
        <w:t>（</w:t>
      </w:r>
      <w:r>
        <w:rPr>
          <w:rFonts w:ascii="Times New Roman" w:hAnsi="Times New Roman" w:cs="Times New Roman"/>
          <w:color w:val="auto"/>
          <w:sz w:val="24"/>
          <w:szCs w:val="24"/>
          <w:highlight w:val="none"/>
        </w:rPr>
        <w:t>1</w:t>
      </w:r>
      <w:r>
        <w:rPr>
          <w:rFonts w:ascii="Times New Roman" w:cs="Times New Roman"/>
          <w:color w:val="auto"/>
          <w:sz w:val="24"/>
          <w:szCs w:val="24"/>
          <w:highlight w:val="none"/>
        </w:rPr>
        <w:t>）产出数量</w:t>
      </w:r>
    </w:p>
    <w:p>
      <w:pPr>
        <w:snapToGrid w:val="0"/>
        <w:spacing w:beforeLines="0" w:after="156"/>
        <w:ind w:left="0" w:leftChars="0" w:firstLine="480" w:firstLineChars="200"/>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w:t>
      </w:r>
      <w:r>
        <w:rPr>
          <w:rFonts w:ascii="Times New Roman" w:cs="Times New Roman"/>
          <w:color w:val="auto"/>
          <w:sz w:val="24"/>
          <w:szCs w:val="24"/>
          <w:highlight w:val="none"/>
        </w:rPr>
        <w:t>、百名民警侦破刑事案件数</w:t>
      </w:r>
      <w:r>
        <w:rPr>
          <w:rFonts w:ascii="Times New Roman" w:hAnsi="Times New Roman" w:cs="Times New Roman"/>
          <w:color w:val="auto"/>
          <w:sz w:val="24"/>
          <w:szCs w:val="24"/>
          <w:highlight w:val="none"/>
        </w:rPr>
        <w:t xml:space="preserve">                   230</w:t>
      </w:r>
      <w:r>
        <w:rPr>
          <w:rFonts w:ascii="Times New Roman" w:cs="Times New Roman"/>
          <w:color w:val="auto"/>
          <w:sz w:val="24"/>
          <w:szCs w:val="24"/>
          <w:highlight w:val="none"/>
        </w:rPr>
        <w:t>件</w:t>
      </w:r>
    </w:p>
    <w:p>
      <w:pPr>
        <w:snapToGrid w:val="0"/>
        <w:spacing w:beforeLines="0" w:after="156"/>
        <w:ind w:left="0" w:leftChars="0" w:firstLine="480" w:firstLineChars="200"/>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b</w:t>
      </w:r>
      <w:r>
        <w:rPr>
          <w:rFonts w:ascii="Times New Roman" w:cs="Times New Roman"/>
          <w:color w:val="auto"/>
          <w:sz w:val="24"/>
          <w:szCs w:val="24"/>
          <w:highlight w:val="none"/>
        </w:rPr>
        <w:t>、百名民警治安案件结案件数</w:t>
      </w:r>
      <w:r>
        <w:rPr>
          <w:rFonts w:ascii="Times New Roman" w:hAnsi="Times New Roman" w:cs="Times New Roman"/>
          <w:color w:val="auto"/>
          <w:sz w:val="24"/>
          <w:szCs w:val="24"/>
          <w:highlight w:val="none"/>
        </w:rPr>
        <w:t xml:space="preserve">                 </w:t>
      </w:r>
      <w:r>
        <w:rPr>
          <w:rFonts w:hint="eastAsia" w:ascii="Times New Roman" w:hAnsi="Times New Roman" w:cs="Times New Roman"/>
          <w:color w:val="auto"/>
          <w:sz w:val="24"/>
          <w:szCs w:val="24"/>
          <w:highlight w:val="none"/>
        </w:rPr>
        <w:t>117</w:t>
      </w:r>
      <w:r>
        <w:rPr>
          <w:rFonts w:ascii="Times New Roman" w:cs="Times New Roman"/>
          <w:color w:val="auto"/>
          <w:sz w:val="24"/>
          <w:szCs w:val="24"/>
          <w:highlight w:val="none"/>
        </w:rPr>
        <w:t>件</w:t>
      </w:r>
    </w:p>
    <w:p>
      <w:pPr>
        <w:snapToGrid w:val="0"/>
        <w:spacing w:beforeLines="0" w:after="156"/>
        <w:ind w:left="0" w:leftChars="0" w:firstLine="480" w:firstLineChars="200"/>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c</w:t>
      </w:r>
      <w:r>
        <w:rPr>
          <w:rFonts w:ascii="Times New Roman" w:cs="Times New Roman"/>
          <w:color w:val="auto"/>
          <w:sz w:val="24"/>
          <w:szCs w:val="24"/>
          <w:highlight w:val="none"/>
        </w:rPr>
        <w:t>、破获经济犯罪案件</w:t>
      </w:r>
      <w:r>
        <w:rPr>
          <w:rFonts w:ascii="Times New Roman" w:hAnsi="Times New Roman" w:cs="Times New Roman"/>
          <w:color w:val="auto"/>
          <w:sz w:val="24"/>
          <w:szCs w:val="24"/>
          <w:highlight w:val="none"/>
        </w:rPr>
        <w:t xml:space="preserve">                          </w:t>
      </w:r>
      <w:r>
        <w:rPr>
          <w:rFonts w:hint="eastAsia" w:ascii="Times New Roman" w:hAnsi="Times New Roman" w:cs="Times New Roman"/>
          <w:color w:val="auto"/>
          <w:sz w:val="24"/>
          <w:szCs w:val="24"/>
          <w:highlight w:val="none"/>
        </w:rPr>
        <w:t>74</w:t>
      </w:r>
      <w:r>
        <w:rPr>
          <w:rFonts w:ascii="Times New Roman" w:cs="Times New Roman"/>
          <w:color w:val="auto"/>
          <w:sz w:val="24"/>
          <w:szCs w:val="24"/>
          <w:highlight w:val="none"/>
        </w:rPr>
        <w:t>起</w:t>
      </w:r>
    </w:p>
    <w:p>
      <w:pPr>
        <w:snapToGrid w:val="0"/>
        <w:spacing w:beforeLines="0" w:after="156"/>
        <w:ind w:left="0" w:leftChars="0" w:firstLine="480" w:firstLineChars="200"/>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d</w:t>
      </w:r>
      <w:r>
        <w:rPr>
          <w:rFonts w:ascii="Times New Roman" w:cs="Times New Roman"/>
          <w:color w:val="auto"/>
          <w:sz w:val="24"/>
          <w:szCs w:val="24"/>
          <w:highlight w:val="none"/>
        </w:rPr>
        <w:t>、侦破毒品罪案件数</w:t>
      </w:r>
      <w:r>
        <w:rPr>
          <w:rFonts w:ascii="Times New Roman" w:hAnsi="Times New Roman" w:cs="Times New Roman"/>
          <w:color w:val="auto"/>
          <w:sz w:val="24"/>
          <w:szCs w:val="24"/>
          <w:highlight w:val="none"/>
        </w:rPr>
        <w:t xml:space="preserve">                          </w:t>
      </w:r>
      <w:r>
        <w:rPr>
          <w:rFonts w:hint="eastAsia" w:ascii="Times New Roman" w:hAnsi="Times New Roman" w:cs="Times New Roman"/>
          <w:color w:val="auto"/>
          <w:sz w:val="24"/>
          <w:szCs w:val="24"/>
          <w:highlight w:val="none"/>
        </w:rPr>
        <w:t>6</w:t>
      </w:r>
      <w:r>
        <w:rPr>
          <w:rFonts w:ascii="Times New Roman" w:hAnsi="Times New Roman" w:cs="Times New Roman"/>
          <w:color w:val="auto"/>
          <w:sz w:val="24"/>
          <w:szCs w:val="24"/>
          <w:highlight w:val="none"/>
        </w:rPr>
        <w:t>0</w:t>
      </w:r>
      <w:r>
        <w:rPr>
          <w:rFonts w:ascii="Times New Roman" w:cs="Times New Roman"/>
          <w:color w:val="auto"/>
          <w:sz w:val="24"/>
          <w:szCs w:val="24"/>
          <w:highlight w:val="none"/>
        </w:rPr>
        <w:t>起</w:t>
      </w:r>
    </w:p>
    <w:p>
      <w:pPr>
        <w:snapToGrid w:val="0"/>
        <w:spacing w:beforeLines="0" w:after="156"/>
        <w:ind w:left="0" w:leftChars="0" w:firstLine="480" w:firstLineChars="200"/>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e</w:t>
      </w:r>
      <w:r>
        <w:rPr>
          <w:rFonts w:ascii="Times New Roman" w:cs="Times New Roman"/>
          <w:color w:val="auto"/>
          <w:sz w:val="24"/>
          <w:szCs w:val="24"/>
          <w:highlight w:val="none"/>
        </w:rPr>
        <w:t>、侵财案件破案数</w:t>
      </w:r>
      <w:r>
        <w:rPr>
          <w:rFonts w:ascii="Times New Roman" w:hAnsi="Times New Roman" w:cs="Times New Roman"/>
          <w:color w:val="auto"/>
          <w:sz w:val="24"/>
          <w:szCs w:val="24"/>
          <w:highlight w:val="none"/>
        </w:rPr>
        <w:t xml:space="preserve">                          </w:t>
      </w:r>
      <w:r>
        <w:rPr>
          <w:rFonts w:hint="eastAsia" w:ascii="Times New Roman" w:hAnsi="Times New Roman" w:cs="Times New Roman"/>
          <w:color w:val="auto"/>
          <w:sz w:val="24"/>
          <w:szCs w:val="24"/>
          <w:highlight w:val="none"/>
        </w:rPr>
        <w:t>1300</w:t>
      </w:r>
      <w:r>
        <w:rPr>
          <w:rFonts w:ascii="Times New Roman" w:cs="Times New Roman"/>
          <w:color w:val="auto"/>
          <w:sz w:val="24"/>
          <w:szCs w:val="24"/>
          <w:highlight w:val="none"/>
        </w:rPr>
        <w:t>起</w:t>
      </w:r>
    </w:p>
    <w:p>
      <w:pPr>
        <w:snapToGrid w:val="0"/>
        <w:spacing w:beforeLines="0" w:after="156"/>
        <w:ind w:left="0" w:leftChars="0" w:firstLine="480" w:firstLineChars="200"/>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f</w:t>
      </w:r>
      <w:r>
        <w:rPr>
          <w:rFonts w:ascii="Times New Roman" w:cs="Times New Roman"/>
          <w:color w:val="auto"/>
          <w:sz w:val="24"/>
          <w:szCs w:val="24"/>
          <w:highlight w:val="none"/>
        </w:rPr>
        <w:t>、吸毒人员收戒人数</w:t>
      </w:r>
      <w:r>
        <w:rPr>
          <w:rFonts w:ascii="Times New Roman" w:hAnsi="Times New Roman" w:cs="Times New Roman"/>
          <w:color w:val="auto"/>
          <w:sz w:val="24"/>
          <w:szCs w:val="24"/>
          <w:highlight w:val="none"/>
        </w:rPr>
        <w:t xml:space="preserve">                          70</w:t>
      </w:r>
      <w:r>
        <w:rPr>
          <w:rFonts w:ascii="Times New Roman" w:cs="Times New Roman"/>
          <w:color w:val="auto"/>
          <w:sz w:val="24"/>
          <w:szCs w:val="24"/>
          <w:highlight w:val="none"/>
        </w:rPr>
        <w:t>人</w:t>
      </w:r>
    </w:p>
    <w:p>
      <w:pPr>
        <w:snapToGrid w:val="0"/>
        <w:spacing w:beforeLines="0" w:after="156"/>
        <w:ind w:left="0" w:leftChars="0" w:firstLine="480" w:firstLineChars="200"/>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g</w:t>
      </w:r>
      <w:r>
        <w:rPr>
          <w:rFonts w:ascii="Times New Roman" w:cs="Times New Roman"/>
          <w:color w:val="auto"/>
          <w:sz w:val="24"/>
          <w:szCs w:val="24"/>
          <w:highlight w:val="none"/>
        </w:rPr>
        <w:t>、五十人以上群体事件预警率</w:t>
      </w:r>
      <w:r>
        <w:rPr>
          <w:rFonts w:ascii="Times New Roman" w:hAnsi="Times New Roman" w:cs="Times New Roman"/>
          <w:color w:val="auto"/>
          <w:sz w:val="24"/>
          <w:szCs w:val="24"/>
          <w:highlight w:val="none"/>
        </w:rPr>
        <w:t xml:space="preserve">                  </w:t>
      </w:r>
      <w:r>
        <w:rPr>
          <w:rFonts w:hint="eastAsia" w:ascii="Times New Roman" w:hAnsi="Times New Roman" w:cs="Times New Roman"/>
          <w:color w:val="auto"/>
          <w:sz w:val="24"/>
          <w:szCs w:val="24"/>
          <w:highlight w:val="none"/>
        </w:rPr>
        <w:t>100</w:t>
      </w:r>
      <w:r>
        <w:rPr>
          <w:rFonts w:ascii="Times New Roman" w:hAnsi="Times New Roman" w:cs="Times New Roman"/>
          <w:color w:val="auto"/>
          <w:sz w:val="24"/>
          <w:szCs w:val="24"/>
          <w:highlight w:val="none"/>
        </w:rPr>
        <w:t>%</w:t>
      </w:r>
    </w:p>
    <w:p>
      <w:pPr>
        <w:spacing w:beforeLines="0" w:after="156"/>
        <w:ind w:left="0" w:leftChars="0" w:firstLine="480" w:firstLineChars="200"/>
        <w:rPr>
          <w:rFonts w:ascii="Times New Roman" w:hAnsi="Times New Roman" w:cs="Times New Roman"/>
          <w:color w:val="auto"/>
          <w:sz w:val="24"/>
          <w:szCs w:val="24"/>
          <w:highlight w:val="none"/>
        </w:rPr>
      </w:pPr>
      <w:r>
        <w:rPr>
          <w:rFonts w:ascii="Times New Roman" w:cs="Times New Roman"/>
          <w:color w:val="auto"/>
          <w:sz w:val="24"/>
          <w:szCs w:val="24"/>
          <w:highlight w:val="none"/>
        </w:rPr>
        <w:t>（</w:t>
      </w:r>
      <w:r>
        <w:rPr>
          <w:rFonts w:ascii="Times New Roman" w:hAnsi="Times New Roman" w:cs="Times New Roman"/>
          <w:color w:val="auto"/>
          <w:sz w:val="24"/>
          <w:szCs w:val="24"/>
          <w:highlight w:val="none"/>
        </w:rPr>
        <w:t>2</w:t>
      </w:r>
      <w:r>
        <w:rPr>
          <w:rFonts w:ascii="Times New Roman" w:cs="Times New Roman"/>
          <w:color w:val="auto"/>
          <w:sz w:val="24"/>
          <w:szCs w:val="24"/>
          <w:highlight w:val="none"/>
        </w:rPr>
        <w:t>）质量指标</w:t>
      </w:r>
    </w:p>
    <w:p>
      <w:pPr>
        <w:snapToGrid w:val="0"/>
        <w:spacing w:beforeLines="0" w:after="156"/>
        <w:ind w:left="0" w:leftChars="0" w:firstLine="480" w:firstLineChars="200"/>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w:t>
      </w:r>
      <w:r>
        <w:rPr>
          <w:rFonts w:ascii="Times New Roman" w:cs="Times New Roman"/>
          <w:color w:val="auto"/>
          <w:sz w:val="24"/>
          <w:szCs w:val="24"/>
          <w:highlight w:val="none"/>
        </w:rPr>
        <w:t>、刑事案件破案率</w:t>
      </w:r>
      <w:r>
        <w:rPr>
          <w:rFonts w:ascii="Times New Roman" w:hAnsi="Times New Roman" w:cs="Times New Roman"/>
          <w:color w:val="auto"/>
          <w:sz w:val="24"/>
          <w:szCs w:val="24"/>
          <w:highlight w:val="none"/>
        </w:rPr>
        <w:t xml:space="preserve">      </w:t>
      </w:r>
      <w:r>
        <w:rPr>
          <w:rFonts w:hint="eastAsia" w:ascii="Times New Roman" w:hAnsi="Times New Roman" w:cs="Times New Roman"/>
          <w:color w:val="auto"/>
          <w:sz w:val="24"/>
          <w:szCs w:val="24"/>
          <w:highlight w:val="none"/>
        </w:rPr>
        <w:t xml:space="preserve"> </w:t>
      </w:r>
      <w:r>
        <w:rPr>
          <w:rFonts w:ascii="Times New Roman" w:hAnsi="Times New Roman" w:cs="Times New Roman"/>
          <w:color w:val="auto"/>
          <w:sz w:val="24"/>
          <w:szCs w:val="24"/>
          <w:highlight w:val="none"/>
        </w:rPr>
        <w:t xml:space="preserve">                    </w:t>
      </w:r>
      <w:r>
        <w:rPr>
          <w:rFonts w:hint="eastAsia" w:ascii="Times New Roman" w:hAnsi="Times New Roman" w:cs="Times New Roman"/>
          <w:color w:val="auto"/>
          <w:sz w:val="24"/>
          <w:szCs w:val="24"/>
          <w:highlight w:val="none"/>
        </w:rPr>
        <w:t xml:space="preserve">  27%</w:t>
      </w:r>
    </w:p>
    <w:p>
      <w:pPr>
        <w:snapToGrid w:val="0"/>
        <w:spacing w:beforeLines="0" w:after="156"/>
        <w:ind w:left="0" w:leftChars="0" w:firstLine="480" w:firstLineChars="200"/>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b</w:t>
      </w:r>
      <w:r>
        <w:rPr>
          <w:rFonts w:ascii="Times New Roman" w:cs="Times New Roman"/>
          <w:color w:val="auto"/>
          <w:sz w:val="24"/>
          <w:szCs w:val="24"/>
          <w:highlight w:val="none"/>
        </w:rPr>
        <w:t>、治安案件结案率</w:t>
      </w:r>
      <w:r>
        <w:rPr>
          <w:rFonts w:ascii="Times New Roman" w:hAnsi="Times New Roman" w:cs="Times New Roman"/>
          <w:color w:val="auto"/>
          <w:sz w:val="24"/>
          <w:szCs w:val="24"/>
          <w:highlight w:val="none"/>
        </w:rPr>
        <w:t xml:space="preserve">                          </w:t>
      </w:r>
      <w:r>
        <w:rPr>
          <w:rFonts w:hint="eastAsia" w:ascii="Times New Roman" w:hAnsi="Times New Roman" w:cs="Times New Roman"/>
          <w:color w:val="auto"/>
          <w:sz w:val="24"/>
          <w:szCs w:val="24"/>
          <w:highlight w:val="none"/>
        </w:rPr>
        <w:t xml:space="preserve">  </w:t>
      </w:r>
      <w:r>
        <w:rPr>
          <w:rFonts w:ascii="Times New Roman" w:hAnsi="Times New Roman" w:cs="Times New Roman"/>
          <w:color w:val="auto"/>
          <w:sz w:val="24"/>
          <w:szCs w:val="24"/>
          <w:highlight w:val="none"/>
        </w:rPr>
        <w:t xml:space="preserve"> </w:t>
      </w:r>
      <w:r>
        <w:rPr>
          <w:rFonts w:hint="eastAsia" w:ascii="Times New Roman" w:hAnsi="Times New Roman" w:cs="Times New Roman"/>
          <w:color w:val="auto"/>
          <w:sz w:val="24"/>
          <w:szCs w:val="24"/>
          <w:highlight w:val="none"/>
        </w:rPr>
        <w:t>19%</w:t>
      </w:r>
    </w:p>
    <w:p>
      <w:pPr>
        <w:snapToGrid w:val="0"/>
        <w:spacing w:beforeLines="0" w:after="156"/>
        <w:ind w:left="0" w:leftChars="0" w:firstLine="480" w:firstLineChars="200"/>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c</w:t>
      </w:r>
      <w:r>
        <w:rPr>
          <w:rFonts w:ascii="Times New Roman" w:cs="Times New Roman"/>
          <w:color w:val="auto"/>
          <w:sz w:val="24"/>
          <w:szCs w:val="24"/>
          <w:highlight w:val="none"/>
        </w:rPr>
        <w:t>、命案侦破率</w:t>
      </w:r>
      <w:r>
        <w:rPr>
          <w:rFonts w:ascii="Times New Roman" w:hAnsi="Times New Roman" w:cs="Times New Roman"/>
          <w:color w:val="auto"/>
          <w:sz w:val="24"/>
          <w:szCs w:val="24"/>
          <w:highlight w:val="none"/>
        </w:rPr>
        <w:t xml:space="preserve">                               </w:t>
      </w:r>
      <w:r>
        <w:rPr>
          <w:rFonts w:hint="eastAsia" w:ascii="Times New Roman" w:hAnsi="Times New Roman" w:cs="Times New Roman"/>
          <w:color w:val="auto"/>
          <w:sz w:val="24"/>
          <w:szCs w:val="24"/>
          <w:highlight w:val="none"/>
        </w:rPr>
        <w:t xml:space="preserve"> </w:t>
      </w:r>
      <w:r>
        <w:rPr>
          <w:rFonts w:ascii="Times New Roman" w:hAnsi="Times New Roman" w:cs="Times New Roman"/>
          <w:color w:val="auto"/>
          <w:sz w:val="24"/>
          <w:szCs w:val="24"/>
          <w:highlight w:val="none"/>
        </w:rPr>
        <w:t xml:space="preserve"> </w:t>
      </w:r>
      <w:r>
        <w:rPr>
          <w:rFonts w:hint="eastAsia" w:ascii="Times New Roman" w:hAnsi="Times New Roman" w:cs="Times New Roman"/>
          <w:color w:val="auto"/>
          <w:sz w:val="24"/>
          <w:szCs w:val="24"/>
          <w:highlight w:val="none"/>
        </w:rPr>
        <w:t>95%</w:t>
      </w:r>
    </w:p>
    <w:p>
      <w:pPr>
        <w:snapToGrid w:val="0"/>
        <w:spacing w:beforeLines="0" w:after="156"/>
        <w:ind w:left="0" w:leftChars="0" w:firstLine="480" w:firstLineChars="200"/>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d</w:t>
      </w:r>
      <w:r>
        <w:rPr>
          <w:rFonts w:ascii="Times New Roman" w:cs="Times New Roman"/>
          <w:color w:val="auto"/>
          <w:sz w:val="24"/>
          <w:szCs w:val="24"/>
          <w:highlight w:val="none"/>
        </w:rPr>
        <w:t>、枪案破案率</w:t>
      </w:r>
      <w:r>
        <w:rPr>
          <w:rFonts w:ascii="Times New Roman" w:hAnsi="Times New Roman" w:cs="Times New Roman"/>
          <w:color w:val="auto"/>
          <w:sz w:val="24"/>
          <w:szCs w:val="24"/>
          <w:highlight w:val="none"/>
        </w:rPr>
        <w:t xml:space="preserve">                                </w:t>
      </w:r>
      <w:r>
        <w:rPr>
          <w:rFonts w:hint="eastAsia" w:ascii="Times New Roman" w:hAnsi="Times New Roman" w:cs="Times New Roman"/>
          <w:color w:val="auto"/>
          <w:sz w:val="24"/>
          <w:szCs w:val="24"/>
          <w:highlight w:val="none"/>
        </w:rPr>
        <w:t xml:space="preserve"> 95%</w:t>
      </w:r>
    </w:p>
    <w:p>
      <w:pPr>
        <w:snapToGrid w:val="0"/>
        <w:spacing w:beforeLines="0" w:after="156"/>
        <w:ind w:left="0" w:leftChars="0" w:firstLine="480" w:firstLineChars="200"/>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e</w:t>
      </w:r>
      <w:r>
        <w:rPr>
          <w:rFonts w:ascii="Times New Roman" w:cs="Times New Roman"/>
          <w:color w:val="auto"/>
          <w:sz w:val="24"/>
          <w:szCs w:val="24"/>
          <w:highlight w:val="none"/>
        </w:rPr>
        <w:t>、五十人以上群体事件处置率</w:t>
      </w:r>
      <w:r>
        <w:rPr>
          <w:rFonts w:ascii="Times New Roman" w:hAnsi="Times New Roman" w:cs="Times New Roman"/>
          <w:color w:val="auto"/>
          <w:sz w:val="24"/>
          <w:szCs w:val="24"/>
          <w:highlight w:val="none"/>
        </w:rPr>
        <w:t xml:space="preserve">                  </w:t>
      </w:r>
      <w:r>
        <w:rPr>
          <w:rFonts w:hint="eastAsia" w:ascii="Times New Roman" w:hAnsi="Times New Roman" w:cs="Times New Roman"/>
          <w:color w:val="auto"/>
          <w:sz w:val="24"/>
          <w:szCs w:val="24"/>
          <w:highlight w:val="none"/>
        </w:rPr>
        <w:t>100</w:t>
      </w:r>
      <w:r>
        <w:rPr>
          <w:rFonts w:ascii="Times New Roman" w:hAnsi="Times New Roman" w:cs="Times New Roman"/>
          <w:color w:val="auto"/>
          <w:sz w:val="24"/>
          <w:szCs w:val="24"/>
          <w:highlight w:val="none"/>
        </w:rPr>
        <w:t>%</w:t>
      </w:r>
    </w:p>
    <w:p>
      <w:pPr>
        <w:snapToGrid w:val="0"/>
        <w:spacing w:beforeLines="0" w:after="156"/>
        <w:ind w:left="0" w:leftChars="0" w:firstLine="480" w:firstLineChars="200"/>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（3）时效指标</w:t>
      </w:r>
    </w:p>
    <w:p>
      <w:pPr>
        <w:snapToGrid w:val="0"/>
        <w:spacing w:beforeLines="0" w:after="156"/>
        <w:ind w:left="0" w:leftChars="0" w:firstLine="480" w:firstLineChars="200"/>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完成及时率                                    100%</w:t>
      </w:r>
    </w:p>
    <w:p>
      <w:pPr>
        <w:snapToGrid w:val="0"/>
        <w:spacing w:beforeLines="0" w:after="156"/>
        <w:ind w:left="0" w:leftChars="0" w:firstLine="480" w:firstLineChars="200"/>
        <w:rPr>
          <w:rFonts w:ascii="Times New Roman" w:hAnsi="Times New Roman" w:cs="Times New Roman"/>
          <w:color w:val="auto"/>
          <w:sz w:val="24"/>
          <w:szCs w:val="24"/>
          <w:highlight w:val="none"/>
        </w:rPr>
      </w:pPr>
      <w:r>
        <w:rPr>
          <w:rFonts w:hint="eastAsia" w:ascii="宋体" w:hAnsi="宋体" w:eastAsia="宋体" w:cs="仿宋_GB2312"/>
          <w:color w:val="auto"/>
          <w:sz w:val="24"/>
          <w:szCs w:val="24"/>
          <w:highlight w:val="none"/>
        </w:rPr>
        <w:t>（4）</w:t>
      </w:r>
      <w:r>
        <w:rPr>
          <w:rFonts w:hint="eastAsia" w:ascii="Times New Roman" w:hAnsi="Times New Roman" w:cs="Times New Roman"/>
          <w:color w:val="auto"/>
          <w:sz w:val="24"/>
          <w:szCs w:val="24"/>
          <w:highlight w:val="none"/>
        </w:rPr>
        <w:t>成本指标</w:t>
      </w:r>
    </w:p>
    <w:p>
      <w:pPr>
        <w:snapToGrid w:val="0"/>
        <w:spacing w:beforeLines="0" w:after="156"/>
        <w:ind w:left="0" w:leftChars="0" w:firstLine="480" w:firstLineChars="200"/>
        <w:rPr>
          <w:rFonts w:ascii="宋体" w:hAnsi="宋体" w:eastAsia="宋体" w:cs="仿宋_GB2312"/>
          <w:color w:val="auto"/>
          <w:sz w:val="24"/>
          <w:szCs w:val="24"/>
          <w:highlight w:val="none"/>
        </w:rPr>
      </w:pPr>
      <w:r>
        <w:rPr>
          <w:rFonts w:hint="eastAsia" w:ascii="宋体" w:hAnsi="宋体" w:eastAsia="宋体" w:cs="仿宋_GB2312"/>
          <w:color w:val="auto"/>
          <w:sz w:val="24"/>
          <w:szCs w:val="24"/>
          <w:highlight w:val="none"/>
        </w:rPr>
        <w:t>成本控制率                              执行预算率≦100%</w:t>
      </w:r>
    </w:p>
    <w:p>
      <w:pPr>
        <w:spacing w:beforeLines="0" w:after="156"/>
        <w:ind w:left="0" w:leftChars="0" w:firstLine="480" w:firstLineChars="200"/>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2</w:t>
      </w:r>
      <w:r>
        <w:rPr>
          <w:rFonts w:ascii="Times New Roman" w:cs="Times New Roman"/>
          <w:color w:val="auto"/>
          <w:sz w:val="24"/>
          <w:szCs w:val="24"/>
          <w:highlight w:val="none"/>
        </w:rPr>
        <w:t>、效果目标</w:t>
      </w:r>
    </w:p>
    <w:p>
      <w:pPr>
        <w:spacing w:beforeLines="0" w:after="156"/>
        <w:ind w:left="0" w:leftChars="0" w:firstLine="480" w:firstLineChars="200"/>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（1）经济效益指标</w:t>
      </w:r>
    </w:p>
    <w:p>
      <w:pPr>
        <w:spacing w:beforeLines="0" w:after="156"/>
        <w:ind w:left="0" w:leftChars="0" w:firstLine="480" w:firstLineChars="200"/>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本项目无直接经济效益，因此未设置经济效益指标。</w:t>
      </w:r>
    </w:p>
    <w:p>
      <w:pPr>
        <w:spacing w:beforeLines="0" w:after="156"/>
        <w:ind w:left="0" w:leftChars="0" w:firstLine="480" w:firstLineChars="200"/>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（2）社会效益指标</w:t>
      </w:r>
    </w:p>
    <w:p>
      <w:pPr>
        <w:spacing w:beforeLines="0" w:after="156"/>
        <w:ind w:left="0" w:leftChars="0" w:firstLine="480" w:firstLineChars="200"/>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提升破案质效，做到全区刑事警情同比增长率小于4%、违法犯罪警情同比增长率小于3%，守住“六条底线”，</w:t>
      </w:r>
      <w:r>
        <w:rPr>
          <w:rFonts w:hint="eastAsia"/>
          <w:color w:val="auto"/>
          <w:highlight w:val="none"/>
        </w:rPr>
        <w:t xml:space="preserve"> </w:t>
      </w:r>
      <w:r>
        <w:rPr>
          <w:rFonts w:hint="eastAsia" w:ascii="Times New Roman" w:hAnsi="Times New Roman" w:cs="Times New Roman"/>
          <w:color w:val="auto"/>
          <w:sz w:val="24"/>
          <w:szCs w:val="24"/>
          <w:highlight w:val="none"/>
        </w:rPr>
        <w:t>不发生暴力恐怖案件、不发生敏感涉稳问题、不发生重大恶性案件、不发生重大公共安全事故、不发生重大涉警舆情炒作、不发生队伍“大丑恶”，提高群众的安全感。</w:t>
      </w:r>
    </w:p>
    <w:p>
      <w:pPr>
        <w:spacing w:beforeLines="0" w:after="156"/>
        <w:ind w:left="0" w:leftChars="0" w:firstLine="480" w:firstLineChars="200"/>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（3）生态效益指标</w:t>
      </w:r>
    </w:p>
    <w:p>
      <w:pPr>
        <w:spacing w:beforeLines="0" w:after="156"/>
        <w:ind w:left="0" w:leftChars="0" w:firstLine="480" w:firstLineChars="200"/>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本项目无直接生态效益，因此未设置生态效益指标。</w:t>
      </w:r>
    </w:p>
    <w:p>
      <w:pPr>
        <w:spacing w:beforeLines="0" w:after="156"/>
        <w:ind w:left="0" w:leftChars="0" w:firstLine="482" w:firstLineChars="200"/>
        <w:rPr>
          <w:rFonts w:ascii="Times New Roman" w:hAnsi="Times New Roman" w:cs="Times New Roman"/>
          <w:b/>
          <w:color w:val="auto"/>
          <w:sz w:val="24"/>
          <w:szCs w:val="24"/>
          <w:highlight w:val="none"/>
        </w:rPr>
      </w:pPr>
      <w:r>
        <w:rPr>
          <w:rFonts w:ascii="Times New Roman" w:cs="Times New Roman"/>
          <w:b/>
          <w:color w:val="auto"/>
          <w:sz w:val="24"/>
          <w:szCs w:val="24"/>
          <w:highlight w:val="none"/>
        </w:rPr>
        <w:t>二、项目绩效分析</w:t>
      </w:r>
    </w:p>
    <w:p>
      <w:pPr>
        <w:spacing w:beforeLines="0" w:after="156"/>
        <w:ind w:left="0" w:leftChars="0" w:firstLine="482" w:firstLineChars="200"/>
        <w:rPr>
          <w:rFonts w:ascii="Times New Roman" w:hAnsi="Times New Roman" w:cs="Times New Roman"/>
          <w:b/>
          <w:bCs/>
          <w:color w:val="auto"/>
          <w:sz w:val="24"/>
          <w:szCs w:val="24"/>
          <w:highlight w:val="none"/>
        </w:rPr>
      </w:pPr>
      <w:r>
        <w:rPr>
          <w:rFonts w:ascii="Times New Roman" w:cs="Times New Roman"/>
          <w:b/>
          <w:bCs/>
          <w:color w:val="auto"/>
          <w:sz w:val="24"/>
          <w:szCs w:val="24"/>
          <w:highlight w:val="none"/>
        </w:rPr>
        <w:t>（一）项目管理情况</w:t>
      </w:r>
    </w:p>
    <w:p>
      <w:pPr>
        <w:spacing w:beforeLines="0" w:after="156"/>
        <w:ind w:left="0" w:leftChars="0" w:firstLine="480" w:firstLineChars="200"/>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1</w:t>
      </w:r>
      <w:r>
        <w:rPr>
          <w:rFonts w:ascii="Times New Roman" w:cs="Times New Roman"/>
          <w:color w:val="auto"/>
          <w:sz w:val="24"/>
          <w:szCs w:val="24"/>
          <w:highlight w:val="none"/>
        </w:rPr>
        <w:t>、业务管理情况</w:t>
      </w:r>
      <w:r>
        <w:rPr>
          <w:rFonts w:ascii="Times New Roman" w:hAnsi="Times New Roman" w:cs="Times New Roman"/>
          <w:color w:val="auto"/>
          <w:sz w:val="24"/>
          <w:szCs w:val="24"/>
          <w:highlight w:val="none"/>
        </w:rPr>
        <w:t xml:space="preserve"> </w:t>
      </w:r>
    </w:p>
    <w:p>
      <w:pPr>
        <w:spacing w:beforeLines="0" w:after="156"/>
        <w:ind w:left="0" w:leftChars="0" w:firstLine="480" w:firstLineChars="200"/>
        <w:rPr>
          <w:rFonts w:ascii="Times New Roman" w:cs="Times New Roman"/>
          <w:color w:val="auto"/>
          <w:sz w:val="24"/>
          <w:szCs w:val="24"/>
          <w:highlight w:val="none"/>
        </w:rPr>
      </w:pPr>
      <w:r>
        <w:rPr>
          <w:rFonts w:hint="eastAsia" w:ascii="Times New Roman" w:cs="Times New Roman"/>
          <w:color w:val="auto"/>
          <w:sz w:val="24"/>
          <w:szCs w:val="24"/>
          <w:highlight w:val="none"/>
        </w:rPr>
        <w:t>公安机关的办案职责涉及到</w:t>
      </w:r>
      <w:r>
        <w:rPr>
          <w:rFonts w:ascii="Times New Roman" w:cs="Times New Roman"/>
          <w:color w:val="auto"/>
          <w:sz w:val="24"/>
          <w:szCs w:val="24"/>
          <w:highlight w:val="none"/>
        </w:rPr>
        <w:t>刑事案件，治安管理，交通管理，消防管理，户政管理，出入境和边防管理，网络安全，禁毒，行政强制措施，监所管理，队伍建设和执法监督，行政复议、应诉、信访、赔偿等</w:t>
      </w:r>
      <w:r>
        <w:rPr>
          <w:rFonts w:hint="eastAsia" w:ascii="Times New Roman" w:cs="Times New Roman"/>
          <w:color w:val="auto"/>
          <w:sz w:val="24"/>
          <w:szCs w:val="24"/>
          <w:highlight w:val="none"/>
        </w:rPr>
        <w:t>方面。高新分局的民警严格遵循《人民警察常用法律法规全书》和《公安机关执法细则》等法律法规执行公务，合规合法。在办理“盗抢骗”、 “黄赌毒”、涉</w:t>
      </w:r>
      <w:r>
        <w:rPr>
          <w:rFonts w:ascii="Times New Roman" w:cs="Times New Roman"/>
          <w:color w:val="auto"/>
          <w:sz w:val="24"/>
          <w:szCs w:val="24"/>
          <w:highlight w:val="none"/>
        </w:rPr>
        <w:t>黑、涉恶、涉枪、命案</w:t>
      </w:r>
      <w:r>
        <w:rPr>
          <w:rFonts w:hint="eastAsia" w:ascii="Times New Roman" w:cs="Times New Roman"/>
          <w:color w:val="auto"/>
          <w:sz w:val="24"/>
          <w:szCs w:val="24"/>
          <w:highlight w:val="none"/>
        </w:rPr>
        <w:t>等刑事案件时民警严格按照《公安机关办理刑事案件程序规定》的规定执行。在办理行政案件时严格按照《公安机关办理行政案件程序规定》、《公安机关办理伤害案件规定》等规定执行。在日常巡逻、管理治安时严格执行《公安机关办理治安案件程序规定》等规定。</w:t>
      </w:r>
    </w:p>
    <w:p>
      <w:pPr>
        <w:spacing w:beforeLines="0" w:after="156"/>
        <w:ind w:left="0" w:leftChars="0" w:firstLine="480" w:firstLineChars="200"/>
        <w:rPr>
          <w:rFonts w:ascii="Times New Roman" w:cs="Times New Roman"/>
          <w:color w:val="auto"/>
          <w:sz w:val="24"/>
          <w:szCs w:val="24"/>
          <w:highlight w:val="none"/>
        </w:rPr>
      </w:pPr>
      <w:r>
        <w:rPr>
          <w:rFonts w:hint="eastAsia" w:ascii="Times New Roman" w:cs="Times New Roman"/>
          <w:color w:val="auto"/>
          <w:sz w:val="24"/>
          <w:szCs w:val="24"/>
          <w:highlight w:val="none"/>
        </w:rPr>
        <w:t>高新</w:t>
      </w:r>
      <w:r>
        <w:rPr>
          <w:rFonts w:ascii="Times New Roman" w:cs="Times New Roman"/>
          <w:color w:val="auto"/>
          <w:sz w:val="24"/>
          <w:szCs w:val="24"/>
          <w:highlight w:val="none"/>
        </w:rPr>
        <w:t>分局立足实际，成立</w:t>
      </w:r>
      <w:r>
        <w:rPr>
          <w:rFonts w:hint="eastAsia" w:ascii="Times New Roman" w:cs="Times New Roman"/>
          <w:color w:val="auto"/>
          <w:sz w:val="24"/>
          <w:szCs w:val="24"/>
          <w:highlight w:val="none"/>
        </w:rPr>
        <w:t>了</w:t>
      </w:r>
      <w:r>
        <w:rPr>
          <w:rFonts w:ascii="Times New Roman" w:cs="Times New Roman"/>
          <w:color w:val="auto"/>
          <w:sz w:val="24"/>
          <w:szCs w:val="24"/>
          <w:highlight w:val="none"/>
        </w:rPr>
        <w:t>视频侦查大队、禁毒队和网安情报队</w:t>
      </w:r>
      <w:r>
        <w:rPr>
          <w:rFonts w:hint="eastAsia" w:ascii="Times New Roman" w:cs="Times New Roman"/>
          <w:color w:val="auto"/>
          <w:sz w:val="24"/>
          <w:szCs w:val="24"/>
          <w:highlight w:val="none"/>
        </w:rPr>
        <w:t>等</w:t>
      </w:r>
      <w:r>
        <w:rPr>
          <w:rFonts w:ascii="Times New Roman" w:cs="Times New Roman"/>
          <w:color w:val="auto"/>
          <w:sz w:val="24"/>
          <w:szCs w:val="24"/>
          <w:highlight w:val="none"/>
        </w:rPr>
        <w:t>专业队伍，形成“四侦一化”合成作战、专业打职业的工作模式</w:t>
      </w:r>
      <w:r>
        <w:rPr>
          <w:rFonts w:hint="eastAsia" w:ascii="Times New Roman" w:cs="Times New Roman"/>
          <w:color w:val="auto"/>
          <w:sz w:val="24"/>
          <w:szCs w:val="24"/>
          <w:highlight w:val="none"/>
        </w:rPr>
        <w:t>；</w:t>
      </w:r>
      <w:r>
        <w:rPr>
          <w:rFonts w:ascii="Times New Roman" w:cs="Times New Roman"/>
          <w:color w:val="auto"/>
          <w:sz w:val="24"/>
          <w:szCs w:val="24"/>
          <w:highlight w:val="none"/>
        </w:rPr>
        <w:t>自主研发了在全国处于领先地位的“出入境办证预受理系统”，将群众办理出入境证照的9个步骤缩减至4个步骤，</w:t>
      </w:r>
      <w:r>
        <w:rPr>
          <w:rFonts w:hint="eastAsia" w:ascii="Times New Roman" w:cs="Times New Roman"/>
          <w:color w:val="auto"/>
          <w:sz w:val="24"/>
          <w:szCs w:val="24"/>
          <w:highlight w:val="none"/>
        </w:rPr>
        <w:t>缩短了办证的时间。全面完成2017年的绩效考评和市局提出的重点目标任务。</w:t>
      </w:r>
    </w:p>
    <w:p>
      <w:pPr>
        <w:spacing w:before="156" w:after="156"/>
        <w:ind w:left="0" w:leftChars="0" w:firstLine="480" w:firstLineChars="200"/>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2</w:t>
      </w:r>
      <w:r>
        <w:rPr>
          <w:rFonts w:ascii="Times New Roman" w:cs="Times New Roman"/>
          <w:color w:val="auto"/>
          <w:sz w:val="24"/>
          <w:szCs w:val="24"/>
          <w:highlight w:val="none"/>
        </w:rPr>
        <w:t>、财务管理情况</w:t>
      </w:r>
    </w:p>
    <w:p>
      <w:pPr>
        <w:spacing w:beforeLines="0" w:after="156"/>
        <w:ind w:left="0" w:leftChars="0" w:firstLine="480" w:firstLineChars="200"/>
        <w:rPr>
          <w:rFonts w:ascii="Times New Roman" w:cs="Times New Roman"/>
          <w:color w:val="auto"/>
          <w:sz w:val="24"/>
          <w:szCs w:val="24"/>
          <w:highlight w:val="none"/>
        </w:rPr>
      </w:pPr>
      <w:r>
        <w:rPr>
          <w:rFonts w:ascii="Times New Roman" w:hAnsi="Times New Roman" w:cs="Times New Roman"/>
          <w:color w:val="auto"/>
          <w:sz w:val="24"/>
          <w:szCs w:val="24"/>
          <w:highlight w:val="none"/>
        </w:rPr>
        <w:t>高新分局</w:t>
      </w:r>
      <w:r>
        <w:rPr>
          <w:rFonts w:hint="eastAsia" w:ascii="Times New Roman" w:hAnsi="Times New Roman" w:cs="Times New Roman"/>
          <w:color w:val="auto"/>
          <w:sz w:val="24"/>
          <w:szCs w:val="24"/>
          <w:highlight w:val="none"/>
        </w:rPr>
        <w:t>制定了《武汉市公安局武汉东湖新技术开发区分局财务管理细则（试行）》、《武汉市公安局武汉东湖新技术开发区分局费用管理细则》、《武汉市公安局武汉东湖新技术开发区分局涉案财务管理实施细则》等财务管理制度并规范了资金管理、费用支出、报销流程以及涉案财物管理方面的制度和规定。</w:t>
      </w:r>
    </w:p>
    <w:p>
      <w:pPr>
        <w:spacing w:beforeLines="0" w:after="156"/>
        <w:ind w:left="0" w:leftChars="0" w:firstLine="480" w:firstLineChars="200"/>
        <w:rPr>
          <w:rFonts w:ascii="Times New Roman" w:cs="Times New Roman"/>
          <w:color w:val="auto"/>
          <w:sz w:val="24"/>
          <w:szCs w:val="24"/>
          <w:highlight w:val="none"/>
        </w:rPr>
      </w:pPr>
      <w:r>
        <w:rPr>
          <w:rFonts w:hint="eastAsia" w:ascii="Times New Roman" w:cs="Times New Roman"/>
          <w:color w:val="auto"/>
          <w:sz w:val="24"/>
          <w:szCs w:val="24"/>
          <w:highlight w:val="none"/>
        </w:rPr>
        <w:t xml:space="preserve">办案业务是公安机关一项经常性的工作，涵盖日常执法执勤的所有环节，对该项经费的使用，高新分局严格按照财务管理制度及费用性质进行审核把关。各项办案费用手续齐全，均由分局各单位的主要领导进行支出审核、警务保障室把关，报分局领导审批后才能实施报销。  </w:t>
      </w:r>
    </w:p>
    <w:p>
      <w:pPr>
        <w:spacing w:beforeLines="0" w:after="156"/>
        <w:ind w:left="0" w:leftChars="0" w:firstLine="480" w:firstLineChars="200"/>
        <w:rPr>
          <w:rFonts w:ascii="Times New Roman" w:cs="Times New Roman"/>
          <w:color w:val="auto"/>
          <w:sz w:val="24"/>
          <w:szCs w:val="24"/>
          <w:highlight w:val="none"/>
        </w:rPr>
      </w:pPr>
      <w:r>
        <w:rPr>
          <w:rFonts w:ascii="Times New Roman" w:cs="Times New Roman"/>
          <w:color w:val="auto"/>
          <w:sz w:val="24"/>
          <w:szCs w:val="24"/>
          <w:highlight w:val="none"/>
        </w:rPr>
        <w:t>本期办公费项目支出预算</w:t>
      </w:r>
      <w:r>
        <w:rPr>
          <w:rFonts w:ascii="Times New Roman" w:hAnsi="Times New Roman" w:cs="Times New Roman"/>
          <w:color w:val="auto"/>
          <w:sz w:val="24"/>
          <w:szCs w:val="24"/>
          <w:highlight w:val="none"/>
        </w:rPr>
        <w:t>600.00</w:t>
      </w:r>
      <w:r>
        <w:rPr>
          <w:rFonts w:ascii="Times New Roman" w:cs="Times New Roman"/>
          <w:color w:val="auto"/>
          <w:sz w:val="24"/>
          <w:szCs w:val="24"/>
          <w:highlight w:val="none"/>
        </w:rPr>
        <w:t>万元，</w:t>
      </w:r>
      <w:r>
        <w:rPr>
          <w:rFonts w:hint="eastAsia" w:ascii="Times New Roman" w:cs="Times New Roman"/>
          <w:color w:val="auto"/>
          <w:sz w:val="24"/>
          <w:szCs w:val="24"/>
          <w:highlight w:val="none"/>
        </w:rPr>
        <w:t>其中</w:t>
      </w:r>
      <w:r>
        <w:rPr>
          <w:rFonts w:ascii="Times New Roman" w:cs="Times New Roman"/>
          <w:color w:val="auto"/>
          <w:sz w:val="24"/>
          <w:szCs w:val="24"/>
          <w:highlight w:val="none"/>
        </w:rPr>
        <w:t>案件办理工作经费</w:t>
      </w:r>
      <w:r>
        <w:rPr>
          <w:rFonts w:ascii="Times New Roman" w:hAnsi="Times New Roman" w:cs="Times New Roman"/>
          <w:color w:val="auto"/>
          <w:sz w:val="24"/>
          <w:szCs w:val="24"/>
          <w:highlight w:val="none"/>
        </w:rPr>
        <w:t>300.00</w:t>
      </w:r>
      <w:r>
        <w:rPr>
          <w:rFonts w:ascii="Times New Roman" w:cs="Times New Roman"/>
          <w:color w:val="auto"/>
          <w:sz w:val="24"/>
          <w:szCs w:val="24"/>
          <w:highlight w:val="none"/>
        </w:rPr>
        <w:t>万元，其它治安管理业务费用</w:t>
      </w:r>
      <w:r>
        <w:rPr>
          <w:rFonts w:ascii="Times New Roman" w:hAnsi="Times New Roman" w:cs="Times New Roman"/>
          <w:color w:val="auto"/>
          <w:sz w:val="24"/>
          <w:szCs w:val="24"/>
          <w:highlight w:val="none"/>
        </w:rPr>
        <w:t>100.00</w:t>
      </w:r>
      <w:r>
        <w:rPr>
          <w:rFonts w:ascii="Times New Roman" w:cs="Times New Roman"/>
          <w:color w:val="auto"/>
          <w:sz w:val="24"/>
          <w:szCs w:val="24"/>
          <w:highlight w:val="none"/>
        </w:rPr>
        <w:t>万元，特情工作专项经费</w:t>
      </w:r>
      <w:r>
        <w:rPr>
          <w:rFonts w:ascii="Times New Roman" w:hAnsi="Times New Roman" w:cs="Times New Roman"/>
          <w:color w:val="auto"/>
          <w:sz w:val="24"/>
          <w:szCs w:val="24"/>
          <w:highlight w:val="none"/>
        </w:rPr>
        <w:t>100.00</w:t>
      </w:r>
      <w:r>
        <w:rPr>
          <w:rFonts w:ascii="Times New Roman" w:cs="Times New Roman"/>
          <w:color w:val="auto"/>
          <w:sz w:val="24"/>
          <w:szCs w:val="24"/>
          <w:highlight w:val="none"/>
        </w:rPr>
        <w:t>万元</w:t>
      </w:r>
      <w:r>
        <w:rPr>
          <w:rFonts w:hint="eastAsia" w:ascii="Times New Roman" w:cs="Times New Roman"/>
          <w:color w:val="auto"/>
          <w:sz w:val="24"/>
          <w:szCs w:val="24"/>
          <w:highlight w:val="none"/>
        </w:rPr>
        <w:t>，</w:t>
      </w:r>
      <w:r>
        <w:rPr>
          <w:rFonts w:ascii="Times New Roman" w:cs="Times New Roman"/>
          <w:color w:val="auto"/>
          <w:sz w:val="24"/>
          <w:szCs w:val="24"/>
          <w:highlight w:val="none"/>
        </w:rPr>
        <w:t>用于群众奖励及案件奖励经费</w:t>
      </w:r>
      <w:r>
        <w:rPr>
          <w:rFonts w:ascii="Times New Roman" w:hAnsi="Times New Roman" w:cs="Times New Roman"/>
          <w:color w:val="auto"/>
          <w:sz w:val="24"/>
          <w:szCs w:val="24"/>
          <w:highlight w:val="none"/>
        </w:rPr>
        <w:t>100.00</w:t>
      </w:r>
      <w:r>
        <w:rPr>
          <w:rFonts w:ascii="Times New Roman" w:cs="Times New Roman"/>
          <w:color w:val="auto"/>
          <w:sz w:val="24"/>
          <w:szCs w:val="24"/>
          <w:highlight w:val="none"/>
        </w:rPr>
        <w:t>万元</w:t>
      </w:r>
      <w:r>
        <w:rPr>
          <w:rFonts w:hint="eastAsia" w:ascii="Times New Roman" w:cs="Times New Roman"/>
          <w:color w:val="auto"/>
          <w:sz w:val="24"/>
          <w:szCs w:val="24"/>
          <w:highlight w:val="none"/>
        </w:rPr>
        <w:t>。项目经费</w:t>
      </w:r>
      <w:r>
        <w:rPr>
          <w:rFonts w:ascii="Times New Roman" w:cs="Times New Roman"/>
          <w:color w:val="auto"/>
          <w:sz w:val="24"/>
          <w:szCs w:val="24"/>
          <w:highlight w:val="none"/>
        </w:rPr>
        <w:t>实际资金到位</w:t>
      </w:r>
      <w:r>
        <w:rPr>
          <w:rFonts w:ascii="Times New Roman" w:hAnsi="Times New Roman" w:cs="Times New Roman"/>
          <w:color w:val="auto"/>
          <w:sz w:val="24"/>
          <w:szCs w:val="24"/>
          <w:highlight w:val="none"/>
        </w:rPr>
        <w:t>600.00</w:t>
      </w:r>
      <w:r>
        <w:rPr>
          <w:rFonts w:ascii="Times New Roman" w:cs="Times New Roman"/>
          <w:color w:val="auto"/>
          <w:sz w:val="24"/>
          <w:szCs w:val="24"/>
          <w:highlight w:val="none"/>
        </w:rPr>
        <w:t>万元</w:t>
      </w:r>
      <w:r>
        <w:rPr>
          <w:rFonts w:hint="eastAsia" w:ascii="Times New Roman" w:cs="Times New Roman"/>
          <w:color w:val="auto"/>
          <w:sz w:val="24"/>
          <w:szCs w:val="24"/>
          <w:highlight w:val="none"/>
        </w:rPr>
        <w:t>。</w:t>
      </w:r>
      <w:r>
        <w:rPr>
          <w:rFonts w:ascii="Times New Roman" w:cs="Times New Roman"/>
          <w:color w:val="auto"/>
          <w:sz w:val="24"/>
          <w:szCs w:val="24"/>
          <w:highlight w:val="none"/>
        </w:rPr>
        <w:t>本期项目实际支出</w:t>
      </w:r>
      <w:r>
        <w:rPr>
          <w:rFonts w:ascii="Times New Roman" w:hAnsi="Times New Roman" w:cs="Times New Roman"/>
          <w:color w:val="auto"/>
          <w:sz w:val="24"/>
          <w:szCs w:val="24"/>
          <w:highlight w:val="none"/>
        </w:rPr>
        <w:t>600.00</w:t>
      </w:r>
      <w:r>
        <w:rPr>
          <w:rFonts w:ascii="Times New Roman" w:cs="Times New Roman"/>
          <w:color w:val="auto"/>
          <w:sz w:val="24"/>
          <w:szCs w:val="24"/>
          <w:highlight w:val="none"/>
        </w:rPr>
        <w:t>万元。</w:t>
      </w:r>
      <w:r>
        <w:rPr>
          <w:rFonts w:hint="eastAsia" w:ascii="Times New Roman" w:cs="Times New Roman"/>
          <w:color w:val="auto"/>
          <w:sz w:val="24"/>
          <w:szCs w:val="24"/>
          <w:highlight w:val="none"/>
        </w:rPr>
        <w:t>资金基本用于办案项目，有少量该资金项目用于购置电动车、修锁等支出。</w:t>
      </w:r>
    </w:p>
    <w:p>
      <w:pPr>
        <w:spacing w:beforeLines="0" w:after="156"/>
        <w:ind w:left="0" w:leftChars="0" w:firstLine="482" w:firstLineChars="200"/>
        <w:rPr>
          <w:rFonts w:ascii="Times New Roman" w:hAnsi="Times New Roman" w:cs="Times New Roman"/>
          <w:b/>
          <w:bCs/>
          <w:color w:val="auto"/>
          <w:sz w:val="24"/>
          <w:szCs w:val="24"/>
          <w:highlight w:val="none"/>
        </w:rPr>
      </w:pPr>
      <w:r>
        <w:rPr>
          <w:rFonts w:ascii="Times New Roman" w:cs="Times New Roman"/>
          <w:b/>
          <w:bCs/>
          <w:color w:val="auto"/>
          <w:sz w:val="24"/>
          <w:szCs w:val="24"/>
          <w:highlight w:val="none"/>
        </w:rPr>
        <w:t>（二）项目预算绩效目标的完成情况</w:t>
      </w:r>
    </w:p>
    <w:p>
      <w:pPr>
        <w:spacing w:beforeLines="0" w:after="156"/>
        <w:ind w:left="0" w:leftChars="0" w:firstLine="480" w:firstLineChars="200"/>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1</w:t>
      </w:r>
      <w:r>
        <w:rPr>
          <w:rFonts w:ascii="Times New Roman" w:cs="Times New Roman"/>
          <w:color w:val="auto"/>
          <w:sz w:val="24"/>
          <w:szCs w:val="24"/>
          <w:highlight w:val="none"/>
        </w:rPr>
        <w:t>、产出目标</w:t>
      </w:r>
    </w:p>
    <w:p>
      <w:pPr>
        <w:snapToGrid w:val="0"/>
        <w:spacing w:beforeLines="0" w:after="156"/>
        <w:ind w:left="0" w:leftChars="0" w:firstLine="480" w:firstLineChars="200"/>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a</w:t>
      </w:r>
      <w:r>
        <w:rPr>
          <w:rFonts w:ascii="Times New Roman" w:cs="Times New Roman"/>
          <w:color w:val="auto"/>
          <w:sz w:val="24"/>
          <w:szCs w:val="24"/>
          <w:highlight w:val="none"/>
        </w:rPr>
        <w:t>、百名民警侦破刑事案件数</w:t>
      </w:r>
      <w:r>
        <w:rPr>
          <w:rFonts w:ascii="Times New Roman" w:hAnsi="Times New Roman" w:cs="Times New Roman"/>
          <w:color w:val="auto"/>
          <w:sz w:val="24"/>
          <w:szCs w:val="24"/>
          <w:highlight w:val="none"/>
        </w:rPr>
        <w:t>23</w:t>
      </w:r>
      <w:r>
        <w:rPr>
          <w:rFonts w:hint="eastAsia" w:ascii="Times New Roman" w:hAnsi="Times New Roman" w:cs="Times New Roman"/>
          <w:color w:val="auto"/>
          <w:sz w:val="24"/>
          <w:szCs w:val="24"/>
          <w:highlight w:val="none"/>
        </w:rPr>
        <w:t>2</w:t>
      </w:r>
      <w:r>
        <w:rPr>
          <w:rFonts w:ascii="Times New Roman" w:cs="Times New Roman"/>
          <w:color w:val="auto"/>
          <w:sz w:val="24"/>
          <w:szCs w:val="24"/>
          <w:highlight w:val="none"/>
        </w:rPr>
        <w:t>件，完成率达</w:t>
      </w:r>
      <w:r>
        <w:rPr>
          <w:rFonts w:hint="eastAsia" w:ascii="Times New Roman" w:hAnsi="Times New Roman" w:cs="Times New Roman"/>
          <w:color w:val="auto"/>
          <w:sz w:val="24"/>
          <w:szCs w:val="24"/>
          <w:highlight w:val="none"/>
        </w:rPr>
        <w:t>100.87</w:t>
      </w:r>
      <w:r>
        <w:rPr>
          <w:rFonts w:ascii="Times New Roman" w:hAnsi="Times New Roman" w:cs="Times New Roman"/>
          <w:color w:val="auto"/>
          <w:sz w:val="24"/>
          <w:szCs w:val="24"/>
          <w:highlight w:val="none"/>
        </w:rPr>
        <w:t>%</w:t>
      </w:r>
      <w:r>
        <w:rPr>
          <w:rFonts w:ascii="Times New Roman" w:cs="Times New Roman"/>
          <w:color w:val="auto"/>
          <w:sz w:val="24"/>
          <w:szCs w:val="24"/>
          <w:highlight w:val="none"/>
        </w:rPr>
        <w:t>；</w:t>
      </w:r>
    </w:p>
    <w:p>
      <w:pPr>
        <w:snapToGrid w:val="0"/>
        <w:spacing w:beforeLines="0" w:after="156"/>
        <w:ind w:left="0" w:leftChars="0" w:firstLine="480" w:firstLineChars="200"/>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b</w:t>
      </w:r>
      <w:r>
        <w:rPr>
          <w:rFonts w:ascii="Times New Roman" w:cs="Times New Roman"/>
          <w:color w:val="auto"/>
          <w:sz w:val="24"/>
          <w:szCs w:val="24"/>
          <w:highlight w:val="none"/>
        </w:rPr>
        <w:t>、百名民警治安案件结案件数</w:t>
      </w:r>
      <w:r>
        <w:rPr>
          <w:rFonts w:hint="eastAsia" w:ascii="Times New Roman" w:hAnsi="Times New Roman" w:cs="Times New Roman"/>
          <w:color w:val="auto"/>
          <w:sz w:val="24"/>
          <w:szCs w:val="24"/>
          <w:highlight w:val="none"/>
        </w:rPr>
        <w:t>161</w:t>
      </w:r>
      <w:r>
        <w:rPr>
          <w:rFonts w:ascii="Times New Roman" w:cs="Times New Roman"/>
          <w:color w:val="auto"/>
          <w:sz w:val="24"/>
          <w:szCs w:val="24"/>
          <w:highlight w:val="none"/>
        </w:rPr>
        <w:t>件，完成率达</w:t>
      </w:r>
      <w:r>
        <w:rPr>
          <w:rFonts w:hint="eastAsia" w:ascii="Times New Roman" w:hAnsi="Times New Roman" w:cs="Times New Roman"/>
          <w:color w:val="auto"/>
          <w:sz w:val="24"/>
          <w:szCs w:val="24"/>
          <w:highlight w:val="none"/>
        </w:rPr>
        <w:t>137.61</w:t>
      </w:r>
      <w:r>
        <w:rPr>
          <w:rFonts w:ascii="Times New Roman" w:hAnsi="Times New Roman" w:cs="Times New Roman"/>
          <w:color w:val="auto"/>
          <w:sz w:val="24"/>
          <w:szCs w:val="24"/>
          <w:highlight w:val="none"/>
        </w:rPr>
        <w:t>%</w:t>
      </w:r>
      <w:r>
        <w:rPr>
          <w:rFonts w:ascii="Times New Roman" w:cs="Times New Roman"/>
          <w:color w:val="auto"/>
          <w:sz w:val="24"/>
          <w:szCs w:val="24"/>
          <w:highlight w:val="none"/>
        </w:rPr>
        <w:t>；</w:t>
      </w:r>
    </w:p>
    <w:p>
      <w:pPr>
        <w:snapToGrid w:val="0"/>
        <w:spacing w:beforeLines="0" w:after="156"/>
        <w:ind w:left="0" w:leftChars="0" w:firstLine="480" w:firstLineChars="200"/>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c</w:t>
      </w:r>
      <w:r>
        <w:rPr>
          <w:rFonts w:ascii="Times New Roman" w:cs="Times New Roman"/>
          <w:color w:val="auto"/>
          <w:sz w:val="24"/>
          <w:szCs w:val="24"/>
          <w:highlight w:val="none"/>
        </w:rPr>
        <w:t>、破获经济犯罪案件</w:t>
      </w:r>
      <w:r>
        <w:rPr>
          <w:rFonts w:hint="eastAsia" w:ascii="Times New Roman" w:hAnsi="Times New Roman" w:cs="Times New Roman"/>
          <w:color w:val="auto"/>
          <w:sz w:val="24"/>
          <w:szCs w:val="24"/>
          <w:highlight w:val="none"/>
        </w:rPr>
        <w:t>79</w:t>
      </w:r>
      <w:r>
        <w:rPr>
          <w:rFonts w:ascii="Times New Roman" w:cs="Times New Roman"/>
          <w:color w:val="auto"/>
          <w:sz w:val="24"/>
          <w:szCs w:val="24"/>
          <w:highlight w:val="none"/>
        </w:rPr>
        <w:t>起，完成率达</w:t>
      </w:r>
      <w:r>
        <w:rPr>
          <w:rFonts w:hint="eastAsia" w:ascii="Times New Roman" w:hAnsi="Times New Roman" w:cs="Times New Roman"/>
          <w:color w:val="auto"/>
          <w:sz w:val="24"/>
          <w:szCs w:val="24"/>
          <w:highlight w:val="none"/>
        </w:rPr>
        <w:t>106.76</w:t>
      </w:r>
      <w:r>
        <w:rPr>
          <w:rFonts w:ascii="Times New Roman" w:hAnsi="Times New Roman" w:cs="Times New Roman"/>
          <w:color w:val="auto"/>
          <w:sz w:val="24"/>
          <w:szCs w:val="24"/>
          <w:highlight w:val="none"/>
        </w:rPr>
        <w:t>%</w:t>
      </w:r>
      <w:r>
        <w:rPr>
          <w:rFonts w:ascii="Times New Roman" w:cs="Times New Roman"/>
          <w:color w:val="auto"/>
          <w:sz w:val="24"/>
          <w:szCs w:val="24"/>
          <w:highlight w:val="none"/>
        </w:rPr>
        <w:t>；</w:t>
      </w:r>
    </w:p>
    <w:p>
      <w:pPr>
        <w:snapToGrid w:val="0"/>
        <w:spacing w:beforeLines="0" w:after="156"/>
        <w:ind w:left="0" w:leftChars="0" w:firstLine="480" w:firstLineChars="200"/>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d</w:t>
      </w:r>
      <w:r>
        <w:rPr>
          <w:rFonts w:ascii="Times New Roman" w:cs="Times New Roman"/>
          <w:color w:val="auto"/>
          <w:sz w:val="24"/>
          <w:szCs w:val="24"/>
          <w:highlight w:val="none"/>
        </w:rPr>
        <w:t>、侦破毒品罪案件数</w:t>
      </w:r>
      <w:r>
        <w:rPr>
          <w:rFonts w:hint="eastAsia" w:ascii="Times New Roman" w:hAnsi="Times New Roman" w:cs="Times New Roman"/>
          <w:color w:val="auto"/>
          <w:sz w:val="24"/>
          <w:szCs w:val="24"/>
          <w:highlight w:val="none"/>
        </w:rPr>
        <w:t>62</w:t>
      </w:r>
      <w:r>
        <w:rPr>
          <w:rFonts w:ascii="Times New Roman" w:cs="Times New Roman"/>
          <w:color w:val="auto"/>
          <w:sz w:val="24"/>
          <w:szCs w:val="24"/>
          <w:highlight w:val="none"/>
        </w:rPr>
        <w:t>起，完成率达</w:t>
      </w:r>
      <w:r>
        <w:rPr>
          <w:rFonts w:hint="eastAsia" w:ascii="Times New Roman" w:hAnsi="Times New Roman" w:cs="Times New Roman"/>
          <w:color w:val="auto"/>
          <w:sz w:val="24"/>
          <w:szCs w:val="24"/>
          <w:highlight w:val="none"/>
        </w:rPr>
        <w:t>103.33</w:t>
      </w:r>
      <w:r>
        <w:rPr>
          <w:rFonts w:ascii="Times New Roman" w:hAnsi="Times New Roman" w:cs="Times New Roman"/>
          <w:color w:val="auto"/>
          <w:sz w:val="24"/>
          <w:szCs w:val="24"/>
          <w:highlight w:val="none"/>
        </w:rPr>
        <w:t>%</w:t>
      </w:r>
      <w:r>
        <w:rPr>
          <w:rFonts w:ascii="Times New Roman" w:cs="Times New Roman"/>
          <w:color w:val="auto"/>
          <w:sz w:val="24"/>
          <w:szCs w:val="24"/>
          <w:highlight w:val="none"/>
        </w:rPr>
        <w:t>；</w:t>
      </w:r>
    </w:p>
    <w:p>
      <w:pPr>
        <w:snapToGrid w:val="0"/>
        <w:spacing w:beforeLines="0" w:after="156"/>
        <w:ind w:left="0" w:leftChars="0" w:firstLine="480" w:firstLineChars="200"/>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e</w:t>
      </w:r>
      <w:r>
        <w:rPr>
          <w:rFonts w:ascii="Times New Roman" w:cs="Times New Roman"/>
          <w:color w:val="auto"/>
          <w:sz w:val="24"/>
          <w:szCs w:val="24"/>
          <w:highlight w:val="none"/>
        </w:rPr>
        <w:t>、侵财案件破案数</w:t>
      </w:r>
      <w:r>
        <w:rPr>
          <w:rFonts w:hint="eastAsia" w:ascii="Times New Roman" w:hAnsi="Times New Roman" w:cs="Times New Roman"/>
          <w:color w:val="auto"/>
          <w:sz w:val="24"/>
          <w:szCs w:val="24"/>
          <w:highlight w:val="none"/>
        </w:rPr>
        <w:t>1,325</w:t>
      </w:r>
      <w:r>
        <w:rPr>
          <w:rFonts w:ascii="Times New Roman" w:cs="Times New Roman"/>
          <w:color w:val="auto"/>
          <w:sz w:val="24"/>
          <w:szCs w:val="24"/>
          <w:highlight w:val="none"/>
        </w:rPr>
        <w:t>起，完成率达</w:t>
      </w:r>
      <w:r>
        <w:rPr>
          <w:rFonts w:hint="eastAsia" w:ascii="Times New Roman" w:hAnsi="Times New Roman" w:cs="Times New Roman"/>
          <w:color w:val="auto"/>
          <w:sz w:val="24"/>
          <w:szCs w:val="24"/>
          <w:highlight w:val="none"/>
        </w:rPr>
        <w:t>101.92</w:t>
      </w:r>
      <w:r>
        <w:rPr>
          <w:rFonts w:ascii="Times New Roman" w:hAnsi="Times New Roman" w:cs="Times New Roman"/>
          <w:color w:val="auto"/>
          <w:sz w:val="24"/>
          <w:szCs w:val="24"/>
          <w:highlight w:val="none"/>
        </w:rPr>
        <w:t>%</w:t>
      </w:r>
      <w:r>
        <w:rPr>
          <w:rFonts w:ascii="Times New Roman" w:cs="Times New Roman"/>
          <w:color w:val="auto"/>
          <w:sz w:val="24"/>
          <w:szCs w:val="24"/>
          <w:highlight w:val="none"/>
        </w:rPr>
        <w:t>；</w:t>
      </w:r>
    </w:p>
    <w:p>
      <w:pPr>
        <w:snapToGrid w:val="0"/>
        <w:spacing w:beforeLines="0" w:after="156"/>
        <w:ind w:left="0" w:leftChars="0" w:firstLine="480" w:firstLineChars="200"/>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f</w:t>
      </w:r>
      <w:r>
        <w:rPr>
          <w:rFonts w:ascii="Times New Roman" w:cs="Times New Roman"/>
          <w:color w:val="auto"/>
          <w:sz w:val="24"/>
          <w:szCs w:val="24"/>
          <w:highlight w:val="none"/>
        </w:rPr>
        <w:t>、吸毒人员收戒人数</w:t>
      </w:r>
      <w:r>
        <w:rPr>
          <w:rFonts w:hint="eastAsia" w:ascii="Times New Roman" w:hAnsi="Times New Roman" w:cs="Times New Roman"/>
          <w:color w:val="auto"/>
          <w:sz w:val="24"/>
          <w:szCs w:val="24"/>
          <w:highlight w:val="none"/>
        </w:rPr>
        <w:t>85</w:t>
      </w:r>
      <w:r>
        <w:rPr>
          <w:rFonts w:ascii="Times New Roman" w:cs="Times New Roman"/>
          <w:color w:val="auto"/>
          <w:sz w:val="24"/>
          <w:szCs w:val="24"/>
          <w:highlight w:val="none"/>
        </w:rPr>
        <w:t>人，完成率达</w:t>
      </w:r>
      <w:r>
        <w:rPr>
          <w:rFonts w:hint="eastAsia" w:ascii="Times New Roman" w:hAnsi="Times New Roman" w:cs="Times New Roman"/>
          <w:color w:val="auto"/>
          <w:sz w:val="24"/>
          <w:szCs w:val="24"/>
          <w:highlight w:val="none"/>
        </w:rPr>
        <w:t>121.43</w:t>
      </w:r>
      <w:r>
        <w:rPr>
          <w:rFonts w:ascii="Times New Roman" w:hAnsi="Times New Roman" w:cs="Times New Roman"/>
          <w:color w:val="auto"/>
          <w:sz w:val="24"/>
          <w:szCs w:val="24"/>
          <w:highlight w:val="none"/>
        </w:rPr>
        <w:t>%</w:t>
      </w:r>
      <w:r>
        <w:rPr>
          <w:rFonts w:ascii="Times New Roman" w:cs="Times New Roman"/>
          <w:color w:val="auto"/>
          <w:sz w:val="24"/>
          <w:szCs w:val="24"/>
          <w:highlight w:val="none"/>
        </w:rPr>
        <w:t>；</w:t>
      </w:r>
    </w:p>
    <w:p>
      <w:pPr>
        <w:snapToGrid w:val="0"/>
        <w:spacing w:beforeLines="0" w:after="156"/>
        <w:ind w:left="0" w:leftChars="0" w:firstLine="480" w:firstLineChars="200"/>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g</w:t>
      </w:r>
      <w:r>
        <w:rPr>
          <w:rFonts w:ascii="Times New Roman" w:cs="Times New Roman"/>
          <w:color w:val="auto"/>
          <w:sz w:val="24"/>
          <w:szCs w:val="24"/>
          <w:highlight w:val="none"/>
        </w:rPr>
        <w:t>、五十人以上群体事件预警率</w:t>
      </w:r>
      <w:r>
        <w:rPr>
          <w:rFonts w:hint="eastAsia" w:ascii="Times New Roman" w:cs="Times New Roman"/>
          <w:color w:val="auto"/>
          <w:sz w:val="24"/>
          <w:szCs w:val="24"/>
          <w:highlight w:val="none"/>
        </w:rPr>
        <w:t>100</w:t>
      </w:r>
      <w:r>
        <w:rPr>
          <w:rFonts w:ascii="Times New Roman" w:hAnsi="Times New Roman" w:cs="Times New Roman"/>
          <w:color w:val="auto"/>
          <w:sz w:val="24"/>
          <w:szCs w:val="24"/>
          <w:highlight w:val="none"/>
        </w:rPr>
        <w:t>%</w:t>
      </w:r>
      <w:r>
        <w:rPr>
          <w:rFonts w:hint="eastAsia" w:ascii="Times New Roman" w:hAnsi="Times New Roman" w:cs="Times New Roman"/>
          <w:color w:val="auto"/>
          <w:sz w:val="24"/>
          <w:szCs w:val="24"/>
          <w:highlight w:val="none"/>
        </w:rPr>
        <w:t>，按计划指标完成；</w:t>
      </w:r>
    </w:p>
    <w:p>
      <w:pPr>
        <w:snapToGrid w:val="0"/>
        <w:spacing w:beforeLines="0" w:after="156"/>
        <w:ind w:left="0" w:leftChars="0" w:firstLine="480" w:firstLineChars="200"/>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h、</w:t>
      </w:r>
      <w:r>
        <w:rPr>
          <w:rFonts w:ascii="Times New Roman" w:cs="Times New Roman"/>
          <w:color w:val="auto"/>
          <w:sz w:val="24"/>
          <w:szCs w:val="24"/>
          <w:highlight w:val="none"/>
        </w:rPr>
        <w:t>刑事案件破案率</w:t>
      </w:r>
      <w:r>
        <w:rPr>
          <w:rFonts w:hint="eastAsia" w:ascii="Times New Roman" w:cs="Times New Roman"/>
          <w:color w:val="auto"/>
          <w:sz w:val="24"/>
          <w:szCs w:val="24"/>
          <w:highlight w:val="none"/>
        </w:rPr>
        <w:t>27.7%，超额完成0.7%；</w:t>
      </w:r>
    </w:p>
    <w:p>
      <w:pPr>
        <w:snapToGrid w:val="0"/>
        <w:spacing w:beforeLines="0" w:after="156"/>
        <w:ind w:left="0" w:leftChars="0" w:firstLine="480" w:firstLineChars="200"/>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i、</w:t>
      </w:r>
      <w:r>
        <w:rPr>
          <w:rFonts w:ascii="Times New Roman" w:cs="Times New Roman"/>
          <w:color w:val="auto"/>
          <w:sz w:val="24"/>
          <w:szCs w:val="24"/>
          <w:highlight w:val="none"/>
        </w:rPr>
        <w:t>治安案件结案率</w:t>
      </w:r>
      <w:r>
        <w:rPr>
          <w:rFonts w:hint="eastAsia" w:ascii="Times New Roman" w:cs="Times New Roman"/>
          <w:color w:val="auto"/>
          <w:sz w:val="24"/>
          <w:szCs w:val="24"/>
          <w:highlight w:val="none"/>
        </w:rPr>
        <w:t>25%，超额完成1%；</w:t>
      </w:r>
    </w:p>
    <w:p>
      <w:pPr>
        <w:snapToGrid w:val="0"/>
        <w:spacing w:beforeLines="0" w:after="156"/>
        <w:ind w:left="0" w:leftChars="0" w:firstLine="480" w:firstLineChars="200"/>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j、</w:t>
      </w:r>
      <w:r>
        <w:rPr>
          <w:rFonts w:ascii="Times New Roman" w:cs="Times New Roman"/>
          <w:color w:val="auto"/>
          <w:sz w:val="24"/>
          <w:szCs w:val="24"/>
          <w:highlight w:val="none"/>
        </w:rPr>
        <w:t>命案侦破率</w:t>
      </w:r>
      <w:r>
        <w:rPr>
          <w:rFonts w:hint="eastAsia" w:ascii="Times New Roman" w:cs="Times New Roman"/>
          <w:color w:val="auto"/>
          <w:sz w:val="24"/>
          <w:szCs w:val="24"/>
          <w:highlight w:val="none"/>
        </w:rPr>
        <w:t>100%，超额完成5%；</w:t>
      </w:r>
    </w:p>
    <w:p>
      <w:pPr>
        <w:snapToGrid w:val="0"/>
        <w:spacing w:beforeLines="0" w:after="156"/>
        <w:ind w:left="0" w:leftChars="0" w:firstLine="480" w:firstLineChars="200"/>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k、</w:t>
      </w:r>
      <w:r>
        <w:rPr>
          <w:rFonts w:ascii="Times New Roman" w:cs="Times New Roman"/>
          <w:color w:val="auto"/>
          <w:sz w:val="24"/>
          <w:szCs w:val="24"/>
          <w:highlight w:val="none"/>
        </w:rPr>
        <w:t>枪案破案率</w:t>
      </w:r>
      <w:r>
        <w:rPr>
          <w:rFonts w:hint="eastAsia" w:ascii="Times New Roman" w:cs="Times New Roman"/>
          <w:color w:val="auto"/>
          <w:sz w:val="24"/>
          <w:szCs w:val="24"/>
          <w:highlight w:val="none"/>
        </w:rPr>
        <w:t>100%，超额完成5%；</w:t>
      </w:r>
    </w:p>
    <w:p>
      <w:pPr>
        <w:snapToGrid w:val="0"/>
        <w:spacing w:beforeLines="0" w:after="156"/>
        <w:ind w:left="0" w:leftChars="0" w:firstLine="480" w:firstLineChars="200"/>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l、</w:t>
      </w:r>
      <w:r>
        <w:rPr>
          <w:rFonts w:ascii="Times New Roman" w:cs="Times New Roman"/>
          <w:color w:val="auto"/>
          <w:sz w:val="24"/>
          <w:szCs w:val="24"/>
          <w:highlight w:val="none"/>
        </w:rPr>
        <w:t>五十人以上群体事件处置率</w:t>
      </w:r>
      <w:r>
        <w:rPr>
          <w:rFonts w:hint="eastAsia" w:ascii="Times New Roman" w:hAnsi="Times New Roman" w:cs="Times New Roman"/>
          <w:color w:val="auto"/>
          <w:sz w:val="24"/>
          <w:szCs w:val="24"/>
          <w:highlight w:val="none"/>
        </w:rPr>
        <w:t>100</w:t>
      </w:r>
      <w:r>
        <w:rPr>
          <w:rFonts w:ascii="Times New Roman" w:hAnsi="Times New Roman" w:cs="Times New Roman"/>
          <w:color w:val="auto"/>
          <w:sz w:val="24"/>
          <w:szCs w:val="24"/>
          <w:highlight w:val="none"/>
        </w:rPr>
        <w:t>%</w:t>
      </w:r>
      <w:r>
        <w:rPr>
          <w:rFonts w:ascii="Times New Roman" w:cs="Times New Roman"/>
          <w:color w:val="auto"/>
          <w:sz w:val="24"/>
          <w:szCs w:val="24"/>
          <w:highlight w:val="none"/>
        </w:rPr>
        <w:t>，</w:t>
      </w:r>
      <w:r>
        <w:rPr>
          <w:rFonts w:hint="eastAsia" w:ascii="Times New Roman" w:cs="Times New Roman"/>
          <w:color w:val="auto"/>
          <w:sz w:val="24"/>
          <w:szCs w:val="24"/>
          <w:highlight w:val="none"/>
        </w:rPr>
        <w:t>超额完成5</w:t>
      </w:r>
      <w:r>
        <w:rPr>
          <w:rFonts w:ascii="Times New Roman" w:hAnsi="Times New Roman" w:cs="Times New Roman"/>
          <w:color w:val="auto"/>
          <w:sz w:val="24"/>
          <w:szCs w:val="24"/>
          <w:highlight w:val="none"/>
        </w:rPr>
        <w:t>%</w:t>
      </w:r>
      <w:r>
        <w:rPr>
          <w:rFonts w:ascii="Times New Roman" w:cs="Times New Roman"/>
          <w:color w:val="auto"/>
          <w:sz w:val="24"/>
          <w:szCs w:val="24"/>
          <w:highlight w:val="none"/>
        </w:rPr>
        <w:t>。</w:t>
      </w:r>
    </w:p>
    <w:p>
      <w:pPr>
        <w:spacing w:beforeLines="0" w:after="156"/>
        <w:ind w:left="0" w:leftChars="0" w:firstLine="480" w:firstLineChars="200"/>
        <w:rPr>
          <w:rFonts w:ascii="Times New Roman" w:cs="Times New Roman"/>
          <w:color w:val="auto"/>
          <w:sz w:val="24"/>
          <w:szCs w:val="24"/>
          <w:highlight w:val="none"/>
        </w:rPr>
      </w:pPr>
      <w:r>
        <w:rPr>
          <w:rFonts w:ascii="Times New Roman" w:hAnsi="Times New Roman" w:cs="Times New Roman"/>
          <w:color w:val="auto"/>
          <w:sz w:val="24"/>
          <w:szCs w:val="24"/>
          <w:highlight w:val="none"/>
        </w:rPr>
        <w:t>2</w:t>
      </w:r>
      <w:r>
        <w:rPr>
          <w:rFonts w:ascii="Times New Roman" w:cs="Times New Roman"/>
          <w:color w:val="auto"/>
          <w:sz w:val="24"/>
          <w:szCs w:val="24"/>
          <w:highlight w:val="none"/>
        </w:rPr>
        <w:t>、</w:t>
      </w:r>
      <w:r>
        <w:rPr>
          <w:rFonts w:hint="eastAsia" w:ascii="Times New Roman" w:cs="Times New Roman"/>
          <w:color w:val="auto"/>
          <w:sz w:val="24"/>
          <w:szCs w:val="24"/>
          <w:highlight w:val="none"/>
        </w:rPr>
        <w:t>成本指标</w:t>
      </w:r>
    </w:p>
    <w:p>
      <w:pPr>
        <w:spacing w:beforeLines="0" w:after="156"/>
        <w:ind w:left="0" w:leftChars="0" w:firstLine="480" w:firstLineChars="200"/>
        <w:rPr>
          <w:rFonts w:ascii="Times New Roman" w:cs="Times New Roman"/>
          <w:color w:val="auto"/>
          <w:sz w:val="24"/>
          <w:szCs w:val="24"/>
          <w:highlight w:val="none"/>
        </w:rPr>
      </w:pPr>
      <w:r>
        <w:rPr>
          <w:rFonts w:hint="eastAsia" w:ascii="Times New Roman" w:cs="Times New Roman"/>
          <w:color w:val="auto"/>
          <w:sz w:val="24"/>
          <w:szCs w:val="24"/>
          <w:highlight w:val="none"/>
        </w:rPr>
        <w:t>预算执行率为100%。</w:t>
      </w:r>
    </w:p>
    <w:p>
      <w:pPr>
        <w:spacing w:beforeLines="0" w:after="156"/>
        <w:ind w:left="0" w:leftChars="0" w:firstLine="480" w:firstLineChars="200"/>
        <w:rPr>
          <w:rFonts w:ascii="Times New Roman" w:hAnsi="Times New Roman" w:cs="Times New Roman"/>
          <w:color w:val="auto"/>
          <w:sz w:val="24"/>
          <w:szCs w:val="24"/>
          <w:highlight w:val="none"/>
        </w:rPr>
      </w:pPr>
      <w:r>
        <w:rPr>
          <w:rFonts w:hint="eastAsia" w:ascii="Times New Roman" w:cs="Times New Roman"/>
          <w:color w:val="auto"/>
          <w:sz w:val="24"/>
          <w:szCs w:val="24"/>
          <w:highlight w:val="none"/>
        </w:rPr>
        <w:t>3、</w:t>
      </w:r>
      <w:r>
        <w:rPr>
          <w:rFonts w:ascii="Times New Roman" w:cs="Times New Roman"/>
          <w:color w:val="auto"/>
          <w:sz w:val="24"/>
          <w:szCs w:val="24"/>
          <w:highlight w:val="none"/>
        </w:rPr>
        <w:t>效果目标</w:t>
      </w:r>
    </w:p>
    <w:p>
      <w:pPr>
        <w:spacing w:beforeLines="0" w:after="156"/>
        <w:ind w:left="0" w:leftChars="0" w:firstLine="480" w:firstLineChars="200"/>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2017年高新分局能够完成各项指标，破案打击质效提升。今年以来，依法刑拘犯罪嫌疑人同比上升6.6%；全年刑拘“盗抢骗”犯罪嫌疑人同比上升30.1%，全年逮捕犯罪嫌疑人同比上升18.1%，移送起诉犯罪嫌疑人同比上升8.4%，共打掉职业“盗抢骗”团伙17人，破获“盗抢骗”系列案件较去年同期均大幅上升；对涉黑、涉恶、涉枪、命案等严重暴力犯罪和社会影响恶劣的犯罪，始终保持严打高压态势，打掉涉黑恶、涉枪团伙12个，有效净化了辖区治安环境；破</w:t>
      </w:r>
      <w:r>
        <w:rPr>
          <w:rFonts w:ascii="Times New Roman" w:hAnsi="Times New Roman" w:cs="Times New Roman"/>
          <w:color w:val="auto"/>
          <w:sz w:val="24"/>
          <w:szCs w:val="24"/>
          <w:highlight w:val="none"/>
        </w:rPr>
        <w:t>系列案件能力大幅提升</w:t>
      </w:r>
      <w:r>
        <w:rPr>
          <w:rFonts w:hint="eastAsia" w:ascii="Times New Roman" w:hAnsi="Times New Roman" w:cs="Times New Roman"/>
          <w:color w:val="auto"/>
          <w:sz w:val="24"/>
          <w:szCs w:val="24"/>
          <w:highlight w:val="none"/>
        </w:rPr>
        <w:t>；成立了</w:t>
      </w:r>
      <w:r>
        <w:rPr>
          <w:rFonts w:ascii="Times New Roman" w:hAnsi="Times New Roman" w:cs="Times New Roman"/>
          <w:color w:val="auto"/>
          <w:sz w:val="24"/>
          <w:szCs w:val="24"/>
          <w:highlight w:val="none"/>
        </w:rPr>
        <w:t>视频侦查大队、禁毒队和网安情报队专业队伍，形成了“四侦一化”合成作战、专业打职业的工作模式，一手抓“小案快侦”，一手抓“大案攻坚”，破案平均时间从10天缩减到3天，尤其是建立视侦大队等专业队伍后，破小案、破系列案件能力大幅提升。</w:t>
      </w:r>
    </w:p>
    <w:p>
      <w:pPr>
        <w:spacing w:beforeLines="0" w:after="156"/>
        <w:ind w:left="0" w:leftChars="0" w:firstLine="480" w:firstLineChars="200"/>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以最高标准、最强力度、最严措施、最实作风、最佳状态落实各项安保维稳措施。认真抓好“情报预警、落地核查、人员稳控、应急处置、依法打处”关键环节，全年共排查化解矛盾纠纷350余起，预警情报信息410条，成功劝阻劝返进京非访重点人134人次，刑事拘留2人，行政拘留41人（次）。反恐（国保）大队深度经营，破获省督邪教专案，端掉一个隐藏左岭地区的“全能神”邪教窝点，刑拘5人。对辖区521名敏感地区学生逐人排查，核查敏感地区来汉人员546人次，抓获危害国家安全类逃犯2人。</w:t>
      </w:r>
      <w:r>
        <w:rPr>
          <w:rFonts w:hint="eastAsia" w:ascii="Times New Roman" w:hAnsi="Times New Roman" w:cs="Times New Roman"/>
          <w:color w:val="auto"/>
          <w:sz w:val="24"/>
          <w:szCs w:val="24"/>
          <w:highlight w:val="none"/>
        </w:rPr>
        <w:t>全区警情历史性下降，刑事警情同比下降14.1%，扭转连续三年攀升势头，群众安全感显著增强。</w:t>
      </w:r>
    </w:p>
    <w:p>
      <w:pPr>
        <w:spacing w:beforeLines="0" w:after="156"/>
        <w:ind w:left="0" w:leftChars="0" w:firstLine="482" w:firstLineChars="200"/>
        <w:rPr>
          <w:rFonts w:ascii="Times New Roman" w:hAnsi="Times New Roman" w:cs="Times New Roman"/>
          <w:b/>
          <w:color w:val="auto"/>
          <w:sz w:val="24"/>
          <w:szCs w:val="24"/>
          <w:highlight w:val="none"/>
        </w:rPr>
      </w:pPr>
      <w:r>
        <w:rPr>
          <w:rFonts w:ascii="Times New Roman" w:cs="Times New Roman"/>
          <w:b/>
          <w:color w:val="auto"/>
          <w:sz w:val="24"/>
          <w:szCs w:val="24"/>
          <w:highlight w:val="none"/>
        </w:rPr>
        <w:t>三、自评结论</w:t>
      </w:r>
    </w:p>
    <w:p>
      <w:pPr>
        <w:spacing w:beforeLines="0" w:after="156"/>
        <w:ind w:left="0" w:leftChars="0" w:firstLine="482" w:firstLineChars="200"/>
        <w:rPr>
          <w:rFonts w:ascii="Times New Roman" w:hAnsi="Times New Roman" w:cs="Times New Roman"/>
          <w:b/>
          <w:bCs/>
          <w:color w:val="auto"/>
          <w:sz w:val="24"/>
          <w:szCs w:val="24"/>
          <w:highlight w:val="none"/>
        </w:rPr>
      </w:pPr>
      <w:r>
        <w:rPr>
          <w:rFonts w:ascii="Times New Roman" w:cs="Times New Roman"/>
          <w:b/>
          <w:bCs/>
          <w:color w:val="auto"/>
          <w:sz w:val="24"/>
          <w:szCs w:val="24"/>
          <w:highlight w:val="none"/>
        </w:rPr>
        <w:t>（一）自评结论</w:t>
      </w:r>
    </w:p>
    <w:p>
      <w:pPr>
        <w:spacing w:beforeLines="0" w:afterLines="0"/>
        <w:ind w:left="0" w:leftChars="0" w:firstLine="480" w:firstLineChars="200"/>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本项目综合考评得分为95分，评价等次确定为优。</w:t>
      </w:r>
    </w:p>
    <w:p>
      <w:pPr>
        <w:spacing w:beforeLines="0" w:after="156"/>
        <w:ind w:left="0" w:leftChars="0" w:firstLine="480" w:firstLineChars="200"/>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项目按照财政局的要求提交预算绩效申报表，并获得财政局批复，对项目数量和项目投入资金制定了目标值，项目资金能全部及时到位。业务管理方面，公安分局制定了相关业务管理制度，采取了相应的管理措施；财务管理方面，公安分局制定了资金管理办法，确保资金的规范使用，项目支出符合国家财经法规和财务管理制度，资金的拨付有完整的审批程序和手续，基本符合项目预算批复或规定的用途。</w:t>
      </w:r>
    </w:p>
    <w:p>
      <w:pPr>
        <w:spacing w:beforeLines="0" w:afterLines="0"/>
        <w:ind w:left="0" w:leftChars="0" w:firstLine="480" w:firstLineChars="200"/>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项目整体完成情况良好，产生了一定的社会效益。2017年，高新分局在市局党委、高新区工委的领导下，克难攻坚，创新实干，全警动员、超前谋划、日夜坚守、以最高的标准、最强力度、最严措施、最实作风、最佳状态落实工作中，面对叠加凸显的矛盾隐患和错综复杂的涉稳问题，充分发挥公安智能，配合党委政府，依法打处关键环节，实现“零进京非访”、“零暴恐事件”、“零重大安全事故”的好成绩。</w:t>
      </w:r>
    </w:p>
    <w:p>
      <w:pPr>
        <w:spacing w:beforeLines="0" w:after="156"/>
        <w:ind w:left="0" w:leftChars="0" w:firstLine="482" w:firstLineChars="200"/>
        <w:rPr>
          <w:rFonts w:ascii="Times New Roman" w:hAnsi="Times New Roman" w:cs="Times New Roman"/>
          <w:b/>
          <w:bCs/>
          <w:color w:val="auto"/>
          <w:sz w:val="24"/>
          <w:szCs w:val="24"/>
          <w:highlight w:val="none"/>
        </w:rPr>
      </w:pPr>
      <w:r>
        <w:rPr>
          <w:rFonts w:ascii="Times New Roman" w:cs="Times New Roman"/>
          <w:b/>
          <w:bCs/>
          <w:color w:val="auto"/>
          <w:sz w:val="24"/>
          <w:szCs w:val="24"/>
          <w:highlight w:val="none"/>
        </w:rPr>
        <w:t>（二）主要经验，存在的问题和改进措施</w:t>
      </w:r>
    </w:p>
    <w:p>
      <w:pPr>
        <w:spacing w:beforeLines="0" w:after="156"/>
        <w:ind w:left="0" w:leftChars="0" w:firstLine="480" w:firstLineChars="200"/>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1、主要经验</w:t>
      </w:r>
    </w:p>
    <w:p>
      <w:pPr>
        <w:spacing w:beforeLines="0" w:after="156"/>
        <w:ind w:left="0" w:leftChars="0" w:firstLine="480" w:firstLineChars="200"/>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超前谋划，严防风险，确保全区社会政治大局稳定。面对叠加凸显的矛盾隐患和错综复杂的涉稳问题，充分发挥公安职能，配合党委政府，认真抓好“情报预警、落地核查、人员稳控、应急处置、依法打处”关键环节</w:t>
      </w:r>
      <w:r>
        <w:rPr>
          <w:rFonts w:hint="eastAsia" w:ascii="Times New Roman" w:hAnsi="Times New Roman" w:cs="Times New Roman"/>
          <w:color w:val="auto"/>
          <w:sz w:val="24"/>
          <w:szCs w:val="24"/>
          <w:highlight w:val="none"/>
        </w:rPr>
        <w:t>。</w:t>
      </w:r>
      <w:r>
        <w:rPr>
          <w:rFonts w:ascii="Times New Roman" w:hAnsi="Times New Roman" w:cs="Times New Roman"/>
          <w:color w:val="auto"/>
          <w:sz w:val="24"/>
          <w:szCs w:val="24"/>
          <w:highlight w:val="none"/>
        </w:rPr>
        <w:t>面对严峻复杂的反恐形势，牢固树立“暴恐就身边”的危机意识，反恐（国保）大队建立和完善了“暴恐音视频查缉”“涉恐在逃人员及重点人员24小时分析研判”和“敏感地区来汉人员‘六见’”等三大实战工作机制，及时消除辖区暴恐隐患。紧盯影响群众安全感和满意度的侵财类案件，持续发力、精准打击。</w:t>
      </w:r>
    </w:p>
    <w:p>
      <w:pPr>
        <w:spacing w:beforeLines="0" w:after="156"/>
        <w:ind w:left="0" w:leftChars="0" w:firstLine="480" w:firstLineChars="200"/>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对涉黑、涉恶、涉枪、命案等严重暴力犯罪和社会影响恶劣的犯罪，分局各部门快速反应、合力攻坚，确保今年4起现发命案全部快侦快破。改革机制，推行“战区制”街面警务新模式，多警联动，整体防控，社会面治安控制力度加强。根据辖区治安状况，划分六大“战区”，按“战区”整合派出所、警务站、检查站、特警等警力，统一调度、联勤联动、形成合力。每逢重要节点，驻区特警荷枪实弹在光谷广场、地铁C出口值守，形成震慑</w:t>
      </w:r>
      <w:r>
        <w:rPr>
          <w:rFonts w:hint="eastAsia" w:ascii="Times New Roman" w:hAnsi="Times New Roman" w:cs="Times New Roman"/>
          <w:color w:val="auto"/>
          <w:sz w:val="24"/>
          <w:szCs w:val="24"/>
          <w:highlight w:val="none"/>
        </w:rPr>
        <w:t>，</w:t>
      </w:r>
      <w:r>
        <w:rPr>
          <w:rFonts w:ascii="Times New Roman" w:hAnsi="Times New Roman" w:cs="Times New Roman"/>
          <w:color w:val="auto"/>
          <w:sz w:val="24"/>
          <w:szCs w:val="24"/>
          <w:highlight w:val="none"/>
        </w:rPr>
        <w:t>提升社会安全指数。针对性开展金融、传销集中整治行动。持续开展扫黄、打赌、收刀、收枪“铁扫帚”行动。深入推进整治毒品犯罪集中行动。不断加强公共安全整治、消除安全隐患。</w:t>
      </w:r>
    </w:p>
    <w:p>
      <w:pPr>
        <w:spacing w:beforeLines="0" w:after="156"/>
        <w:ind w:left="0" w:leftChars="0" w:firstLine="480" w:firstLineChars="200"/>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科技引领，创新发展，智慧警务品牌效应明显。针对社区警务、政务服务方面的“痛点”问题，积极探索警务科技创新，提升警务效能</w:t>
      </w:r>
      <w:r>
        <w:rPr>
          <w:rFonts w:hint="eastAsia" w:ascii="Times New Roman" w:hAnsi="Times New Roman" w:cs="Times New Roman"/>
          <w:color w:val="auto"/>
          <w:sz w:val="24"/>
          <w:szCs w:val="24"/>
          <w:highlight w:val="none"/>
        </w:rPr>
        <w:t>，</w:t>
      </w:r>
      <w:r>
        <w:rPr>
          <w:rFonts w:ascii="Times New Roman" w:hAnsi="Times New Roman" w:cs="Times New Roman"/>
          <w:color w:val="auto"/>
          <w:sz w:val="24"/>
          <w:szCs w:val="24"/>
          <w:highlight w:val="none"/>
        </w:rPr>
        <w:t>成功打造光谷理想城智慧“平安小区”特色品牌。自主研发“出入境办证预受理系统”，办证时间大幅缩短。创新推出“光谷落户直通车”，有力服务了“百万大学生落户”新政。深入推进便民利企，不断优化警务服务。</w:t>
      </w:r>
    </w:p>
    <w:p>
      <w:pPr>
        <w:spacing w:beforeLines="0" w:after="156"/>
        <w:ind w:left="0" w:leftChars="0" w:firstLine="480" w:firstLineChars="200"/>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认真学习开发区相关政策规定，根据开发区经济发展的速度，全面预估治安维稳形势，科学合理编制办案经费预算；在项目的管理上，高新分局能够始终坚持以办案单位的需求为使用依据，强化预测、预警、预防，牢牢守住“六条底线”，在办案费支出中，向办案一线倾斜，严格按照财务报销制度执行，保证各单位办案业务需要，合理使用经费。对于办案费项目的预算决策方面，能够坚持问题、需求、实战“三大导向”，在机制、科技、实战三个创新上动脑筋，下功夫，深化警务创新，科学合理编制预算。</w:t>
      </w:r>
    </w:p>
    <w:p>
      <w:pPr>
        <w:spacing w:beforeLines="0" w:after="156"/>
        <w:ind w:left="0" w:leftChars="0" w:firstLine="480" w:firstLineChars="200"/>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2、</w:t>
      </w:r>
      <w:r>
        <w:rPr>
          <w:rFonts w:ascii="Times New Roman" w:cs="Times New Roman"/>
          <w:color w:val="auto"/>
          <w:sz w:val="24"/>
          <w:szCs w:val="24"/>
          <w:highlight w:val="none"/>
        </w:rPr>
        <w:t>存在的问题和改进措施</w:t>
      </w:r>
    </w:p>
    <w:p>
      <w:pPr>
        <w:snapToGrid w:val="0"/>
        <w:spacing w:beforeLines="0" w:after="156"/>
        <w:ind w:left="0" w:leftChars="0" w:firstLine="480" w:firstLineChars="200"/>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（1）存在的问题</w:t>
      </w:r>
    </w:p>
    <w:p>
      <w:pPr>
        <w:snapToGrid w:val="0"/>
        <w:spacing w:beforeLines="0" w:after="156"/>
        <w:ind w:left="0" w:leftChars="0" w:firstLine="480" w:firstLineChars="200"/>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办案费的资金内容用于案件的办理和治安管理支出，包括</w:t>
      </w:r>
      <w:r>
        <w:rPr>
          <w:rFonts w:ascii="Times New Roman" w:cs="Times New Roman"/>
          <w:color w:val="auto"/>
          <w:sz w:val="24"/>
          <w:szCs w:val="24"/>
          <w:highlight w:val="none"/>
        </w:rPr>
        <w:t>刑事案件办理、治安案件办理等专项工作</w:t>
      </w:r>
      <w:r>
        <w:rPr>
          <w:rFonts w:hint="eastAsia" w:ascii="Times New Roman" w:cs="Times New Roman"/>
          <w:color w:val="auto"/>
          <w:sz w:val="24"/>
          <w:szCs w:val="24"/>
          <w:highlight w:val="none"/>
        </w:rPr>
        <w:t>的案件办理工作经费；</w:t>
      </w:r>
      <w:r>
        <w:rPr>
          <w:rFonts w:hint="eastAsia" w:ascii="Times New Roman" w:hAnsi="Times New Roman" w:cs="Times New Roman"/>
          <w:color w:val="auto"/>
          <w:sz w:val="24"/>
          <w:szCs w:val="24"/>
          <w:highlight w:val="none"/>
        </w:rPr>
        <w:t>用于</w:t>
      </w:r>
      <w:r>
        <w:rPr>
          <w:rFonts w:ascii="Times New Roman" w:cs="Times New Roman"/>
          <w:color w:val="auto"/>
          <w:sz w:val="24"/>
          <w:szCs w:val="24"/>
          <w:highlight w:val="none"/>
        </w:rPr>
        <w:t>用于重大警保卫及大型活动安保、犬类及其它危险物品管理及处置、专项整治、清查等工作</w:t>
      </w:r>
      <w:r>
        <w:rPr>
          <w:rFonts w:hint="eastAsia" w:ascii="Times New Roman" w:cs="Times New Roman"/>
          <w:color w:val="auto"/>
          <w:sz w:val="24"/>
          <w:szCs w:val="24"/>
          <w:highlight w:val="none"/>
        </w:rPr>
        <w:t>的其他治安管理业务费用；特情工作专项经费以及用于</w:t>
      </w:r>
      <w:r>
        <w:rPr>
          <w:rFonts w:ascii="Times New Roman" w:cs="Times New Roman"/>
          <w:color w:val="auto"/>
          <w:sz w:val="24"/>
          <w:szCs w:val="24"/>
          <w:highlight w:val="none"/>
        </w:rPr>
        <w:t>群众奖励及案件奖励</w:t>
      </w:r>
      <w:r>
        <w:rPr>
          <w:rFonts w:hint="eastAsia" w:ascii="Times New Roman" w:cs="Times New Roman"/>
          <w:color w:val="auto"/>
          <w:sz w:val="24"/>
          <w:szCs w:val="24"/>
          <w:highlight w:val="none"/>
        </w:rPr>
        <w:t>经费。但在</w:t>
      </w:r>
      <w:r>
        <w:rPr>
          <w:rFonts w:hint="eastAsia" w:ascii="Times New Roman" w:hAnsi="Times New Roman" w:cs="Times New Roman"/>
          <w:color w:val="auto"/>
          <w:sz w:val="24"/>
          <w:szCs w:val="24"/>
          <w:highlight w:val="none"/>
        </w:rPr>
        <w:t>项目资金的实际使用过程与年度预算仍存在偏差，除了项目经费的使用内容外，还有少量资金用于购置电动车、修锁等支出。</w:t>
      </w:r>
    </w:p>
    <w:p>
      <w:pPr>
        <w:snapToGrid w:val="0"/>
        <w:spacing w:beforeLines="0" w:after="156"/>
        <w:ind w:left="0" w:leftChars="0" w:firstLine="480" w:firstLineChars="200"/>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（2）改进措施</w:t>
      </w:r>
    </w:p>
    <w:p>
      <w:pPr>
        <w:snapToGrid w:val="0"/>
        <w:spacing w:beforeLines="0" w:after="156"/>
        <w:ind w:left="0" w:leftChars="0" w:firstLine="480" w:firstLineChars="200"/>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下一步通过深入理解绩效目标，充分了解具体办案人员的需求，与年初预算相结合，让绩效目标的设置与当前公安工作的预算相匹配。在实际支出过程中，要更加严格按年度预算批复执行，做到支出的内容、进度与预算相符。</w:t>
      </w:r>
    </w:p>
    <w:p>
      <w:pPr>
        <w:spacing w:before="156" w:after="156"/>
        <w:ind w:leftChars="0"/>
        <w:rPr>
          <w:rFonts w:ascii="Times New Roman" w:hAnsi="Times New Roman" w:cs="Times New Roman"/>
          <w:color w:val="auto"/>
          <w:sz w:val="24"/>
          <w:szCs w:val="24"/>
          <w:highlight w:val="none"/>
        </w:rPr>
      </w:pPr>
    </w:p>
    <w:p>
      <w:pPr>
        <w:spacing w:before="156" w:after="156"/>
        <w:ind w:leftChars="0"/>
        <w:rPr>
          <w:rFonts w:ascii="Times New Roman" w:hAnsi="Times New Roman" w:cs="Times New Roman"/>
          <w:color w:val="auto"/>
          <w:sz w:val="24"/>
          <w:szCs w:val="24"/>
          <w:highlight w:val="none"/>
        </w:rPr>
      </w:pPr>
    </w:p>
    <w:p>
      <w:pPr>
        <w:spacing w:before="156" w:after="156"/>
        <w:ind w:left="0" w:leftChars="0" w:firstLine="480" w:firstLineChars="200"/>
        <w:rPr>
          <w:rFonts w:ascii="Times New Roman" w:hAnsi="Times New Roman" w:cs="Times New Roman"/>
          <w:color w:val="auto"/>
          <w:sz w:val="24"/>
          <w:szCs w:val="24"/>
          <w:highlight w:val="none"/>
        </w:rPr>
      </w:pPr>
      <w:r>
        <w:rPr>
          <w:rFonts w:hint="eastAsia" w:ascii="Times New Roman" w:hAnsi="Times New Roman" w:cs="Times New Roman"/>
          <w:color w:val="auto"/>
          <w:sz w:val="24"/>
          <w:szCs w:val="24"/>
          <w:highlight w:val="none"/>
        </w:rPr>
        <w:t>附件：绩效评价评分表</w:t>
      </w:r>
      <w:bookmarkStart w:id="0" w:name="_GoBack"/>
      <w:bookmarkEnd w:id="0"/>
    </w:p>
    <w:sectPr>
      <w:footerReference r:id="rId9" w:type="default"/>
      <w:pgSz w:w="11906" w:h="16838"/>
      <w:pgMar w:top="1474" w:right="1474" w:bottom="1474" w:left="1474" w:header="851" w:footer="992" w:gutter="34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before="120" w:after="120"/>
      <w:ind w:left="420"/>
      <w:jc w:val="right"/>
    </w:pPr>
  </w:p>
  <w:p>
    <w:pPr>
      <w:pStyle w:val="5"/>
      <w:spacing w:before="120" w:after="120"/>
      <w:ind w:left="4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before="120" w:after="120"/>
      <w:ind w:left="4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before="120" w:after="120"/>
      <w:ind w:left="4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92192618"/>
    </w:sdtPr>
    <w:sdtContent>
      <w:p>
        <w:pPr>
          <w:pStyle w:val="5"/>
          <w:spacing w:before="120" w:after="120"/>
          <w:ind w:left="420"/>
          <w:jc w:val="right"/>
        </w:pPr>
        <w:r>
          <w:fldChar w:fldCharType="begin"/>
        </w:r>
        <w:r>
          <w:instrText xml:space="preserve">PAGE   \* MERGEFORMAT</w:instrText>
        </w:r>
        <w:r>
          <w:fldChar w:fldCharType="separate"/>
        </w:r>
        <w:r>
          <w:rPr>
            <w:lang w:val="zh-CN"/>
          </w:rPr>
          <w:t>-</w:t>
        </w:r>
        <w:r>
          <w:t xml:space="preserve"> 5 -</w:t>
        </w:r>
        <w:r>
          <w:fldChar w:fldCharType="end"/>
        </w:r>
      </w:p>
    </w:sdtContent>
  </w:sdt>
  <w:p>
    <w:pPr>
      <w:pStyle w:val="5"/>
      <w:spacing w:before="120" w:after="120"/>
      <w:ind w:left="4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ind w:left="4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before="120" w:after="120"/>
      <w:ind w:left="4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before="120" w:after="120"/>
      <w:ind w:left="42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F25CF"/>
    <w:rsid w:val="000064C2"/>
    <w:rsid w:val="0002269D"/>
    <w:rsid w:val="00043878"/>
    <w:rsid w:val="000709CF"/>
    <w:rsid w:val="000B0D09"/>
    <w:rsid w:val="000C4073"/>
    <w:rsid w:val="000E2E1B"/>
    <w:rsid w:val="000F33A1"/>
    <w:rsid w:val="000F6486"/>
    <w:rsid w:val="00120A18"/>
    <w:rsid w:val="001230FB"/>
    <w:rsid w:val="00163B35"/>
    <w:rsid w:val="001761D1"/>
    <w:rsid w:val="00190F5F"/>
    <w:rsid w:val="001A79AE"/>
    <w:rsid w:val="001D5F60"/>
    <w:rsid w:val="001F67FC"/>
    <w:rsid w:val="002156FF"/>
    <w:rsid w:val="00216770"/>
    <w:rsid w:val="00243DAF"/>
    <w:rsid w:val="00244375"/>
    <w:rsid w:val="0024441F"/>
    <w:rsid w:val="00271A76"/>
    <w:rsid w:val="0028282B"/>
    <w:rsid w:val="00295A3B"/>
    <w:rsid w:val="002A29D0"/>
    <w:rsid w:val="002A635E"/>
    <w:rsid w:val="002E0DCA"/>
    <w:rsid w:val="002F7400"/>
    <w:rsid w:val="00324E6F"/>
    <w:rsid w:val="003502EF"/>
    <w:rsid w:val="00353747"/>
    <w:rsid w:val="00356256"/>
    <w:rsid w:val="00363D03"/>
    <w:rsid w:val="003664FA"/>
    <w:rsid w:val="0037618E"/>
    <w:rsid w:val="003A06DD"/>
    <w:rsid w:val="003B46EA"/>
    <w:rsid w:val="003D1EDD"/>
    <w:rsid w:val="003E034C"/>
    <w:rsid w:val="003E5A82"/>
    <w:rsid w:val="00421A19"/>
    <w:rsid w:val="004239CF"/>
    <w:rsid w:val="0042630D"/>
    <w:rsid w:val="00427AC0"/>
    <w:rsid w:val="004510BE"/>
    <w:rsid w:val="00455C7F"/>
    <w:rsid w:val="004575BF"/>
    <w:rsid w:val="00461302"/>
    <w:rsid w:val="00492EA9"/>
    <w:rsid w:val="004D7F0C"/>
    <w:rsid w:val="004E2966"/>
    <w:rsid w:val="0050207C"/>
    <w:rsid w:val="00502E57"/>
    <w:rsid w:val="00505942"/>
    <w:rsid w:val="00524814"/>
    <w:rsid w:val="005278C7"/>
    <w:rsid w:val="00536D38"/>
    <w:rsid w:val="0055337D"/>
    <w:rsid w:val="005A5A36"/>
    <w:rsid w:val="005B36AE"/>
    <w:rsid w:val="005B685E"/>
    <w:rsid w:val="005B71C9"/>
    <w:rsid w:val="005E211F"/>
    <w:rsid w:val="005E57AC"/>
    <w:rsid w:val="005E5D19"/>
    <w:rsid w:val="005E6205"/>
    <w:rsid w:val="005E634F"/>
    <w:rsid w:val="0060347B"/>
    <w:rsid w:val="00606D17"/>
    <w:rsid w:val="00620B5E"/>
    <w:rsid w:val="00625F24"/>
    <w:rsid w:val="00631819"/>
    <w:rsid w:val="00646E7F"/>
    <w:rsid w:val="00656A6C"/>
    <w:rsid w:val="00670744"/>
    <w:rsid w:val="0069670B"/>
    <w:rsid w:val="006B6844"/>
    <w:rsid w:val="006B6EA2"/>
    <w:rsid w:val="006D226B"/>
    <w:rsid w:val="006E1F83"/>
    <w:rsid w:val="0071554D"/>
    <w:rsid w:val="0073017B"/>
    <w:rsid w:val="007327C7"/>
    <w:rsid w:val="00773890"/>
    <w:rsid w:val="007C0ABF"/>
    <w:rsid w:val="00800F62"/>
    <w:rsid w:val="00840CD8"/>
    <w:rsid w:val="00844C6B"/>
    <w:rsid w:val="008515BC"/>
    <w:rsid w:val="00861AC6"/>
    <w:rsid w:val="00880B5A"/>
    <w:rsid w:val="008B4093"/>
    <w:rsid w:val="008B48C2"/>
    <w:rsid w:val="008B6D33"/>
    <w:rsid w:val="008C1A18"/>
    <w:rsid w:val="008F0E78"/>
    <w:rsid w:val="008F4685"/>
    <w:rsid w:val="009009DA"/>
    <w:rsid w:val="00903308"/>
    <w:rsid w:val="00904F28"/>
    <w:rsid w:val="00945D0B"/>
    <w:rsid w:val="00954D69"/>
    <w:rsid w:val="00963353"/>
    <w:rsid w:val="00963447"/>
    <w:rsid w:val="009B4012"/>
    <w:rsid w:val="009B6606"/>
    <w:rsid w:val="009D3C9A"/>
    <w:rsid w:val="009F1526"/>
    <w:rsid w:val="009F7BB9"/>
    <w:rsid w:val="00A05E68"/>
    <w:rsid w:val="00A23B0B"/>
    <w:rsid w:val="00A553CC"/>
    <w:rsid w:val="00A5752A"/>
    <w:rsid w:val="00A74B95"/>
    <w:rsid w:val="00A90582"/>
    <w:rsid w:val="00A913AB"/>
    <w:rsid w:val="00A948BA"/>
    <w:rsid w:val="00AA0709"/>
    <w:rsid w:val="00AB69FB"/>
    <w:rsid w:val="00AD76BF"/>
    <w:rsid w:val="00AE42B2"/>
    <w:rsid w:val="00AF25CF"/>
    <w:rsid w:val="00B14553"/>
    <w:rsid w:val="00B21335"/>
    <w:rsid w:val="00B4367E"/>
    <w:rsid w:val="00B5256C"/>
    <w:rsid w:val="00B73757"/>
    <w:rsid w:val="00B90064"/>
    <w:rsid w:val="00BA1620"/>
    <w:rsid w:val="00BC6DB2"/>
    <w:rsid w:val="00BF3CF2"/>
    <w:rsid w:val="00BF6D85"/>
    <w:rsid w:val="00C013AE"/>
    <w:rsid w:val="00C01516"/>
    <w:rsid w:val="00C11E06"/>
    <w:rsid w:val="00C61AFE"/>
    <w:rsid w:val="00C77817"/>
    <w:rsid w:val="00CA4B22"/>
    <w:rsid w:val="00CC11D6"/>
    <w:rsid w:val="00CD404D"/>
    <w:rsid w:val="00CF4D16"/>
    <w:rsid w:val="00D1616B"/>
    <w:rsid w:val="00D50424"/>
    <w:rsid w:val="00D5403A"/>
    <w:rsid w:val="00D542EC"/>
    <w:rsid w:val="00D74B8A"/>
    <w:rsid w:val="00D947B4"/>
    <w:rsid w:val="00DA79DE"/>
    <w:rsid w:val="00DB7BA8"/>
    <w:rsid w:val="00DC1F75"/>
    <w:rsid w:val="00DC3405"/>
    <w:rsid w:val="00DC7A2C"/>
    <w:rsid w:val="00DE34EF"/>
    <w:rsid w:val="00DE42B9"/>
    <w:rsid w:val="00E001D6"/>
    <w:rsid w:val="00E24BF7"/>
    <w:rsid w:val="00E270BB"/>
    <w:rsid w:val="00E5280C"/>
    <w:rsid w:val="00E67240"/>
    <w:rsid w:val="00E766FB"/>
    <w:rsid w:val="00E87511"/>
    <w:rsid w:val="00E90580"/>
    <w:rsid w:val="00E95457"/>
    <w:rsid w:val="00EA453E"/>
    <w:rsid w:val="00ED394A"/>
    <w:rsid w:val="00EF0D0C"/>
    <w:rsid w:val="00EF15D6"/>
    <w:rsid w:val="00F12D3C"/>
    <w:rsid w:val="00F1396E"/>
    <w:rsid w:val="00F15120"/>
    <w:rsid w:val="00F1583B"/>
    <w:rsid w:val="00F341E1"/>
    <w:rsid w:val="00F42F0D"/>
    <w:rsid w:val="00F8044C"/>
    <w:rsid w:val="00F91D45"/>
    <w:rsid w:val="123F2E39"/>
    <w:rsid w:val="2B6F1603"/>
    <w:rsid w:val="3B4C1A23"/>
    <w:rsid w:val="40E406B6"/>
    <w:rsid w:val="52A5535C"/>
    <w:rsid w:val="5ECE10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Lines="50" w:afterLines="50" w:line="480" w:lineRule="exact"/>
      <w:ind w:left="200" w:leftChars="20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semiHidden/>
    <w:unhideWhenUsed/>
    <w:uiPriority w:val="99"/>
    <w:rPr>
      <w:b/>
      <w:bCs/>
    </w:rPr>
  </w:style>
  <w:style w:type="paragraph" w:styleId="3">
    <w:name w:val="annotation text"/>
    <w:basedOn w:val="1"/>
    <w:link w:val="12"/>
    <w:semiHidden/>
    <w:unhideWhenUsed/>
    <w:uiPriority w:val="99"/>
    <w:pPr>
      <w:jc w:val="left"/>
    </w:pPr>
  </w:style>
  <w:style w:type="paragraph" w:styleId="4">
    <w:name w:val="Balloon Text"/>
    <w:basedOn w:val="1"/>
    <w:link w:val="14"/>
    <w:semiHidden/>
    <w:unhideWhenUsed/>
    <w:qFormat/>
    <w:uiPriority w:val="99"/>
    <w:pPr>
      <w:spacing w:line="240" w:lineRule="auto"/>
    </w:pPr>
    <w:rPr>
      <w:sz w:val="18"/>
      <w:szCs w:val="18"/>
    </w:rPr>
  </w:style>
  <w:style w:type="paragraph" w:styleId="5">
    <w:name w:val="footer"/>
    <w:basedOn w:val="1"/>
    <w:link w:val="11"/>
    <w:unhideWhenUsed/>
    <w:qFormat/>
    <w:uiPriority w:val="99"/>
    <w:pPr>
      <w:tabs>
        <w:tab w:val="center" w:pos="4153"/>
        <w:tab w:val="right" w:pos="8306"/>
      </w:tabs>
      <w:snapToGrid w:val="0"/>
      <w:spacing w:line="240" w:lineRule="atLeast"/>
      <w:jc w:val="left"/>
    </w:pPr>
    <w:rPr>
      <w:sz w:val="18"/>
      <w:szCs w:val="18"/>
    </w:rPr>
  </w:style>
  <w:style w:type="paragraph" w:styleId="6">
    <w:name w:val="header"/>
    <w:basedOn w:val="1"/>
    <w:link w:val="10"/>
    <w:semiHidden/>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character" w:styleId="8">
    <w:name w:val="annotation reference"/>
    <w:basedOn w:val="7"/>
    <w:semiHidden/>
    <w:unhideWhenUsed/>
    <w:qFormat/>
    <w:uiPriority w:val="99"/>
    <w:rPr>
      <w:sz w:val="21"/>
      <w:szCs w:val="21"/>
    </w:rPr>
  </w:style>
  <w:style w:type="character" w:customStyle="1" w:styleId="10">
    <w:name w:val="页眉 Char"/>
    <w:basedOn w:val="7"/>
    <w:link w:val="6"/>
    <w:semiHidden/>
    <w:qFormat/>
    <w:uiPriority w:val="99"/>
    <w:rPr>
      <w:sz w:val="18"/>
      <w:szCs w:val="18"/>
    </w:rPr>
  </w:style>
  <w:style w:type="character" w:customStyle="1" w:styleId="11">
    <w:name w:val="页脚 Char"/>
    <w:basedOn w:val="7"/>
    <w:link w:val="5"/>
    <w:qFormat/>
    <w:uiPriority w:val="99"/>
    <w:rPr>
      <w:sz w:val="18"/>
      <w:szCs w:val="18"/>
    </w:rPr>
  </w:style>
  <w:style w:type="character" w:customStyle="1" w:styleId="12">
    <w:name w:val="批注文字 Char"/>
    <w:basedOn w:val="7"/>
    <w:link w:val="3"/>
    <w:semiHidden/>
    <w:qFormat/>
    <w:uiPriority w:val="99"/>
  </w:style>
  <w:style w:type="character" w:customStyle="1" w:styleId="13">
    <w:name w:val="批注主题 Char"/>
    <w:basedOn w:val="12"/>
    <w:link w:val="2"/>
    <w:semiHidden/>
    <w:qFormat/>
    <w:uiPriority w:val="99"/>
    <w:rPr>
      <w:b/>
      <w:bCs/>
    </w:rPr>
  </w:style>
  <w:style w:type="character" w:customStyle="1" w:styleId="14">
    <w:name w:val="批注框文本 Char"/>
    <w:basedOn w:val="7"/>
    <w:link w:val="4"/>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EABB22-EE8B-4E7A-9CFF-E090DB17AB11}">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740</Words>
  <Characters>4218</Characters>
  <Lines>35</Lines>
  <Paragraphs>9</Paragraphs>
  <TotalTime>1636</TotalTime>
  <ScaleCrop>false</ScaleCrop>
  <LinksUpToDate>false</LinksUpToDate>
  <CharactersWithSpaces>4949</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2018-05-21T02:22:00Z</dcterms:created>
  <dc:creator>Administrator</dc:creator>
  <cp:lastModifiedBy>iii</cp:lastModifiedBy>
  <cp:lastPrinted>2018-06-08T01:23:00Z</cp:lastPrinted>
  <dcterms:modified xsi:type="dcterms:W3CDTF">2018-10-24T03:31:01Z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