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3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29"/>
        <w:gridCol w:w="1575"/>
        <w:gridCol w:w="1185"/>
        <w:gridCol w:w="1110"/>
        <w:gridCol w:w="1241"/>
        <w:gridCol w:w="1425"/>
        <w:gridCol w:w="1200"/>
        <w:gridCol w:w="13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0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36"/>
                <w:szCs w:val="36"/>
                <w:shd w:val="clear" w:color="auto" w:fill="FFFFFF"/>
                <w:lang w:val="en-US" w:eastAsia="zh-CN"/>
              </w:rPr>
              <w:t>市级绿色</w:t>
            </w:r>
            <w:r>
              <w:rPr>
                <w:rFonts w:hint="eastAsia" w:eastAsia="方正小标宋简体" w:cs="Times New Roman"/>
                <w:b w:val="0"/>
                <w:bCs w:val="0"/>
                <w:sz w:val="36"/>
                <w:szCs w:val="36"/>
                <w:shd w:val="clear" w:color="auto" w:fill="FFFFFF"/>
                <w:lang w:val="en-US" w:eastAsia="zh-CN"/>
              </w:rPr>
              <w:t>制造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shd w:val="clear" w:color="auto" w:fill="FFFFFF"/>
                <w:lang w:val="en-US" w:eastAsia="zh-CN"/>
              </w:rPr>
              <w:t>绩效指标汇总表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年产值（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用地面积（平米）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能耗总量（吨标煤）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碳排放总量（吨）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固废综合利用率（%）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主要污染物排放量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可再生能源量（KWH）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hint="default" w:ascii="Times New Roman" w:hAnsi="Times New Roman" w:eastAsia="仿宋" w:cs="Times New Roman"/>
          <w:sz w:val="24"/>
          <w:lang w:val="en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备注：1、主要污染物包括SO2、氨氮、COD、氮氧化合物、VOC</w:t>
      </w:r>
      <w:r>
        <w:rPr>
          <w:rFonts w:hint="default" w:ascii="Times New Roman" w:hAnsi="Times New Roman" w:eastAsia="仿宋" w:cs="Times New Roman"/>
          <w:sz w:val="24"/>
          <w:lang w:val="en" w:eastAsia="zh-CN"/>
        </w:rPr>
        <w:t>s，可分别填写；</w:t>
      </w:r>
    </w:p>
    <w:p>
      <w:pPr>
        <w:snapToGrid w:val="0"/>
        <w:spacing w:line="240" w:lineRule="atLeast"/>
        <w:jc w:val="lef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2、可再生能源是指企业配建光伏、氢能等，不包括外购绿电。</w:t>
      </w:r>
    </w:p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00" w:lineRule="exact"/>
        <w:ind w:left="308" w:leftChars="100"/>
        <w:jc w:val="center"/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417" w:right="1440" w:bottom="1417" w:left="1440" w:header="851" w:footer="1276" w:gutter="0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8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2026-04-21T01:42:32Z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