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C3" w:rsidRDefault="004E3BC3">
      <w:pPr>
        <w:adjustRightInd w:val="0"/>
        <w:snapToGrid w:val="0"/>
        <w:spacing w:line="520" w:lineRule="exact"/>
        <w:jc w:val="center"/>
        <w:rPr>
          <w:rFonts w:ascii="方正小标宋简体" w:eastAsia="方正小标宋简体"/>
          <w:sz w:val="44"/>
          <w:szCs w:val="32"/>
        </w:rPr>
      </w:pPr>
    </w:p>
    <w:p w:rsidR="004E3BC3" w:rsidRDefault="004E3BC3">
      <w:pPr>
        <w:adjustRightInd w:val="0"/>
        <w:snapToGrid w:val="0"/>
        <w:spacing w:line="520" w:lineRule="exact"/>
        <w:jc w:val="center"/>
        <w:rPr>
          <w:rFonts w:ascii="方正小标宋简体" w:eastAsia="方正小标宋简体"/>
          <w:sz w:val="44"/>
          <w:szCs w:val="32"/>
        </w:rPr>
      </w:pPr>
    </w:p>
    <w:p w:rsidR="004E3BC3" w:rsidRDefault="004E3BC3">
      <w:pPr>
        <w:adjustRightInd w:val="0"/>
        <w:snapToGrid w:val="0"/>
        <w:spacing w:line="520" w:lineRule="exact"/>
        <w:jc w:val="center"/>
        <w:rPr>
          <w:rFonts w:ascii="方正小标宋简体" w:eastAsia="方正小标宋简体"/>
          <w:sz w:val="44"/>
          <w:szCs w:val="32"/>
        </w:rPr>
      </w:pPr>
    </w:p>
    <w:p w:rsidR="004E3BC3" w:rsidRDefault="004E3BC3">
      <w:pPr>
        <w:adjustRightInd w:val="0"/>
        <w:snapToGrid w:val="0"/>
        <w:spacing w:line="520" w:lineRule="exact"/>
        <w:jc w:val="center"/>
        <w:rPr>
          <w:rFonts w:ascii="方正小标宋简体" w:eastAsia="方正小标宋简体"/>
          <w:sz w:val="44"/>
          <w:szCs w:val="32"/>
        </w:rPr>
      </w:pPr>
    </w:p>
    <w:p w:rsidR="004E3BC3" w:rsidRDefault="004E3BC3">
      <w:pPr>
        <w:adjustRightInd w:val="0"/>
        <w:snapToGrid w:val="0"/>
        <w:spacing w:line="520" w:lineRule="exact"/>
        <w:jc w:val="center"/>
        <w:rPr>
          <w:rFonts w:ascii="方正小标宋简体" w:eastAsia="方正小标宋简体"/>
          <w:sz w:val="44"/>
          <w:szCs w:val="32"/>
        </w:rPr>
      </w:pPr>
    </w:p>
    <w:p w:rsidR="004E3BC3" w:rsidRDefault="004E3BC3">
      <w:pPr>
        <w:adjustRightInd w:val="0"/>
        <w:snapToGrid w:val="0"/>
        <w:spacing w:line="520" w:lineRule="exact"/>
        <w:jc w:val="center"/>
        <w:rPr>
          <w:rFonts w:ascii="方正小标宋简体" w:eastAsia="方正小标宋简体"/>
          <w:sz w:val="44"/>
          <w:szCs w:val="32"/>
        </w:rPr>
      </w:pPr>
    </w:p>
    <w:p w:rsidR="004E3BC3" w:rsidRDefault="004E3BC3">
      <w:pPr>
        <w:adjustRightInd w:val="0"/>
        <w:snapToGrid w:val="0"/>
        <w:spacing w:line="520" w:lineRule="exact"/>
        <w:jc w:val="center"/>
        <w:rPr>
          <w:rFonts w:ascii="方正小标宋简体" w:eastAsia="方正小标宋简体"/>
          <w:sz w:val="44"/>
          <w:szCs w:val="32"/>
        </w:rPr>
      </w:pPr>
    </w:p>
    <w:p w:rsidR="004E3BC3" w:rsidRDefault="0042577B">
      <w:pPr>
        <w:adjustRightInd w:val="0"/>
        <w:snapToGrid w:val="0"/>
        <w:spacing w:line="520" w:lineRule="exact"/>
        <w:jc w:val="center"/>
        <w:rPr>
          <w:rFonts w:ascii="方正小标宋简体" w:eastAsia="方正小标宋简体"/>
          <w:sz w:val="44"/>
          <w:szCs w:val="32"/>
        </w:rPr>
      </w:pPr>
      <w:r>
        <w:rPr>
          <w:rFonts w:ascii="方正小标宋简体" w:eastAsia="方正小标宋简体" w:hint="eastAsia"/>
          <w:sz w:val="44"/>
          <w:szCs w:val="32"/>
        </w:rPr>
        <w:t>武汉东湖新技术开发区管理委员会关于</w:t>
      </w:r>
    </w:p>
    <w:p w:rsidR="004E3BC3" w:rsidRDefault="0042577B">
      <w:pPr>
        <w:adjustRightInd w:val="0"/>
        <w:snapToGrid w:val="0"/>
        <w:spacing w:line="520" w:lineRule="exact"/>
        <w:jc w:val="center"/>
        <w:rPr>
          <w:rFonts w:ascii="方正小标宋简体" w:eastAsia="方正小标宋简体"/>
          <w:sz w:val="44"/>
          <w:szCs w:val="32"/>
        </w:rPr>
      </w:pPr>
      <w:r>
        <w:rPr>
          <w:rFonts w:ascii="方正小标宋简体" w:eastAsia="方正小标宋简体" w:hint="eastAsia"/>
          <w:sz w:val="44"/>
          <w:szCs w:val="32"/>
        </w:rPr>
        <w:t>进一步加强住宅区配套幼儿园</w:t>
      </w:r>
    </w:p>
    <w:p w:rsidR="004E3BC3" w:rsidRDefault="0042577B">
      <w:pPr>
        <w:adjustRightInd w:val="0"/>
        <w:snapToGrid w:val="0"/>
        <w:spacing w:line="520" w:lineRule="exact"/>
        <w:jc w:val="center"/>
        <w:rPr>
          <w:rFonts w:ascii="方正小标宋简体" w:eastAsia="方正小标宋简体"/>
          <w:sz w:val="44"/>
          <w:szCs w:val="32"/>
        </w:rPr>
      </w:pPr>
      <w:r>
        <w:rPr>
          <w:rFonts w:ascii="方正小标宋简体" w:eastAsia="方正小标宋简体" w:hint="eastAsia"/>
          <w:sz w:val="44"/>
          <w:szCs w:val="32"/>
        </w:rPr>
        <w:t>建设和管理的意见</w:t>
      </w:r>
    </w:p>
    <w:p w:rsidR="004E3BC3" w:rsidRDefault="0042577B">
      <w:pPr>
        <w:adjustRightInd w:val="0"/>
        <w:snapToGrid w:val="0"/>
        <w:spacing w:line="520" w:lineRule="exact"/>
        <w:jc w:val="center"/>
        <w:rPr>
          <w:rFonts w:ascii="方正小标宋简体" w:eastAsia="方正小标宋简体"/>
          <w:sz w:val="44"/>
          <w:szCs w:val="32"/>
        </w:rPr>
      </w:pPr>
      <w:r>
        <w:rPr>
          <w:rFonts w:ascii="方正小标宋简体" w:eastAsia="方正小标宋简体" w:hint="eastAsia"/>
          <w:sz w:val="40"/>
          <w:szCs w:val="32"/>
        </w:rPr>
        <w:t>（征求意见稿）</w:t>
      </w:r>
    </w:p>
    <w:p w:rsidR="004E3BC3" w:rsidRDefault="004E3BC3">
      <w:pPr>
        <w:adjustRightInd w:val="0"/>
        <w:snapToGrid w:val="0"/>
        <w:spacing w:line="520" w:lineRule="exact"/>
        <w:rPr>
          <w:rFonts w:ascii="仿宋_GB2312" w:eastAsia="仿宋_GB2312"/>
          <w:sz w:val="32"/>
          <w:szCs w:val="32"/>
        </w:rPr>
      </w:pPr>
    </w:p>
    <w:p w:rsidR="004E3BC3" w:rsidRDefault="0042577B">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为深入贯彻落实《中共中央 国务院关于学前教育深化改革规范发展的若干意见》（2018年11月7日发布）、《国务院办公厅关于开展城镇小区配套幼儿园治理工作的通知》（国办发〔2019〕3号）、《省人民政府办公厅关于印发湖北省城镇小区配套幼儿园治理工作方案的通知》（鄂政办电〔2019〕49号）等文件精神，有效保障百万大学生留汉创业就业工程顺利实施，进一步加强高新区住宅区配套幼儿园建设，根据《市人民政府关于进一步加强住宅区配套幼儿园建设和管理的意见》（武政规〔2017〕63号），结合高新区学前教育资源基础相对薄弱的实际，经研究，现提出如下意见：</w:t>
      </w:r>
    </w:p>
    <w:p w:rsidR="004E3BC3" w:rsidRDefault="0042577B">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一、东湖高新区新建住宅区项目（含人才公寓）应当按照本意见和《东湖高新区住宅区配套幼儿园建设标准》（附后）配套建设幼儿园，符合最小办园规模6个班的要求。</w:t>
      </w:r>
    </w:p>
    <w:p w:rsidR="004E3BC3" w:rsidRDefault="0042577B">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二、新建住宅区住宅建筑面积在5万平方米及以上，不</w:t>
      </w:r>
      <w:r>
        <w:rPr>
          <w:rFonts w:ascii="仿宋_GB2312" w:eastAsia="仿宋_GB2312" w:hint="eastAsia"/>
          <w:sz w:val="32"/>
          <w:szCs w:val="32"/>
        </w:rPr>
        <w:lastRenderedPageBreak/>
        <w:t>足12万平方米或者居住户数在500-1200户的，应当按6个班（180人）规模配套建设幼儿园。新建住宅区住宅建筑面积在12万平方米及以上或者居住户数在1200户及以上的，应当在《武汉市住宅区配套幼儿园建设标准》基础上增加3个班（90人）规模配套建设幼儿园。新建住宅区住宅面积在5万平方米以下的，由区规划部门</w:t>
      </w:r>
      <w:r w:rsidR="00C807A5">
        <w:rPr>
          <w:rFonts w:ascii="仿宋_GB2312" w:eastAsia="仿宋_GB2312" w:hint="eastAsia"/>
          <w:sz w:val="32"/>
          <w:szCs w:val="32"/>
        </w:rPr>
        <w:t>统筹在周边区域内提出配建意见</w:t>
      </w:r>
      <w:r>
        <w:rPr>
          <w:rFonts w:ascii="仿宋_GB2312" w:eastAsia="仿宋_GB2312" w:hint="eastAsia"/>
          <w:sz w:val="32"/>
          <w:szCs w:val="32"/>
        </w:rPr>
        <w:t>。</w:t>
      </w:r>
    </w:p>
    <w:p w:rsidR="004E3BC3" w:rsidRDefault="0042577B">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三、其他与幼儿园配建相关的管理工作，按《市人民政府关于进一步加强住宅区配套幼儿园建设和管理的意见》执行。</w:t>
      </w:r>
    </w:p>
    <w:p w:rsidR="004E3BC3" w:rsidRDefault="0042577B">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四、本意见自印发之日起30日后施行，截止日期与《市人民政府关于进一步加强住宅区配套幼儿园建设和管理的意见》（武政规〔2017〕63号）一致。2018年9月21日印发的《武汉东湖新技术开发区管理委员会关于加强住宅区配套幼儿园建设和管理的意见》（武新管教文体〔2018〕15号）同时废止。</w:t>
      </w:r>
    </w:p>
    <w:p w:rsidR="004E3BC3" w:rsidRDefault="004E3BC3">
      <w:pPr>
        <w:adjustRightInd w:val="0"/>
        <w:snapToGrid w:val="0"/>
        <w:spacing w:line="520" w:lineRule="exact"/>
        <w:rPr>
          <w:rFonts w:ascii="仿宋_GB2312" w:eastAsia="仿宋_GB2312"/>
          <w:sz w:val="32"/>
          <w:szCs w:val="32"/>
        </w:rPr>
      </w:pPr>
    </w:p>
    <w:p w:rsidR="004E3BC3" w:rsidRDefault="004E3BC3">
      <w:pPr>
        <w:adjustRightInd w:val="0"/>
        <w:snapToGrid w:val="0"/>
        <w:spacing w:line="520" w:lineRule="exact"/>
        <w:rPr>
          <w:rFonts w:ascii="仿宋_GB2312" w:eastAsia="仿宋_GB2312"/>
          <w:sz w:val="32"/>
          <w:szCs w:val="32"/>
        </w:rPr>
      </w:pPr>
    </w:p>
    <w:p w:rsidR="004E3BC3" w:rsidRDefault="0042577B">
      <w:pPr>
        <w:adjustRightInd w:val="0"/>
        <w:snapToGrid w:val="0"/>
        <w:spacing w:line="520" w:lineRule="exact"/>
        <w:ind w:firstLineChars="1000" w:firstLine="3200"/>
        <w:rPr>
          <w:rFonts w:ascii="仿宋_GB2312" w:eastAsia="仿宋_GB2312"/>
          <w:sz w:val="32"/>
          <w:szCs w:val="32"/>
        </w:rPr>
      </w:pPr>
      <w:r>
        <w:rPr>
          <w:rFonts w:ascii="仿宋_GB2312" w:eastAsia="仿宋_GB2312" w:hint="eastAsia"/>
          <w:sz w:val="32"/>
          <w:szCs w:val="32"/>
        </w:rPr>
        <w:t>武汉东湖新技术开发区管理委员会</w:t>
      </w:r>
    </w:p>
    <w:p w:rsidR="004E3BC3" w:rsidRDefault="0042577B">
      <w:pPr>
        <w:adjustRightInd w:val="0"/>
        <w:snapToGrid w:val="0"/>
        <w:spacing w:line="520" w:lineRule="exact"/>
        <w:ind w:firstLineChars="1151" w:firstLine="3683"/>
        <w:jc w:val="center"/>
        <w:rPr>
          <w:rFonts w:ascii="仿宋_GB2312" w:eastAsia="仿宋_GB2312"/>
          <w:sz w:val="32"/>
          <w:szCs w:val="32"/>
        </w:rPr>
      </w:pPr>
      <w:r>
        <w:rPr>
          <w:rFonts w:ascii="仿宋_GB2312" w:eastAsia="仿宋_GB2312" w:hint="eastAsia"/>
          <w:sz w:val="32"/>
          <w:szCs w:val="32"/>
        </w:rPr>
        <w:t>2020年7月</w:t>
      </w:r>
      <w:r w:rsidR="00011B42">
        <w:rPr>
          <w:rFonts w:ascii="仿宋_GB2312" w:eastAsia="仿宋_GB2312" w:hint="eastAsia"/>
          <w:sz w:val="32"/>
          <w:szCs w:val="32"/>
        </w:rPr>
        <w:t>29</w:t>
      </w:r>
      <w:r>
        <w:rPr>
          <w:rFonts w:ascii="仿宋_GB2312" w:eastAsia="仿宋_GB2312" w:hint="eastAsia"/>
          <w:sz w:val="32"/>
          <w:szCs w:val="32"/>
        </w:rPr>
        <w:t>日</w:t>
      </w:r>
    </w:p>
    <w:p w:rsidR="004E3BC3" w:rsidRDefault="004E3BC3">
      <w:pPr>
        <w:spacing w:line="520" w:lineRule="exact"/>
        <w:sectPr w:rsidR="004E3BC3">
          <w:pgSz w:w="11906" w:h="16838"/>
          <w:pgMar w:top="1440" w:right="1800" w:bottom="1440" w:left="1800" w:header="851" w:footer="992" w:gutter="0"/>
          <w:cols w:space="425"/>
          <w:docGrid w:type="lines" w:linePitch="312"/>
        </w:sectPr>
      </w:pPr>
    </w:p>
    <w:tbl>
      <w:tblPr>
        <w:tblW w:w="14127" w:type="dxa"/>
        <w:tblLayout w:type="fixed"/>
        <w:tblCellMar>
          <w:left w:w="0" w:type="dxa"/>
          <w:right w:w="0" w:type="dxa"/>
        </w:tblCellMar>
        <w:tblLook w:val="04A0"/>
      </w:tblPr>
      <w:tblGrid>
        <w:gridCol w:w="3315"/>
        <w:gridCol w:w="1440"/>
        <w:gridCol w:w="1530"/>
        <w:gridCol w:w="1440"/>
        <w:gridCol w:w="1455"/>
        <w:gridCol w:w="1107"/>
        <w:gridCol w:w="1335"/>
        <w:gridCol w:w="1320"/>
        <w:gridCol w:w="1185"/>
      </w:tblGrid>
      <w:tr w:rsidR="004E3BC3">
        <w:trPr>
          <w:trHeight w:val="620"/>
        </w:trPr>
        <w:tc>
          <w:tcPr>
            <w:tcW w:w="14127" w:type="dxa"/>
            <w:gridSpan w:val="9"/>
            <w:tcBorders>
              <w:top w:val="nil"/>
              <w:left w:val="nil"/>
              <w:bottom w:val="single" w:sz="4" w:space="0" w:color="000000"/>
              <w:right w:val="nil"/>
            </w:tcBorders>
            <w:shd w:val="clear" w:color="auto" w:fill="auto"/>
            <w:noWrap/>
            <w:tcMar>
              <w:top w:w="15" w:type="dxa"/>
              <w:left w:w="15" w:type="dxa"/>
              <w:right w:w="15" w:type="dxa"/>
            </w:tcMar>
            <w:vAlign w:val="center"/>
          </w:tcPr>
          <w:p w:rsidR="004E3BC3" w:rsidRDefault="0042577B">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lastRenderedPageBreak/>
              <w:t>东湖高新区住宅区配套幼儿园建设标准</w:t>
            </w:r>
          </w:p>
        </w:tc>
      </w:tr>
      <w:tr w:rsidR="004E3BC3">
        <w:trPr>
          <w:trHeight w:val="479"/>
        </w:trPr>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rPr>
              <w:t>类型</w:t>
            </w:r>
          </w:p>
        </w:tc>
        <w:tc>
          <w:tcPr>
            <w:tcW w:w="108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BC3" w:rsidRDefault="004E3BC3">
            <w:pPr>
              <w:jc w:val="center"/>
              <w:rPr>
                <w:rFonts w:ascii="仿宋_GB2312" w:eastAsia="仿宋_GB2312" w:hAnsi="宋体" w:cs="仿宋_GB2312"/>
                <w:b/>
                <w:color w:val="000000"/>
                <w:sz w:val="28"/>
                <w:szCs w:val="28"/>
              </w:rPr>
            </w:pPr>
          </w:p>
        </w:tc>
      </w:tr>
      <w:tr w:rsidR="004E3BC3">
        <w:trPr>
          <w:trHeight w:val="520"/>
        </w:trPr>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住宅区居住人口规模（户）</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500-1200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1200-1800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1800-2400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2400-3000</w:t>
            </w:r>
          </w:p>
        </w:tc>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3000-3600</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3600-4200</w:t>
            </w:r>
          </w:p>
        </w:tc>
      </w:tr>
      <w:tr w:rsidR="004E3BC3">
        <w:trPr>
          <w:trHeight w:val="575"/>
        </w:trPr>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住宅区建筑规模</w:t>
            </w:r>
            <w:r>
              <w:rPr>
                <w:rFonts w:ascii="仿宋_GB2312" w:eastAsia="仿宋_GB2312" w:hAnsi="宋体" w:cs="仿宋_GB2312" w:hint="eastAsia"/>
                <w:color w:val="000000"/>
                <w:kern w:val="0"/>
                <w:sz w:val="24"/>
                <w:szCs w:val="24"/>
              </w:rPr>
              <w:br/>
              <w:t>（万平方米）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5-12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12-18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18-24</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24-30</w:t>
            </w:r>
          </w:p>
        </w:tc>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30-36</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36-42</w:t>
            </w:r>
          </w:p>
        </w:tc>
      </w:tr>
      <w:tr w:rsidR="004E3BC3">
        <w:trPr>
          <w:trHeight w:val="908"/>
        </w:trPr>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配套幼儿园设置规模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spacing w:line="4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6班、</w:t>
            </w:r>
            <w:r>
              <w:rPr>
                <w:rFonts w:ascii="仿宋_GB2312" w:eastAsia="仿宋_GB2312" w:hAnsi="宋体" w:cs="仿宋_GB2312" w:hint="eastAsia"/>
                <w:color w:val="000000"/>
                <w:kern w:val="0"/>
                <w:sz w:val="28"/>
                <w:szCs w:val="28"/>
              </w:rPr>
              <w:br/>
              <w:t>180人</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spacing w:line="4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9班、</w:t>
            </w:r>
            <w:r>
              <w:rPr>
                <w:rFonts w:ascii="仿宋_GB2312" w:eastAsia="仿宋_GB2312" w:hAnsi="宋体" w:cs="仿宋_GB2312" w:hint="eastAsia"/>
                <w:color w:val="000000"/>
                <w:kern w:val="0"/>
                <w:sz w:val="28"/>
                <w:szCs w:val="28"/>
              </w:rPr>
              <w:br/>
              <w:t>270人</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spacing w:line="4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12班、</w:t>
            </w:r>
            <w:r>
              <w:rPr>
                <w:rFonts w:ascii="仿宋_GB2312" w:eastAsia="仿宋_GB2312" w:hAnsi="宋体" w:cs="仿宋_GB2312" w:hint="eastAsia"/>
                <w:color w:val="000000"/>
                <w:kern w:val="0"/>
                <w:sz w:val="28"/>
                <w:szCs w:val="28"/>
              </w:rPr>
              <w:br/>
              <w:t>360人</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spacing w:line="4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15班、</w:t>
            </w:r>
            <w:r>
              <w:rPr>
                <w:rFonts w:ascii="仿宋_GB2312" w:eastAsia="仿宋_GB2312" w:hAnsi="宋体" w:cs="仿宋_GB2312" w:hint="eastAsia"/>
                <w:color w:val="000000"/>
                <w:kern w:val="0"/>
                <w:sz w:val="28"/>
                <w:szCs w:val="28"/>
              </w:rPr>
              <w:br/>
              <w:t>450人</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spacing w:line="4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9班、</w:t>
            </w:r>
            <w:r>
              <w:rPr>
                <w:rFonts w:ascii="仿宋_GB2312" w:eastAsia="仿宋_GB2312" w:hAnsi="宋体" w:cs="仿宋_GB2312" w:hint="eastAsia"/>
                <w:color w:val="000000"/>
                <w:kern w:val="0"/>
                <w:sz w:val="28"/>
                <w:szCs w:val="28"/>
              </w:rPr>
              <w:br/>
              <w:t>270人</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spacing w:line="4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9班、</w:t>
            </w:r>
            <w:r>
              <w:rPr>
                <w:rFonts w:ascii="仿宋_GB2312" w:eastAsia="仿宋_GB2312" w:hAnsi="宋体" w:cs="仿宋_GB2312" w:hint="eastAsia"/>
                <w:color w:val="000000"/>
                <w:kern w:val="0"/>
                <w:sz w:val="28"/>
                <w:szCs w:val="28"/>
              </w:rPr>
              <w:br/>
              <w:t>270人</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spacing w:line="4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9班、</w:t>
            </w:r>
            <w:r>
              <w:rPr>
                <w:rFonts w:ascii="仿宋_GB2312" w:eastAsia="仿宋_GB2312" w:hAnsi="宋体" w:cs="仿宋_GB2312" w:hint="eastAsia"/>
                <w:color w:val="000000"/>
                <w:kern w:val="0"/>
                <w:sz w:val="28"/>
                <w:szCs w:val="28"/>
              </w:rPr>
              <w:br/>
              <w:t>270人</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spacing w:line="4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12班、</w:t>
            </w:r>
            <w:r>
              <w:rPr>
                <w:rFonts w:ascii="仿宋_GB2312" w:eastAsia="仿宋_GB2312" w:hAnsi="宋体" w:cs="仿宋_GB2312" w:hint="eastAsia"/>
                <w:color w:val="000000"/>
                <w:kern w:val="0"/>
                <w:sz w:val="28"/>
                <w:szCs w:val="28"/>
              </w:rPr>
              <w:br/>
              <w:t>360人</w:t>
            </w:r>
          </w:p>
        </w:tc>
      </w:tr>
      <w:tr w:rsidR="004E3BC3">
        <w:trPr>
          <w:trHeight w:val="560"/>
        </w:trPr>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配套幼儿园用地面积（平方米）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2700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3780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4860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5940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3780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3780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3780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4860</w:t>
            </w:r>
          </w:p>
        </w:tc>
      </w:tr>
      <w:tr w:rsidR="004E3BC3">
        <w:trPr>
          <w:trHeight w:val="560"/>
        </w:trPr>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配套幼儿园建筑面积（平方米）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1940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2730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3600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4500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2730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2730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2730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BC3" w:rsidRDefault="0042577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3600</w:t>
            </w:r>
          </w:p>
        </w:tc>
      </w:tr>
      <w:tr w:rsidR="004E3BC3">
        <w:trPr>
          <w:trHeight w:val="3060"/>
        </w:trPr>
        <w:tc>
          <w:tcPr>
            <w:tcW w:w="14127" w:type="dxa"/>
            <w:gridSpan w:val="9"/>
            <w:tcBorders>
              <w:top w:val="single" w:sz="4" w:space="0" w:color="000000"/>
              <w:left w:val="nil"/>
              <w:bottom w:val="nil"/>
              <w:right w:val="nil"/>
            </w:tcBorders>
            <w:shd w:val="clear" w:color="auto" w:fill="auto"/>
            <w:tcMar>
              <w:top w:w="15" w:type="dxa"/>
              <w:left w:w="15" w:type="dxa"/>
              <w:right w:w="15" w:type="dxa"/>
            </w:tcMar>
            <w:vAlign w:val="center"/>
          </w:tcPr>
          <w:p w:rsidR="004E3BC3" w:rsidRDefault="0042577B">
            <w:pPr>
              <w:widowControl/>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4"/>
                <w:szCs w:val="24"/>
              </w:rPr>
              <w:t>说明：</w:t>
            </w:r>
            <w:r>
              <w:rPr>
                <w:rFonts w:ascii="仿宋_GB2312" w:eastAsia="仿宋_GB2312" w:hAnsi="宋体" w:cs="仿宋_GB2312" w:hint="eastAsia"/>
                <w:color w:val="000000"/>
                <w:kern w:val="0"/>
                <w:sz w:val="24"/>
                <w:szCs w:val="24"/>
              </w:rPr>
              <w:br/>
              <w:t>1.幼儿园各类用房设置按照《幼儿园建设标准》（建标175-2016）执行，并在此基础上，根据办园规模大小，每园另增设专用活动室(兴趣活动室)1-5间(3班1间、6班2间、9班3间、12班4 间、15班5间) ，每间使用面积60平方米以上。</w:t>
            </w:r>
            <w:r>
              <w:rPr>
                <w:rFonts w:ascii="仿宋_GB2312" w:eastAsia="仿宋_GB2312" w:hAnsi="宋体" w:cs="仿宋_GB2312" w:hint="eastAsia"/>
                <w:color w:val="000000"/>
                <w:kern w:val="0"/>
                <w:sz w:val="24"/>
                <w:szCs w:val="24"/>
              </w:rPr>
              <w:br/>
              <w:t>2. 幼儿园建筑设计按照《幼儿园建设标准》（建标175-2016）执行。</w:t>
            </w:r>
            <w:r>
              <w:rPr>
                <w:rFonts w:ascii="仿宋_GB2312" w:eastAsia="仿宋_GB2312" w:hAnsi="宋体" w:cs="仿宋_GB2312" w:hint="eastAsia"/>
                <w:color w:val="000000"/>
                <w:kern w:val="0"/>
                <w:sz w:val="24"/>
                <w:szCs w:val="24"/>
              </w:rPr>
              <w:br/>
              <w:t>3. 当住宅区居住人口规模超过3000户时，应设置2 所以上配套幼儿园，设置模式可根据居住人口规模，按照(9班+9班)、(9班+12班)、(12班+12班)、(9班+9班+9班)、(9班+9班+12班)等模式，依此类推进行设置。</w:t>
            </w:r>
            <w:r>
              <w:rPr>
                <w:rFonts w:ascii="仿宋_GB2312" w:eastAsia="仿宋_GB2312" w:hAnsi="宋体" w:cs="仿宋_GB2312" w:hint="eastAsia"/>
                <w:color w:val="000000"/>
                <w:kern w:val="0"/>
                <w:sz w:val="24"/>
                <w:szCs w:val="24"/>
              </w:rPr>
              <w:br/>
              <w:t>4. 当住宅区居住人口规模、建筑规模不在同一档次时，应以居住人口规模为首要因素来确定配套幼儿园的建设规模。</w:t>
            </w:r>
            <w:r>
              <w:rPr>
                <w:rFonts w:ascii="仿宋_GB2312" w:eastAsia="仿宋_GB2312" w:hAnsi="宋体" w:cs="仿宋_GB2312" w:hint="eastAsia"/>
                <w:color w:val="000000"/>
                <w:kern w:val="0"/>
                <w:sz w:val="24"/>
                <w:szCs w:val="24"/>
              </w:rPr>
              <w:br/>
              <w:t>5. 住宅区居住人口规模、建筑规模达到临界值的，应当按照高一档标准执行。</w:t>
            </w:r>
          </w:p>
        </w:tc>
      </w:tr>
    </w:tbl>
    <w:p w:rsidR="004E3BC3" w:rsidRDefault="004E3BC3">
      <w:pPr>
        <w:spacing w:line="520" w:lineRule="exact"/>
      </w:pPr>
      <w:bookmarkStart w:id="0" w:name="_GoBack"/>
      <w:bookmarkEnd w:id="0"/>
    </w:p>
    <w:sectPr w:rsidR="004E3BC3" w:rsidSect="004E3BC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24A" w:rsidRDefault="00F8124A" w:rsidP="00C807A5">
      <w:r>
        <w:separator/>
      </w:r>
    </w:p>
  </w:endnote>
  <w:endnote w:type="continuationSeparator" w:id="1">
    <w:p w:rsidR="00F8124A" w:rsidRDefault="00F8124A" w:rsidP="00C80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24A" w:rsidRDefault="00F8124A" w:rsidP="00C807A5">
      <w:r>
        <w:separator/>
      </w:r>
    </w:p>
  </w:footnote>
  <w:footnote w:type="continuationSeparator" w:id="1">
    <w:p w:rsidR="00F8124A" w:rsidRDefault="00F8124A" w:rsidP="00C807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C1EC1"/>
    <w:rsid w:val="00011B42"/>
    <w:rsid w:val="0003028C"/>
    <w:rsid w:val="00030FBA"/>
    <w:rsid w:val="000521B2"/>
    <w:rsid w:val="000562B2"/>
    <w:rsid w:val="000736C5"/>
    <w:rsid w:val="000941B4"/>
    <w:rsid w:val="000B6973"/>
    <w:rsid w:val="000C2F60"/>
    <w:rsid w:val="000D0198"/>
    <w:rsid w:val="000D11C4"/>
    <w:rsid w:val="00132506"/>
    <w:rsid w:val="00173266"/>
    <w:rsid w:val="00193D2F"/>
    <w:rsid w:val="001A50A9"/>
    <w:rsid w:val="001A5C2B"/>
    <w:rsid w:val="001B1D14"/>
    <w:rsid w:val="001C0ACF"/>
    <w:rsid w:val="001D3DC7"/>
    <w:rsid w:val="001D5A62"/>
    <w:rsid w:val="001D62A2"/>
    <w:rsid w:val="001E5933"/>
    <w:rsid w:val="00230554"/>
    <w:rsid w:val="00241CFC"/>
    <w:rsid w:val="002622C0"/>
    <w:rsid w:val="002813B6"/>
    <w:rsid w:val="00292123"/>
    <w:rsid w:val="00297691"/>
    <w:rsid w:val="00297F3F"/>
    <w:rsid w:val="002C46AB"/>
    <w:rsid w:val="0031717A"/>
    <w:rsid w:val="0034054B"/>
    <w:rsid w:val="00344BB0"/>
    <w:rsid w:val="00377BA3"/>
    <w:rsid w:val="00392E65"/>
    <w:rsid w:val="003C2AB9"/>
    <w:rsid w:val="004167FB"/>
    <w:rsid w:val="0042577B"/>
    <w:rsid w:val="004522DF"/>
    <w:rsid w:val="004A385A"/>
    <w:rsid w:val="004D6632"/>
    <w:rsid w:val="004E3BC3"/>
    <w:rsid w:val="00502D79"/>
    <w:rsid w:val="00526126"/>
    <w:rsid w:val="00534D11"/>
    <w:rsid w:val="00560DDA"/>
    <w:rsid w:val="00570DB0"/>
    <w:rsid w:val="00591394"/>
    <w:rsid w:val="005956FE"/>
    <w:rsid w:val="005C1EC1"/>
    <w:rsid w:val="005D4D9D"/>
    <w:rsid w:val="005E7CA8"/>
    <w:rsid w:val="0061064D"/>
    <w:rsid w:val="00616F6B"/>
    <w:rsid w:val="00644825"/>
    <w:rsid w:val="006473E4"/>
    <w:rsid w:val="006A6C79"/>
    <w:rsid w:val="006D16FE"/>
    <w:rsid w:val="006E70DE"/>
    <w:rsid w:val="007158A1"/>
    <w:rsid w:val="00730F7A"/>
    <w:rsid w:val="0073304E"/>
    <w:rsid w:val="00742006"/>
    <w:rsid w:val="00796AC4"/>
    <w:rsid w:val="007B74E5"/>
    <w:rsid w:val="007C0174"/>
    <w:rsid w:val="007E5E71"/>
    <w:rsid w:val="007F2DF4"/>
    <w:rsid w:val="007F5163"/>
    <w:rsid w:val="008067D4"/>
    <w:rsid w:val="008213F1"/>
    <w:rsid w:val="00847DE1"/>
    <w:rsid w:val="008D3A6F"/>
    <w:rsid w:val="009022F7"/>
    <w:rsid w:val="00930A1E"/>
    <w:rsid w:val="0094170A"/>
    <w:rsid w:val="00946856"/>
    <w:rsid w:val="00957654"/>
    <w:rsid w:val="00960C28"/>
    <w:rsid w:val="0097122C"/>
    <w:rsid w:val="009B0A92"/>
    <w:rsid w:val="009B3320"/>
    <w:rsid w:val="009D1983"/>
    <w:rsid w:val="009F0781"/>
    <w:rsid w:val="00A054E6"/>
    <w:rsid w:val="00A11C2C"/>
    <w:rsid w:val="00A12213"/>
    <w:rsid w:val="00A13CA8"/>
    <w:rsid w:val="00A66594"/>
    <w:rsid w:val="00A90318"/>
    <w:rsid w:val="00AA58F2"/>
    <w:rsid w:val="00AC5FF0"/>
    <w:rsid w:val="00AE063C"/>
    <w:rsid w:val="00AF1264"/>
    <w:rsid w:val="00B15680"/>
    <w:rsid w:val="00B2782F"/>
    <w:rsid w:val="00B40075"/>
    <w:rsid w:val="00B41B75"/>
    <w:rsid w:val="00B6270E"/>
    <w:rsid w:val="00BA7824"/>
    <w:rsid w:val="00BC395E"/>
    <w:rsid w:val="00BC48B3"/>
    <w:rsid w:val="00BE5B2A"/>
    <w:rsid w:val="00BF4B88"/>
    <w:rsid w:val="00C11D62"/>
    <w:rsid w:val="00C166F0"/>
    <w:rsid w:val="00C31682"/>
    <w:rsid w:val="00C7178B"/>
    <w:rsid w:val="00C76A6B"/>
    <w:rsid w:val="00C807A5"/>
    <w:rsid w:val="00C9195D"/>
    <w:rsid w:val="00CB6A98"/>
    <w:rsid w:val="00CF24CE"/>
    <w:rsid w:val="00D2361D"/>
    <w:rsid w:val="00D3733F"/>
    <w:rsid w:val="00DA15B4"/>
    <w:rsid w:val="00DD5903"/>
    <w:rsid w:val="00DE36AE"/>
    <w:rsid w:val="00E1189F"/>
    <w:rsid w:val="00E409B0"/>
    <w:rsid w:val="00E4706D"/>
    <w:rsid w:val="00EB6CE7"/>
    <w:rsid w:val="00EC005F"/>
    <w:rsid w:val="00EC5B1C"/>
    <w:rsid w:val="00ED404F"/>
    <w:rsid w:val="00EE46D9"/>
    <w:rsid w:val="00F01791"/>
    <w:rsid w:val="00F302AD"/>
    <w:rsid w:val="00F44791"/>
    <w:rsid w:val="00F47731"/>
    <w:rsid w:val="00F8124A"/>
    <w:rsid w:val="00F925A6"/>
    <w:rsid w:val="00F941C2"/>
    <w:rsid w:val="46FD72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BC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E3BC3"/>
    <w:rPr>
      <w:sz w:val="18"/>
      <w:szCs w:val="18"/>
    </w:rPr>
  </w:style>
  <w:style w:type="paragraph" w:styleId="a4">
    <w:name w:val="footer"/>
    <w:basedOn w:val="a"/>
    <w:link w:val="Char0"/>
    <w:uiPriority w:val="99"/>
    <w:unhideWhenUsed/>
    <w:rsid w:val="004E3BC3"/>
    <w:pPr>
      <w:tabs>
        <w:tab w:val="center" w:pos="4153"/>
        <w:tab w:val="right" w:pos="8306"/>
      </w:tabs>
      <w:snapToGrid w:val="0"/>
      <w:jc w:val="left"/>
    </w:pPr>
    <w:rPr>
      <w:sz w:val="18"/>
      <w:szCs w:val="18"/>
    </w:rPr>
  </w:style>
  <w:style w:type="paragraph" w:styleId="a5">
    <w:name w:val="header"/>
    <w:basedOn w:val="a"/>
    <w:link w:val="Char1"/>
    <w:uiPriority w:val="99"/>
    <w:unhideWhenUsed/>
    <w:rsid w:val="004E3BC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E3BC3"/>
    <w:rPr>
      <w:sz w:val="18"/>
      <w:szCs w:val="18"/>
    </w:rPr>
  </w:style>
  <w:style w:type="character" w:customStyle="1" w:styleId="Char0">
    <w:name w:val="页脚 Char"/>
    <w:basedOn w:val="a0"/>
    <w:link w:val="a4"/>
    <w:uiPriority w:val="99"/>
    <w:qFormat/>
    <w:rsid w:val="004E3BC3"/>
    <w:rPr>
      <w:sz w:val="18"/>
      <w:szCs w:val="18"/>
    </w:rPr>
  </w:style>
  <w:style w:type="character" w:customStyle="1" w:styleId="Char">
    <w:name w:val="批注框文本 Char"/>
    <w:basedOn w:val="a0"/>
    <w:link w:val="a3"/>
    <w:uiPriority w:val="99"/>
    <w:semiHidden/>
    <w:rsid w:val="004E3BC3"/>
    <w:rPr>
      <w:sz w:val="18"/>
      <w:szCs w:val="18"/>
    </w:rPr>
  </w:style>
  <w:style w:type="paragraph" w:styleId="a6">
    <w:name w:val="List Paragraph"/>
    <w:basedOn w:val="a"/>
    <w:uiPriority w:val="34"/>
    <w:qFormat/>
    <w:rsid w:val="004E3BC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229</Words>
  <Characters>1309</Characters>
  <Application>Microsoft Office Word</Application>
  <DocSecurity>0</DocSecurity>
  <Lines>10</Lines>
  <Paragraphs>3</Paragraphs>
  <ScaleCrop>false</ScaleCrop>
  <Company>Lenovo</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lenovo</cp:lastModifiedBy>
  <cp:revision>20</cp:revision>
  <cp:lastPrinted>2020-07-29T02:31:00Z</cp:lastPrinted>
  <dcterms:created xsi:type="dcterms:W3CDTF">2018-10-31T01:01:00Z</dcterms:created>
  <dcterms:modified xsi:type="dcterms:W3CDTF">2020-07-29T07:52:00Z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