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5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0"/>
        <w:gridCol w:w="6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110" w:type="dxa"/>
            <w:shd w:val="clear" w:color="auto" w:fill="FFFFFF"/>
            <w:noWrap/>
            <w:vAlign w:val="center"/>
          </w:tcPr>
          <w:p>
            <w:pPr>
              <w:keepNext w:val="0"/>
              <w:keepLines w:val="0"/>
              <w:widowControl/>
              <w:suppressLineNumbers w:val="0"/>
              <w:ind w:left="0" w:firstLine="0"/>
              <w:jc w:val="left"/>
              <w:rPr>
                <w:rFonts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发文标题：</w:t>
            </w:r>
          </w:p>
        </w:tc>
        <w:tc>
          <w:tcPr>
            <w:tcW w:w="7860" w:type="dxa"/>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18"/>
                <w:szCs w:val="18"/>
                <w:lang w:val="en-US" w:eastAsia="zh-CN" w:bidi="ar"/>
              </w:rPr>
              <w:t>湖北省物价局湖北省财政厅湖北省水利厅关于调整水力发电和工业生产水资源费征收标准的通知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发文文号：</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鄂价环资规[2013]186号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发文部门：</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begin"/>
            </w:r>
            <w:r>
              <w:rPr>
                <w:rFonts w:hint="eastAsia" w:ascii="微软雅黑" w:hAnsi="微软雅黑" w:eastAsia="微软雅黑" w:cs="微软雅黑"/>
                <w:i w:val="0"/>
                <w:iCs w:val="0"/>
                <w:caps w:val="0"/>
                <w:color w:val="004276"/>
                <w:spacing w:val="0"/>
                <w:kern w:val="0"/>
                <w:sz w:val="19"/>
                <w:szCs w:val="19"/>
                <w:u w:val="none"/>
                <w:lang w:val="en-US" w:eastAsia="zh-CN" w:bidi="ar"/>
              </w:rPr>
              <w:instrText xml:space="preserve"> HYPERLINK "https://law.esnai.com/do.aspx?controller=home&amp;action=search&amp;Department=835" \t "https://law.esnai.com/view/142216/_blank" </w:instrTex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separate"/>
            </w:r>
            <w:r>
              <w:rPr>
                <w:rStyle w:val="5"/>
                <w:rFonts w:hint="eastAsia" w:ascii="微软雅黑" w:hAnsi="微软雅黑" w:eastAsia="微软雅黑" w:cs="微软雅黑"/>
                <w:i w:val="0"/>
                <w:iCs w:val="0"/>
                <w:caps w:val="0"/>
                <w:color w:val="004276"/>
                <w:spacing w:val="0"/>
                <w:sz w:val="19"/>
                <w:szCs w:val="19"/>
                <w:u w:val="none"/>
              </w:rPr>
              <w:t>湖北省财政厅</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lang w:val="en-US" w:eastAsia="zh-CN" w:bidi="ar"/>
              </w:rPr>
              <w:t> </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begin"/>
            </w:r>
            <w:r>
              <w:rPr>
                <w:rFonts w:hint="eastAsia" w:ascii="微软雅黑" w:hAnsi="微软雅黑" w:eastAsia="微软雅黑" w:cs="微软雅黑"/>
                <w:i w:val="0"/>
                <w:iCs w:val="0"/>
                <w:caps w:val="0"/>
                <w:color w:val="004276"/>
                <w:spacing w:val="0"/>
                <w:kern w:val="0"/>
                <w:sz w:val="19"/>
                <w:szCs w:val="19"/>
                <w:u w:val="none"/>
                <w:lang w:val="en-US" w:eastAsia="zh-CN" w:bidi="ar"/>
              </w:rPr>
              <w:instrText xml:space="preserve"> HYPERLINK "https://law.esnai.com/do.aspx?controller=home&amp;action=search&amp;Department=870" \t "https://law.esnai.com/view/142216/_blank" </w:instrTex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separate"/>
            </w:r>
            <w:r>
              <w:rPr>
                <w:rStyle w:val="5"/>
                <w:rFonts w:hint="eastAsia" w:ascii="微软雅黑" w:hAnsi="微软雅黑" w:eastAsia="微软雅黑" w:cs="微软雅黑"/>
                <w:i w:val="0"/>
                <w:iCs w:val="0"/>
                <w:caps w:val="0"/>
                <w:color w:val="004276"/>
                <w:spacing w:val="0"/>
                <w:sz w:val="19"/>
                <w:szCs w:val="19"/>
                <w:u w:val="none"/>
              </w:rPr>
              <w:t>湖北省水利厅</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lang w:val="en-US" w:eastAsia="zh-CN" w:bidi="ar"/>
              </w:rPr>
              <w:t> </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begin"/>
            </w:r>
            <w:r>
              <w:rPr>
                <w:rFonts w:hint="eastAsia" w:ascii="微软雅黑" w:hAnsi="微软雅黑" w:eastAsia="微软雅黑" w:cs="微软雅黑"/>
                <w:i w:val="0"/>
                <w:iCs w:val="0"/>
                <w:caps w:val="0"/>
                <w:color w:val="004276"/>
                <w:spacing w:val="0"/>
                <w:kern w:val="0"/>
                <w:sz w:val="19"/>
                <w:szCs w:val="19"/>
                <w:u w:val="none"/>
                <w:lang w:val="en-US" w:eastAsia="zh-CN" w:bidi="ar"/>
              </w:rPr>
              <w:instrText xml:space="preserve"> HYPERLINK "https://law.esnai.com/do.aspx?controller=home&amp;action=search&amp;Department=837" \t "https://law.esnai.com/view/142216/_blank" </w:instrTex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separate"/>
            </w:r>
            <w:r>
              <w:rPr>
                <w:rStyle w:val="5"/>
                <w:rFonts w:hint="eastAsia" w:ascii="微软雅黑" w:hAnsi="微软雅黑" w:eastAsia="微软雅黑" w:cs="微软雅黑"/>
                <w:i w:val="0"/>
                <w:iCs w:val="0"/>
                <w:caps w:val="0"/>
                <w:color w:val="004276"/>
                <w:spacing w:val="0"/>
                <w:sz w:val="19"/>
                <w:szCs w:val="19"/>
                <w:u w:val="none"/>
              </w:rPr>
              <w:t>湖北省物价局</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发文时间：</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2013-11-4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实施时间：</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2013-12-1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法规类型：</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begin"/>
            </w:r>
            <w:r>
              <w:rPr>
                <w:rFonts w:hint="eastAsia" w:ascii="微软雅黑" w:hAnsi="微软雅黑" w:eastAsia="微软雅黑" w:cs="微软雅黑"/>
                <w:i w:val="0"/>
                <w:iCs w:val="0"/>
                <w:caps w:val="0"/>
                <w:color w:val="004276"/>
                <w:spacing w:val="0"/>
                <w:kern w:val="0"/>
                <w:sz w:val="19"/>
                <w:szCs w:val="19"/>
                <w:u w:val="none"/>
                <w:lang w:val="en-US" w:eastAsia="zh-CN" w:bidi="ar"/>
              </w:rPr>
              <w:instrText xml:space="preserve"> HYPERLINK "https://law.esnai.com/do.aspx?controller=home&amp;action=search&amp;LawType=000010" \t "https://law.esnai.com/view/142216/_blank" </w:instrTex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separate"/>
            </w:r>
            <w:r>
              <w:rPr>
                <w:rStyle w:val="5"/>
                <w:rFonts w:hint="eastAsia" w:ascii="微软雅黑" w:hAnsi="微软雅黑" w:eastAsia="微软雅黑" w:cs="微软雅黑"/>
                <w:i w:val="0"/>
                <w:iCs w:val="0"/>
                <w:caps w:val="0"/>
                <w:color w:val="004276"/>
                <w:spacing w:val="0"/>
                <w:sz w:val="19"/>
                <w:szCs w:val="19"/>
                <w:u w:val="none"/>
              </w:rPr>
              <w:t>价格管理</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lang w:val="en-US" w:eastAsia="zh-CN" w:bidi="ar"/>
              </w:rPr>
              <w:t> </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begin"/>
            </w:r>
            <w:r>
              <w:rPr>
                <w:rFonts w:hint="eastAsia" w:ascii="微软雅黑" w:hAnsi="微软雅黑" w:eastAsia="微软雅黑" w:cs="微软雅黑"/>
                <w:i w:val="0"/>
                <w:iCs w:val="0"/>
                <w:caps w:val="0"/>
                <w:color w:val="004276"/>
                <w:spacing w:val="0"/>
                <w:kern w:val="0"/>
                <w:sz w:val="19"/>
                <w:szCs w:val="19"/>
                <w:u w:val="none"/>
                <w:lang w:val="en-US" w:eastAsia="zh-CN" w:bidi="ar"/>
              </w:rPr>
              <w:instrText xml:space="preserve"> HYPERLINK "https://law.esnai.com/do.aspx?controller=home&amp;action=search&amp;LawType=011022" \t "https://law.esnai.com/view/142216/_blank" </w:instrTex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separate"/>
            </w:r>
            <w:r>
              <w:rPr>
                <w:rStyle w:val="5"/>
                <w:rFonts w:hint="eastAsia" w:ascii="微软雅黑" w:hAnsi="微软雅黑" w:eastAsia="微软雅黑" w:cs="微软雅黑"/>
                <w:i w:val="0"/>
                <w:iCs w:val="0"/>
                <w:caps w:val="0"/>
                <w:color w:val="004276"/>
                <w:spacing w:val="0"/>
                <w:sz w:val="19"/>
                <w:szCs w:val="19"/>
                <w:u w:val="none"/>
              </w:rPr>
              <w:t>行政性收费项目</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所属行业：</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begin"/>
            </w:r>
            <w:r>
              <w:rPr>
                <w:rFonts w:hint="eastAsia" w:ascii="微软雅黑" w:hAnsi="微软雅黑" w:eastAsia="微软雅黑" w:cs="微软雅黑"/>
                <w:i w:val="0"/>
                <w:iCs w:val="0"/>
                <w:caps w:val="0"/>
                <w:color w:val="004276"/>
                <w:spacing w:val="0"/>
                <w:kern w:val="0"/>
                <w:sz w:val="19"/>
                <w:szCs w:val="19"/>
                <w:u w:val="none"/>
                <w:lang w:val="en-US" w:eastAsia="zh-CN" w:bidi="ar"/>
              </w:rPr>
              <w:instrText xml:space="preserve"> HYPERLINK "https://law.esnai.com/do.aspx?controller=home&amp;action=search&amp;Trade=" \t "https://law.esnai.com/view/142216/_blank" </w:instrTex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separate"/>
            </w:r>
            <w:r>
              <w:rPr>
                <w:rStyle w:val="5"/>
                <w:rFonts w:hint="eastAsia" w:ascii="微软雅黑" w:hAnsi="微软雅黑" w:eastAsia="微软雅黑" w:cs="微软雅黑"/>
                <w:i w:val="0"/>
                <w:iCs w:val="0"/>
                <w:caps w:val="0"/>
                <w:color w:val="004276"/>
                <w:spacing w:val="0"/>
                <w:sz w:val="19"/>
                <w:szCs w:val="19"/>
                <w:u w:val="none"/>
              </w:rPr>
              <w:t>所有行业</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所属区域：</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begin"/>
            </w:r>
            <w:r>
              <w:rPr>
                <w:rFonts w:hint="eastAsia" w:ascii="微软雅黑" w:hAnsi="微软雅黑" w:eastAsia="微软雅黑" w:cs="微软雅黑"/>
                <w:i w:val="0"/>
                <w:iCs w:val="0"/>
                <w:caps w:val="0"/>
                <w:color w:val="004276"/>
                <w:spacing w:val="0"/>
                <w:kern w:val="0"/>
                <w:sz w:val="19"/>
                <w:szCs w:val="19"/>
                <w:u w:val="none"/>
                <w:lang w:val="en-US" w:eastAsia="zh-CN" w:bidi="ar"/>
              </w:rPr>
              <w:instrText xml:space="preserve"> HYPERLINK "https://law.esnai.com/do.aspx?controller=home&amp;action=search&amp;District=000100110000" \t "https://law.esnai.com/view/142216/_blank" </w:instrTex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separate"/>
            </w:r>
            <w:r>
              <w:rPr>
                <w:rStyle w:val="5"/>
                <w:rFonts w:hint="eastAsia" w:ascii="微软雅黑" w:hAnsi="微软雅黑" w:eastAsia="微软雅黑" w:cs="微软雅黑"/>
                <w:i w:val="0"/>
                <w:iCs w:val="0"/>
                <w:caps w:val="0"/>
                <w:color w:val="004276"/>
                <w:spacing w:val="0"/>
                <w:sz w:val="19"/>
                <w:szCs w:val="19"/>
                <w:u w:val="none"/>
              </w:rPr>
              <w:t>湖北</w:t>
            </w:r>
            <w:r>
              <w:rPr>
                <w:rFonts w:hint="eastAsia" w:ascii="微软雅黑" w:hAnsi="微软雅黑" w:eastAsia="微软雅黑" w:cs="微软雅黑"/>
                <w:i w:val="0"/>
                <w:iCs w:val="0"/>
                <w:caps w:val="0"/>
                <w:color w:val="004276"/>
                <w:spacing w:val="0"/>
                <w:kern w:val="0"/>
                <w:sz w:val="19"/>
                <w:szCs w:val="19"/>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阅读人次：</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评论人次：</w:t>
            </w:r>
          </w:p>
        </w:tc>
        <w:tc>
          <w:tcPr>
            <w:tcW w:w="0" w:type="auto"/>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noWrap/>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页面功能：</w:t>
            </w:r>
          </w:p>
        </w:tc>
        <w:tc>
          <w:tcPr>
            <w:tcW w:w="0" w:type="auto"/>
            <w:shd w:val="clear" w:color="auto" w:fill="FFFFFF"/>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76" w:hanging="360"/>
              <w:jc w:val="left"/>
            </w:pPr>
            <w:r>
              <w:rPr>
                <w:rFonts w:hint="eastAsia" w:ascii="微软雅黑" w:hAnsi="微软雅黑" w:eastAsia="微软雅黑" w:cs="微软雅黑"/>
                <w:i w:val="0"/>
                <w:iCs w:val="0"/>
                <w:caps w:val="0"/>
                <w:color w:val="004276"/>
                <w:spacing w:val="0"/>
                <w:sz w:val="19"/>
                <w:szCs w:val="19"/>
                <w:u w:val="none"/>
                <w:shd w:val="clear" w:fill="FF0000"/>
              </w:rPr>
              <w:fldChar w:fldCharType="begin"/>
            </w:r>
            <w:r>
              <w:rPr>
                <w:rFonts w:hint="eastAsia" w:ascii="微软雅黑" w:hAnsi="微软雅黑" w:eastAsia="微软雅黑" w:cs="微软雅黑"/>
                <w:i w:val="0"/>
                <w:iCs w:val="0"/>
                <w:caps w:val="0"/>
                <w:color w:val="004276"/>
                <w:spacing w:val="0"/>
                <w:sz w:val="19"/>
                <w:szCs w:val="19"/>
                <w:u w:val="none"/>
                <w:shd w:val="clear" w:fill="FF0000"/>
              </w:rPr>
              <w:instrText xml:space="preserve"> HYPERLINK "javascript:;" </w:instrText>
            </w:r>
            <w:r>
              <w:rPr>
                <w:rFonts w:hint="eastAsia" w:ascii="微软雅黑" w:hAnsi="微软雅黑" w:eastAsia="微软雅黑" w:cs="微软雅黑"/>
                <w:i w:val="0"/>
                <w:iCs w:val="0"/>
                <w:caps w:val="0"/>
                <w:color w:val="004276"/>
                <w:spacing w:val="0"/>
                <w:sz w:val="19"/>
                <w:szCs w:val="19"/>
                <w:u w:val="none"/>
                <w:shd w:val="clear" w:fill="FF0000"/>
              </w:rPr>
              <w:fldChar w:fldCharType="separate"/>
            </w:r>
            <w:r>
              <w:rPr>
                <w:rFonts w:hint="eastAsia" w:ascii="微软雅黑" w:hAnsi="微软雅黑" w:eastAsia="微软雅黑" w:cs="微软雅黑"/>
                <w:i w:val="0"/>
                <w:iCs w:val="0"/>
                <w:caps w:val="0"/>
                <w:color w:val="004276"/>
                <w:spacing w:val="0"/>
                <w:sz w:val="19"/>
                <w:szCs w:val="19"/>
                <w:u w:val="none"/>
                <w:shd w:val="clear" w:fill="FF0000"/>
              </w:rPr>
              <w:fldChar w:fldCharType="end"/>
            </w:r>
            <w:r>
              <w:rPr>
                <w:rFonts w:hint="eastAsia" w:ascii="微软雅黑" w:hAnsi="微软雅黑" w:eastAsia="微软雅黑" w:cs="微软雅黑"/>
                <w:i w:val="0"/>
                <w:iCs w:val="0"/>
                <w:caps w:val="0"/>
                <w:color w:val="FF0000"/>
                <w:spacing w:val="0"/>
                <w:sz w:val="18"/>
                <w:szCs w:val="18"/>
              </w:rPr>
              <w:t>加入收藏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4276"/>
                <w:spacing w:val="0"/>
                <w:sz w:val="19"/>
                <w:szCs w:val="19"/>
                <w:u w:val="none"/>
              </w:rPr>
              <w:drawing>
                <wp:inline distT="0" distB="0" distL="114300" distR="114300">
                  <wp:extent cx="209550" cy="209550"/>
                  <wp:effectExtent l="0" t="0" r="0" b="0"/>
                  <wp:docPr id="1" name="图片 1" descr="IMG_256">
                    <a:hlinkClick xmlns:a="http://schemas.openxmlformats.org/drawingml/2006/main" r:id="rId6" tooltip="打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09550" cy="20955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76" w:hanging="360"/>
              <w:jc w:val="left"/>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76" w:hanging="360"/>
              <w:jc w:val="left"/>
            </w:pPr>
            <w:r>
              <w:rPr>
                <w:rFonts w:hint="eastAsia" w:ascii="微软雅黑" w:hAnsi="微软雅黑" w:eastAsia="微软雅黑" w:cs="微软雅黑"/>
                <w:i w:val="0"/>
                <w:iCs w:val="0"/>
                <w:caps w:val="0"/>
                <w:color w:val="004276"/>
                <w:spacing w:val="0"/>
                <w:sz w:val="19"/>
                <w:szCs w:val="19"/>
                <w:u w:val="none"/>
                <w:shd w:val="clear" w:fill="FF0000"/>
              </w:rPr>
              <w:fldChar w:fldCharType="begin"/>
            </w:r>
            <w:r>
              <w:rPr>
                <w:rFonts w:hint="eastAsia" w:ascii="微软雅黑" w:hAnsi="微软雅黑" w:eastAsia="微软雅黑" w:cs="微软雅黑"/>
                <w:i w:val="0"/>
                <w:iCs w:val="0"/>
                <w:caps w:val="0"/>
                <w:color w:val="004276"/>
                <w:spacing w:val="0"/>
                <w:sz w:val="19"/>
                <w:szCs w:val="19"/>
                <w:u w:val="none"/>
                <w:shd w:val="clear" w:fill="FF0000"/>
              </w:rPr>
              <w:instrText xml:space="preserve"> HYPERLINK "javascript:void(0);" \t "https://law.esnai.com/view/142216/_self" </w:instrText>
            </w:r>
            <w:r>
              <w:rPr>
                <w:rFonts w:hint="eastAsia" w:ascii="微软雅黑" w:hAnsi="微软雅黑" w:eastAsia="微软雅黑" w:cs="微软雅黑"/>
                <w:i w:val="0"/>
                <w:iCs w:val="0"/>
                <w:caps w:val="0"/>
                <w:color w:val="004276"/>
                <w:spacing w:val="0"/>
                <w:sz w:val="19"/>
                <w:szCs w:val="19"/>
                <w:u w:val="none"/>
                <w:shd w:val="clear" w:fill="FF0000"/>
              </w:rPr>
              <w:fldChar w:fldCharType="separate"/>
            </w:r>
            <w:r>
              <w:rPr>
                <w:rFonts w:hint="eastAsia" w:ascii="微软雅黑" w:hAnsi="微软雅黑" w:eastAsia="微软雅黑" w:cs="微软雅黑"/>
                <w:i w:val="0"/>
                <w:iCs w:val="0"/>
                <w:caps w:val="0"/>
                <w:color w:val="004276"/>
                <w:spacing w:val="0"/>
                <w:sz w:val="19"/>
                <w:szCs w:val="19"/>
                <w:u w:val="none"/>
                <w:shd w:val="clear" w:fill="FF0000"/>
              </w:rPr>
              <w:fldChar w:fldCharType="end"/>
            </w:r>
          </w:p>
        </w:tc>
      </w:tr>
    </w:tbl>
    <w:p>
      <w:pPr>
        <w:rPr>
          <w:vanish/>
          <w:sz w:val="24"/>
          <w:szCs w:val="24"/>
        </w:rPr>
      </w:pPr>
    </w:p>
    <w:tbl>
      <w:tblPr>
        <w:tblStyle w:val="3"/>
        <w:tblW w:w="45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ign w:val="top"/>
          </w:tcPr>
          <w:p>
            <w:pPr>
              <w:keepNext w:val="0"/>
              <w:keepLines w:val="0"/>
              <w:widowControl/>
              <w:suppressLineNumbers w:val="0"/>
              <w:ind w:left="0" w:firstLine="0"/>
              <w:jc w:val="left"/>
              <w:rPr>
                <w:rFonts w:hint="eastAsia" w:ascii="微软雅黑" w:hAnsi="微软雅黑" w:eastAsia="微软雅黑" w:cs="微软雅黑"/>
                <w:i w:val="0"/>
                <w:iCs w:val="0"/>
                <w:caps w:val="0"/>
                <w:color w:val="656565"/>
                <w:spacing w:val="0"/>
                <w:sz w:val="19"/>
                <w:szCs w:val="19"/>
              </w:rPr>
            </w:pPr>
            <w:r>
              <w:rPr>
                <w:rFonts w:hint="eastAsia" w:ascii="微软雅黑" w:hAnsi="微软雅黑" w:eastAsia="微软雅黑" w:cs="微软雅黑"/>
                <w:i w:val="0"/>
                <w:iCs w:val="0"/>
                <w:caps w:val="0"/>
                <w:color w:val="656565"/>
                <w:spacing w:val="0"/>
                <w:kern w:val="0"/>
                <w:sz w:val="19"/>
                <w:szCs w:val="19"/>
                <w:lang w:val="en-US" w:eastAsia="zh-CN" w:bidi="ar"/>
              </w:rPr>
              <w:t>发文内容：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tcMar>
              <w:top w:w="150" w:type="dxa"/>
              <w:left w:w="300" w:type="dxa"/>
              <w:bottom w:w="150" w:type="dxa"/>
              <w:right w:w="300" w:type="dxa"/>
            </w:tcMar>
            <w:vAlign w:val="center"/>
          </w:tcPr>
          <w:p>
            <w:pPr>
              <w:pStyle w:val="2"/>
              <w:widowControl/>
              <w:spacing w:before="226" w:beforeAutospacing="0" w:after="300" w:afterAutospacing="0"/>
              <w:ind w:left="226"/>
              <w:jc w:val="both"/>
            </w:pPr>
            <w:r>
              <w:rPr>
                <w:shd w:val="clear" w:color="auto" w:fill="FFFFFF"/>
              </w:rPr>
              <w:t> 各市、州、直管市及神农架林区物价局、财政局和水利（水务、水电）局： </w:t>
            </w:r>
          </w:p>
          <w:p>
            <w:pPr>
              <w:pStyle w:val="2"/>
              <w:widowControl/>
              <w:spacing w:before="226" w:beforeAutospacing="0" w:after="300" w:afterAutospacing="0"/>
              <w:ind w:left="226"/>
              <w:jc w:val="both"/>
            </w:pPr>
            <w:r>
              <w:rPr>
                <w:shd w:val="clear" w:color="auto" w:fill="FFFFFF"/>
              </w:rPr>
              <w:t>　　    为加强水资源的保护和管理，充分发挥价格杠杆的调节作用，推进实行最严格的水资源管理制度，根据《取水许可和水资源费征收管理条例》（国务院令第460号）、《中共中央国务院关于加快水利改革发展的决定》（中发〔2011〕1号）、《国家发展改革委财政部水利部关于水资源费征收标准有关问题的通知》（发改价格〔2013〕29号）及《中共湖北省委湖北省人民政府关于加快水利改革发展的决定》（鄂发〔2011〕1号）和《湖北省水资源费征收管理办法》（省政府令第285号）等规定，经省人民政府同意，现将调整我省水力发电和工业生产水资源费征收标准及有关问题通知如下： </w:t>
            </w:r>
          </w:p>
          <w:p>
            <w:pPr>
              <w:pStyle w:val="2"/>
              <w:widowControl/>
              <w:spacing w:before="226" w:beforeAutospacing="0" w:after="300" w:afterAutospacing="0"/>
              <w:ind w:left="226"/>
              <w:jc w:val="both"/>
            </w:pPr>
            <w:r>
              <w:rPr>
                <w:shd w:val="clear" w:color="auto" w:fill="FFFFFF"/>
              </w:rPr>
              <w:t>　　    一、 水力发电地表水水资源费标准为0.005元/千瓦时。 </w:t>
            </w:r>
          </w:p>
          <w:p>
            <w:pPr>
              <w:pStyle w:val="2"/>
              <w:widowControl/>
              <w:spacing w:before="226" w:beforeAutospacing="0" w:after="300" w:afterAutospacing="0"/>
              <w:ind w:left="226"/>
              <w:jc w:val="both"/>
            </w:pPr>
            <w:r>
              <w:rPr>
                <w:shd w:val="clear" w:color="auto" w:fill="FFFFFF"/>
              </w:rPr>
              <w:t>　　二、工业生产取用地表水水资源费标准为0.15元/立方米。 </w:t>
            </w:r>
          </w:p>
          <w:p>
            <w:pPr>
              <w:pStyle w:val="2"/>
              <w:widowControl/>
              <w:spacing w:before="226" w:beforeAutospacing="0" w:after="300" w:afterAutospacing="0"/>
              <w:ind w:left="226"/>
              <w:jc w:val="both"/>
            </w:pPr>
            <w:r>
              <w:rPr>
                <w:shd w:val="clear" w:color="auto" w:fill="FFFFFF"/>
              </w:rPr>
              <w:t>　　三、除上述两类以外的水资源费征收标准和我省水资源费的征收范围、征收对象、征收权限、计征方法、收费管理及有关事项的规定仍按《湖北省物价局湖北省财政厅湖北省水利厅关于水资源费征收标准及有关问题的通知》（鄂价费〔2009〕168号）和《湖北省财政厅湖北省物价局湖北省水利厅中国人民银行武汉分行关于印发〈湖北省水资源费征收使用管理实施办法〉的通知》（鄂财综规〔2009〕7号）文件精神执行。 </w:t>
            </w:r>
          </w:p>
          <w:p>
            <w:pPr>
              <w:pStyle w:val="2"/>
              <w:widowControl/>
              <w:spacing w:before="226" w:beforeAutospacing="0" w:after="300" w:afterAutospacing="0"/>
              <w:ind w:left="226"/>
              <w:jc w:val="both"/>
            </w:pPr>
            <w:r>
              <w:rPr>
                <w:shd w:val="clear" w:color="auto" w:fill="FFFFFF"/>
              </w:rPr>
              <w:t>　　四、本通知规定自2013年12月1日起执行。各地要切实做好水资源费征收标准调整及衔接工作，保证此项价格政策得到平稳、有序执行。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left"/>
            </w:pP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湖北省物价局</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湖北省财政厅</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湖北省水利厅</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2013年11月4日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858CD"/>
    <w:multiLevelType w:val="multilevel"/>
    <w:tmpl w:val="D88858C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81C81"/>
    <w:rsid w:val="1BF56F8E"/>
    <w:rsid w:val="40CA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仿宋_GB2312" w:asciiTheme="minorAscii" w:hAnsiTheme="minorAsci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hyperlink" Target="https://law.esnai.com/print/142216/"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2020-10-29T03:33:00Z</dcterms:created>
  <dc:creator>Administrator</dc:creator>
  <cp:lastModifiedBy>黑色幽默</cp:lastModifiedBy>
  <dcterms:modified xsi:type="dcterms:W3CDTF">2022-03-14T01:21:25Z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C4D08A2FD52944AEA1451580144934FD</vt:lpwstr>
  </property>
</Properties>
</file>