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简体" w:hAnsi="华文中宋" w:eastAsia="方正小标宋简体"/>
          <w:sz w:val="44"/>
          <w:szCs w:val="44"/>
        </w:rPr>
      </w:pPr>
    </w:p>
    <w:p>
      <w:pPr>
        <w:jc w:val="center"/>
        <w:rPr>
          <w:rFonts w:ascii="方正小标宋简体" w:hAnsi="华文中宋" w:eastAsia="方正小标宋简体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44"/>
          <w:szCs w:val="44"/>
        </w:rPr>
        <w:t>年武汉市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车</w:t>
      </w:r>
      <w:r>
        <w:rPr>
          <w:rFonts w:hint="eastAsia" w:ascii="宋体" w:hAnsi="宋体" w:cs="宋体"/>
          <w:b/>
          <w:bCs/>
          <w:sz w:val="44"/>
          <w:szCs w:val="44"/>
        </w:rPr>
        <w:t>规级芯片认证补贴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项目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申报书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55" w:leftChars="550"/>
        <w:jc w:val="both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申报单位（公章）：</w:t>
      </w:r>
      <w:r>
        <w:rPr>
          <w:rFonts w:hint="eastAsia" w:ascii="宋体" w:hAnsi="宋体"/>
          <w:b/>
          <w:sz w:val="32"/>
          <w:szCs w:val="32"/>
          <w:u w:val="thick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55" w:leftChars="550"/>
        <w:jc w:val="both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联 系 人：</w:t>
      </w:r>
      <w:r>
        <w:rPr>
          <w:rFonts w:hint="eastAsia" w:ascii="宋体" w:hAnsi="宋体"/>
          <w:b/>
          <w:sz w:val="32"/>
          <w:szCs w:val="32"/>
          <w:u w:val="thick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55" w:leftChars="550"/>
        <w:jc w:val="both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联系电话：</w:t>
      </w:r>
      <w:r>
        <w:rPr>
          <w:rFonts w:hint="eastAsia" w:ascii="宋体" w:hAnsi="宋体"/>
          <w:b/>
          <w:sz w:val="32"/>
          <w:szCs w:val="32"/>
          <w:u w:val="thick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55" w:leftChars="550"/>
        <w:jc w:val="both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申报日期：</w:t>
      </w:r>
      <w:r>
        <w:rPr>
          <w:rFonts w:hint="eastAsia" w:ascii="宋体" w:hAnsi="宋体"/>
          <w:b/>
          <w:sz w:val="32"/>
          <w:szCs w:val="32"/>
          <w:u w:val="thick"/>
          <w:lang w:val="en-US" w:eastAsia="zh-CN"/>
        </w:rPr>
        <w:t xml:space="preserve">                       </w:t>
      </w:r>
    </w:p>
    <w:p/>
    <w:p>
      <w:pPr>
        <w:bidi w:val="0"/>
        <w:jc w:val="left"/>
        <w:rPr>
          <w:rFonts w:hint="eastAsia" w:ascii="宋体" w:hAnsi="宋体"/>
          <w:b/>
          <w:sz w:val="32"/>
          <w:szCs w:val="32"/>
        </w:rPr>
      </w:pPr>
    </w:p>
    <w:p>
      <w:pPr>
        <w:bidi w:val="0"/>
        <w:jc w:val="left"/>
        <w:rPr>
          <w:rFonts w:hint="eastAsia" w:ascii="宋体" w:hAnsi="宋体"/>
          <w:b/>
          <w:sz w:val="32"/>
          <w:szCs w:val="32"/>
        </w:rPr>
      </w:pPr>
    </w:p>
    <w:p>
      <w:pPr>
        <w:bidi w:val="0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武汉</w:t>
      </w:r>
      <w:r>
        <w:rPr>
          <w:rFonts w:hint="eastAsia" w:ascii="宋体" w:hAnsi="宋体"/>
          <w:b/>
          <w:sz w:val="32"/>
          <w:szCs w:val="32"/>
          <w:lang w:eastAsia="zh-CN"/>
        </w:rPr>
        <w:t>市经济和信息化局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10月</w:t>
      </w:r>
      <w:r>
        <w:rPr>
          <w:rFonts w:hint="eastAsia" w:ascii="宋体" w:hAnsi="宋体"/>
          <w:b/>
          <w:sz w:val="32"/>
          <w:szCs w:val="32"/>
        </w:rPr>
        <w:t>）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snapToGrid w:val="0"/>
        <w:spacing w:line="580" w:lineRule="exact"/>
        <w:jc w:val="center"/>
        <w:rPr>
          <w:rFonts w:hint="eastAsia"/>
        </w:rPr>
      </w:pPr>
    </w:p>
    <w:p>
      <w:pPr>
        <w:pStyle w:val="2"/>
        <w:snapToGrid w:val="0"/>
        <w:spacing w:line="580" w:lineRule="exact"/>
        <w:jc w:val="center"/>
      </w:pPr>
      <w:r>
        <w:rPr>
          <w:rFonts w:hint="eastAsia"/>
        </w:rPr>
        <w:t>填报说明</w:t>
      </w:r>
    </w:p>
    <w:p>
      <w:pPr>
        <w:widowControl/>
        <w:snapToGrid w:val="0"/>
        <w:spacing w:line="58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资金支持对象：工商注册地、税务征管关系及统计关系在武汉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宋体" w:eastAsia="仿宋_GB2312"/>
          <w:sz w:val="32"/>
          <w:szCs w:val="32"/>
        </w:rPr>
        <w:t>范围内的相关企业。</w:t>
      </w:r>
    </w:p>
    <w:p>
      <w:pPr>
        <w:ind w:firstLine="640"/>
        <w:jc w:val="left"/>
        <w:rPr>
          <w:rFonts w:ascii="仿宋_GB2312" w:hAnsi="宋体" w:eastAsia="仿宋_GB2312"/>
          <w:sz w:val="32"/>
          <w:szCs w:val="32"/>
          <w:highlight w:val="yellow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申报书及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附件材料</w:t>
      </w:r>
      <w:r>
        <w:rPr>
          <w:rFonts w:hint="eastAsia" w:ascii="仿宋_GB2312" w:hAnsi="宋体" w:eastAsia="仿宋_GB2312"/>
          <w:sz w:val="32"/>
          <w:szCs w:val="32"/>
        </w:rPr>
        <w:t>是武汉市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车</w:t>
      </w:r>
      <w:r>
        <w:rPr>
          <w:rFonts w:hint="eastAsia" w:ascii="仿宋_GB2312" w:hAnsi="宋体" w:eastAsia="仿宋_GB2312"/>
          <w:sz w:val="32"/>
          <w:szCs w:val="32"/>
        </w:rPr>
        <w:t>规级芯片认证补贴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项目</w:t>
      </w:r>
      <w:r>
        <w:rPr>
          <w:rFonts w:hint="eastAsia" w:ascii="仿宋_GB2312" w:hAnsi="宋体" w:eastAsia="仿宋_GB2312"/>
          <w:sz w:val="32"/>
          <w:szCs w:val="32"/>
        </w:rPr>
        <w:t>评审的主要依据，须严格按照规定格式和栏目要求填写，内容真实、准确、全面，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严禁弄虚作假。</w:t>
      </w:r>
    </w:p>
    <w:p>
      <w:pPr>
        <w:widowControl/>
        <w:snapToGrid w:val="0"/>
        <w:spacing w:line="58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申报单位须按照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项目</w:t>
      </w:r>
      <w:r>
        <w:rPr>
          <w:rFonts w:hint="eastAsia" w:ascii="仿宋_GB2312" w:hAnsi="宋体" w:eastAsia="仿宋_GB2312"/>
          <w:sz w:val="32"/>
          <w:szCs w:val="32"/>
        </w:rPr>
        <w:t>申报要求提供相关证明材料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原件或</w:t>
      </w:r>
      <w:r>
        <w:rPr>
          <w:rFonts w:hint="eastAsia" w:ascii="仿宋_GB2312" w:hAnsi="宋体" w:eastAsia="仿宋_GB2312"/>
          <w:sz w:val="32"/>
          <w:szCs w:val="32"/>
        </w:rPr>
        <w:t>复印件，附件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均</w:t>
      </w:r>
      <w:r>
        <w:rPr>
          <w:rFonts w:hint="eastAsia" w:ascii="仿宋_GB2312" w:hAnsi="宋体" w:eastAsia="仿宋_GB2312"/>
          <w:sz w:val="32"/>
          <w:szCs w:val="32"/>
        </w:rPr>
        <w:t>需在关键页加盖公章。</w:t>
      </w:r>
    </w:p>
    <w:p>
      <w:pPr>
        <w:ind w:firstLine="640"/>
        <w:jc w:val="left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4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申报书及附件须编制目录页码，装订成册，申报书封面、骑缝加盖公章。</w:t>
      </w:r>
    </w:p>
    <w:p>
      <w:pPr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br w:type="page"/>
      </w:r>
    </w:p>
    <w:p>
      <w:pPr>
        <w:pStyle w:val="2"/>
        <w:snapToGrid w:val="0"/>
        <w:spacing w:line="580" w:lineRule="exact"/>
        <w:jc w:val="center"/>
        <w:rPr>
          <w:rFonts w:hint="eastAsia"/>
        </w:rPr>
      </w:pPr>
    </w:p>
    <w:p>
      <w:pPr>
        <w:pStyle w:val="2"/>
        <w:snapToGrid w:val="0"/>
        <w:spacing w:line="580" w:lineRule="exact"/>
        <w:jc w:val="center"/>
        <w:rPr>
          <w:rFonts w:hint="eastAsia" w:ascii="方正小标宋简体" w:eastAsia="方正小标宋简体"/>
        </w:rPr>
      </w:pPr>
      <w:r>
        <w:rPr>
          <w:rFonts w:hint="eastAsia"/>
          <w:lang w:eastAsia="zh-CN"/>
        </w:rPr>
        <w:t>申报</w:t>
      </w:r>
      <w:r>
        <w:rPr>
          <w:rFonts w:hint="eastAsia"/>
        </w:rPr>
        <w:t>承诺书</w:t>
      </w:r>
    </w:p>
    <w:p>
      <w:pPr>
        <w:widowControl/>
        <w:snapToGrid w:val="0"/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widowControl/>
        <w:snapToGrid w:val="0"/>
        <w:spacing w:line="58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本单位符合</w:t>
      </w:r>
      <w:r>
        <w:rPr>
          <w:rFonts w:hint="eastAsia" w:ascii="仿宋_GB2312" w:hAnsi="宋体" w:eastAsia="仿宋_GB2312"/>
          <w:sz w:val="32"/>
          <w:szCs w:val="32"/>
        </w:rPr>
        <w:t>国家、省、市联合惩戒政策和制度规定，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近三年</w:t>
      </w:r>
      <w:r>
        <w:rPr>
          <w:rFonts w:hint="eastAsia" w:ascii="仿宋_GB2312" w:hAnsi="宋体" w:eastAsia="仿宋_GB2312"/>
          <w:sz w:val="32"/>
          <w:szCs w:val="32"/>
        </w:rPr>
        <w:t>无不良信用记录，符合国家、省、市能耗、环保、安全生产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产品质量</w:t>
      </w:r>
      <w:r>
        <w:rPr>
          <w:rFonts w:hint="eastAsia" w:ascii="仿宋_GB2312" w:hAnsi="宋体" w:eastAsia="仿宋_GB2312"/>
          <w:sz w:val="32"/>
          <w:szCs w:val="32"/>
        </w:rPr>
        <w:t>等要求。本单位承诺在申报武汉市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车</w:t>
      </w:r>
      <w:r>
        <w:rPr>
          <w:rFonts w:hint="eastAsia" w:ascii="仿宋_GB2312" w:hAnsi="宋体" w:eastAsia="仿宋_GB2312"/>
          <w:sz w:val="32"/>
          <w:szCs w:val="32"/>
        </w:rPr>
        <w:t>规级芯片认证补贴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项目</w:t>
      </w:r>
      <w:r>
        <w:rPr>
          <w:rFonts w:hint="eastAsia" w:ascii="仿宋_GB2312" w:hAnsi="宋体" w:eastAsia="仿宋_GB2312"/>
          <w:sz w:val="32"/>
          <w:szCs w:val="32"/>
        </w:rPr>
        <w:t>过程中诚实守信，提交的申报资料原件、复印件均真实、准确、有效，无任何伪造、修改、虚假成分。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本单位本次所申报项目涉及关联方交易的（如有）均已据实披露，并承诺该交易真实、交易价格公允。本单位本次所申报项目未享受武汉市市级相关补贴或奖励。</w:t>
      </w:r>
      <w:r>
        <w:rPr>
          <w:rFonts w:hint="eastAsia" w:ascii="仿宋_GB2312" w:hAnsi="宋体" w:eastAsia="仿宋_GB2312"/>
          <w:sz w:val="32"/>
          <w:szCs w:val="32"/>
        </w:rPr>
        <w:t>如有弄虚作假、违法、违规行为，自愿放弃申报资格，已获得的资金全额退回，并自愿承担由此造成的一切相关法律责任及后果。</w:t>
      </w:r>
    </w:p>
    <w:p>
      <w:pPr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</w:p>
    <w:p>
      <w:pPr>
        <w:widowControl/>
        <w:snapToGrid w:val="0"/>
        <w:spacing w:line="58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snapToGrid w:val="0"/>
        <w:spacing w:line="58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snapToGrid w:val="0"/>
        <w:spacing w:line="58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</w:p>
    <w:p>
      <w:pPr>
        <w:widowControl/>
        <w:snapToGrid w:val="0"/>
        <w:spacing w:line="580" w:lineRule="exact"/>
        <w:ind w:firstLine="3632" w:firstLineChars="113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负责人</w:t>
      </w:r>
      <w:r>
        <w:rPr>
          <w:rFonts w:hint="eastAsia" w:ascii="仿宋_GB2312" w:hAnsi="宋体" w:eastAsia="仿宋_GB2312"/>
          <w:sz w:val="32"/>
          <w:szCs w:val="32"/>
        </w:rPr>
        <w:t>签字：</w:t>
      </w:r>
    </w:p>
    <w:p>
      <w:pPr>
        <w:widowControl/>
        <w:snapToGrid w:val="0"/>
        <w:spacing w:line="580" w:lineRule="exact"/>
        <w:ind w:firstLine="3952" w:firstLineChars="123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（盖章）</w:t>
      </w:r>
    </w:p>
    <w:p>
      <w:pPr>
        <w:widowControl/>
        <w:snapToGrid w:val="0"/>
        <w:spacing w:line="580" w:lineRule="exact"/>
        <w:ind w:firstLine="640" w:firstLineChars="200"/>
        <w:jc w:val="right"/>
      </w:pPr>
      <w:r>
        <w:rPr>
          <w:rFonts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ascii="仿宋_GB2312" w:hAnsi="宋体" w:eastAsia="仿宋_GB2312"/>
          <w:sz w:val="32"/>
          <w:szCs w:val="32"/>
        </w:rPr>
        <w:t>日</w:t>
      </w:r>
    </w:p>
    <w:p/>
    <w:p/>
    <w:p>
      <w:pPr>
        <w:widowControl/>
        <w:spacing w:line="400" w:lineRule="exact"/>
        <w:jc w:val="center"/>
        <w:rPr>
          <w:rFonts w:hint="eastAsia" w:ascii="黑体" w:hAnsi="黑体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  <w:t>申报企业基本情况表</w:t>
      </w:r>
    </w:p>
    <w:p>
      <w:pPr>
        <w:widowControl/>
        <w:spacing w:line="400" w:lineRule="exact"/>
        <w:jc w:val="left"/>
        <w:rPr>
          <w:rFonts w:hint="eastAsia" w:ascii="黑体" w:hAnsi="黑体" w:eastAsia="黑体"/>
          <w:sz w:val="32"/>
          <w:szCs w:val="32"/>
        </w:rPr>
      </w:pPr>
    </w:p>
    <w:tbl>
      <w:tblPr>
        <w:tblStyle w:val="6"/>
        <w:tblW w:w="93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185"/>
        <w:gridCol w:w="1250"/>
        <w:gridCol w:w="1434"/>
        <w:gridCol w:w="105"/>
        <w:gridCol w:w="1417"/>
        <w:gridCol w:w="889"/>
        <w:gridCol w:w="14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企业名称</w:t>
            </w:r>
          </w:p>
        </w:tc>
        <w:tc>
          <w:tcPr>
            <w:tcW w:w="3974" w:type="dxa"/>
            <w:gridSpan w:val="4"/>
            <w:shd w:val="clear" w:color="auto" w:fill="auto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pStyle w:val="8"/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2"/>
                <w:sz w:val="24"/>
                <w:szCs w:val="24"/>
                <w:highlight w:val="none"/>
                <w:shd w:val="clear"/>
              </w:rPr>
              <w:t>所属</w:t>
            </w:r>
            <w:r>
              <w:rPr>
                <w:rFonts w:hint="eastAsia" w:ascii="仿宋_GB2312" w:hAnsi="仿宋" w:eastAsia="仿宋_GB2312"/>
                <w:kern w:val="2"/>
                <w:sz w:val="24"/>
                <w:szCs w:val="24"/>
                <w:highlight w:val="none"/>
                <w:shd w:val="clear"/>
                <w:lang w:val="en-US" w:eastAsia="zh-CN"/>
              </w:rPr>
              <w:t>行政</w:t>
            </w:r>
            <w:r>
              <w:rPr>
                <w:rFonts w:hint="eastAsia" w:ascii="仿宋_GB2312" w:hAnsi="仿宋" w:eastAsia="仿宋_GB2312"/>
                <w:kern w:val="2"/>
                <w:sz w:val="24"/>
                <w:szCs w:val="24"/>
                <w:highlight w:val="none"/>
                <w:shd w:val="clear"/>
              </w:rPr>
              <w:t>区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地址</w:t>
            </w:r>
          </w:p>
        </w:tc>
        <w:tc>
          <w:tcPr>
            <w:tcW w:w="397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注册日期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法定代表人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278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企业联系人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278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手机号码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企业简介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/>
              </w:rPr>
            </w:pPr>
          </w:p>
          <w:p>
            <w:pPr>
              <w:pStyle w:val="3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/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/>
              </w:rPr>
            </w:pPr>
          </w:p>
          <w:p>
            <w:pPr>
              <w:pStyle w:val="3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/>
              </w:rPr>
            </w:pP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企业性质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□国有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外商独资    □中外合资    □民营 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val="en-US" w:eastAsia="zh-CN"/>
              </w:rPr>
              <w:t>企业主营业务方向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控制类芯片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功率类芯片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存储类芯片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通信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类芯片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传感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类芯片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4"/>
                <w:szCs w:val="24"/>
                <w:u w:val="none"/>
                <w:lang w:eastAsia="zh-CN"/>
              </w:rPr>
              <w:t>其他</w:t>
            </w:r>
            <w:r>
              <w:rPr>
                <w:rFonts w:hint="eastAsia" w:ascii="仿宋_GB2312" w:hAnsi="仿宋" w:eastAsia="仿宋_GB2312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人员构成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员工总人数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研发人员总数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获知识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产权情况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发明专利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数量（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软件著作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权数量（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6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年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指标</w:t>
            </w:r>
          </w:p>
        </w:tc>
        <w:tc>
          <w:tcPr>
            <w:tcW w:w="243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营业收入总额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eastAsia="zh-CN"/>
              </w:rPr>
              <w:t>研发投入总额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eastAsia="zh-CN"/>
              </w:rPr>
              <w:t>研发投入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占营业收入总额比例（%）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仿宋_GB2312" w:hAnsi="仿宋" w:eastAsia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营业收入较2022年增速（%）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6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年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指标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1-9月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eastAsia="zh-CN"/>
              </w:rPr>
              <w:t>研发投入总额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1-12月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eastAsia="zh-CN"/>
              </w:rPr>
              <w:t>研发投入总额预计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1-9月营业收入总额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仿宋_GB2312" w:hAnsi="仿宋" w:eastAsia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1-12月营业收入总额预计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76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AEC-Q100标准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认证情况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集成电路设计业务开展情况（单选）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以自用为目的自主开展集成电路设计业务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集成电路设计为企业主营业务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申报年度内首款完成AEC-Q100</w:t>
            </w:r>
          </w:p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标准认证的车规级芯片认证时间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所认证车规级芯片型号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76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认证费用（万元）</w:t>
            </w:r>
          </w:p>
        </w:tc>
        <w:tc>
          <w:tcPr>
            <w:tcW w:w="3869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1474" w:right="1474" w:bottom="147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4895F0D"/>
    <w:rsid w:val="0B6E3805"/>
    <w:rsid w:val="0BCA4BB2"/>
    <w:rsid w:val="0D2F5B90"/>
    <w:rsid w:val="0F8C9ED8"/>
    <w:rsid w:val="10FFBBC0"/>
    <w:rsid w:val="13C57E36"/>
    <w:rsid w:val="13FFDBBA"/>
    <w:rsid w:val="1B6FE72E"/>
    <w:rsid w:val="1BFF5F37"/>
    <w:rsid w:val="1CDF0FA4"/>
    <w:rsid w:val="1D7151B0"/>
    <w:rsid w:val="1ECFAE28"/>
    <w:rsid w:val="1FEF0A74"/>
    <w:rsid w:val="27FEA7F2"/>
    <w:rsid w:val="29DA8A38"/>
    <w:rsid w:val="2AF289A6"/>
    <w:rsid w:val="2B0FFB77"/>
    <w:rsid w:val="2B53F5AB"/>
    <w:rsid w:val="2CD720A4"/>
    <w:rsid w:val="2D3EB35A"/>
    <w:rsid w:val="2DBD7669"/>
    <w:rsid w:val="2DBF886B"/>
    <w:rsid w:val="2DC7DEF0"/>
    <w:rsid w:val="2FB99FB5"/>
    <w:rsid w:val="329FD124"/>
    <w:rsid w:val="35E71A2C"/>
    <w:rsid w:val="365B6244"/>
    <w:rsid w:val="375608E3"/>
    <w:rsid w:val="37BD2ACE"/>
    <w:rsid w:val="37DF44C4"/>
    <w:rsid w:val="39071EFA"/>
    <w:rsid w:val="397FBC93"/>
    <w:rsid w:val="39CDA99C"/>
    <w:rsid w:val="39FF7691"/>
    <w:rsid w:val="3ADFE3F7"/>
    <w:rsid w:val="3BADF644"/>
    <w:rsid w:val="3BDF3F95"/>
    <w:rsid w:val="3BE15F39"/>
    <w:rsid w:val="3C1E19A8"/>
    <w:rsid w:val="3D6EE843"/>
    <w:rsid w:val="3DAF27B0"/>
    <w:rsid w:val="3DAF2BBB"/>
    <w:rsid w:val="3DDB314D"/>
    <w:rsid w:val="3DFF119B"/>
    <w:rsid w:val="3E7F8F3C"/>
    <w:rsid w:val="3EA7AA56"/>
    <w:rsid w:val="3F3D3AB5"/>
    <w:rsid w:val="3F7F70B5"/>
    <w:rsid w:val="3FBA4459"/>
    <w:rsid w:val="3FBD0317"/>
    <w:rsid w:val="3FCDE26A"/>
    <w:rsid w:val="3FEFB7FC"/>
    <w:rsid w:val="3FFDD028"/>
    <w:rsid w:val="3FFFE0AE"/>
    <w:rsid w:val="424E602F"/>
    <w:rsid w:val="44867285"/>
    <w:rsid w:val="4952028D"/>
    <w:rsid w:val="49BB158B"/>
    <w:rsid w:val="4AF57558"/>
    <w:rsid w:val="4DDECD0E"/>
    <w:rsid w:val="4E76C2C9"/>
    <w:rsid w:val="4FA7B238"/>
    <w:rsid w:val="4FC3F52C"/>
    <w:rsid w:val="52BFCA0A"/>
    <w:rsid w:val="54FFFCEE"/>
    <w:rsid w:val="55F7C668"/>
    <w:rsid w:val="561F0119"/>
    <w:rsid w:val="56C68023"/>
    <w:rsid w:val="57FAFD56"/>
    <w:rsid w:val="57FBF198"/>
    <w:rsid w:val="5AA707F2"/>
    <w:rsid w:val="5AE37FF3"/>
    <w:rsid w:val="5B5D43B6"/>
    <w:rsid w:val="5BF416DE"/>
    <w:rsid w:val="5BF55946"/>
    <w:rsid w:val="5BFD0D02"/>
    <w:rsid w:val="5BFECC2D"/>
    <w:rsid w:val="5CD68E50"/>
    <w:rsid w:val="5CFFFAD0"/>
    <w:rsid w:val="5DFF5029"/>
    <w:rsid w:val="5EDBB8D0"/>
    <w:rsid w:val="5EFF64FB"/>
    <w:rsid w:val="5F6D7A7C"/>
    <w:rsid w:val="5F6F50CC"/>
    <w:rsid w:val="5F8F6A7F"/>
    <w:rsid w:val="5FAA800A"/>
    <w:rsid w:val="5FAECB18"/>
    <w:rsid w:val="5FBF9742"/>
    <w:rsid w:val="5FEF93A4"/>
    <w:rsid w:val="5FF70615"/>
    <w:rsid w:val="60255702"/>
    <w:rsid w:val="62FA0D3C"/>
    <w:rsid w:val="62FF3F33"/>
    <w:rsid w:val="64FEF2E9"/>
    <w:rsid w:val="65E3BB28"/>
    <w:rsid w:val="65F90D91"/>
    <w:rsid w:val="68FBBBAB"/>
    <w:rsid w:val="69DD0C3E"/>
    <w:rsid w:val="69FA2974"/>
    <w:rsid w:val="6B66BC4A"/>
    <w:rsid w:val="6B7F48B8"/>
    <w:rsid w:val="6BD45F96"/>
    <w:rsid w:val="6DFB72F6"/>
    <w:rsid w:val="6E7F3024"/>
    <w:rsid w:val="6EBFF6C1"/>
    <w:rsid w:val="6EE73B25"/>
    <w:rsid w:val="6EF77059"/>
    <w:rsid w:val="6F0F7163"/>
    <w:rsid w:val="6FDEE91F"/>
    <w:rsid w:val="6FF29290"/>
    <w:rsid w:val="6FF9A66B"/>
    <w:rsid w:val="6FFB9E51"/>
    <w:rsid w:val="6FFF5943"/>
    <w:rsid w:val="6FFF8B5C"/>
    <w:rsid w:val="703F5986"/>
    <w:rsid w:val="709B5BED"/>
    <w:rsid w:val="727F0EF7"/>
    <w:rsid w:val="73FD0342"/>
    <w:rsid w:val="749F0A87"/>
    <w:rsid w:val="74D34C47"/>
    <w:rsid w:val="74FE5101"/>
    <w:rsid w:val="75669D39"/>
    <w:rsid w:val="759F6ECA"/>
    <w:rsid w:val="75DFFA43"/>
    <w:rsid w:val="75EF2CE5"/>
    <w:rsid w:val="75F3B2BC"/>
    <w:rsid w:val="75FB4B86"/>
    <w:rsid w:val="767685E6"/>
    <w:rsid w:val="767C3615"/>
    <w:rsid w:val="76BF8C09"/>
    <w:rsid w:val="76C77663"/>
    <w:rsid w:val="77270145"/>
    <w:rsid w:val="777FCA2C"/>
    <w:rsid w:val="77B627A3"/>
    <w:rsid w:val="77B77B06"/>
    <w:rsid w:val="77B9CE91"/>
    <w:rsid w:val="77D1488C"/>
    <w:rsid w:val="77F506CE"/>
    <w:rsid w:val="77FD11AD"/>
    <w:rsid w:val="77FF61F0"/>
    <w:rsid w:val="786F80BE"/>
    <w:rsid w:val="793F4B19"/>
    <w:rsid w:val="7AADCEF1"/>
    <w:rsid w:val="7ABE7AE4"/>
    <w:rsid w:val="7B55C039"/>
    <w:rsid w:val="7B9C027E"/>
    <w:rsid w:val="7BBDC4C7"/>
    <w:rsid w:val="7BBF0FD1"/>
    <w:rsid w:val="7BF760CB"/>
    <w:rsid w:val="7BFA49FC"/>
    <w:rsid w:val="7BFFE84B"/>
    <w:rsid w:val="7C5F9CD6"/>
    <w:rsid w:val="7CDD0F71"/>
    <w:rsid w:val="7D3A0837"/>
    <w:rsid w:val="7DBED34B"/>
    <w:rsid w:val="7DDFE05C"/>
    <w:rsid w:val="7DF8D271"/>
    <w:rsid w:val="7DFDBFC3"/>
    <w:rsid w:val="7DFEA5CB"/>
    <w:rsid w:val="7DFF4180"/>
    <w:rsid w:val="7DFF8D67"/>
    <w:rsid w:val="7DFFB57C"/>
    <w:rsid w:val="7E572406"/>
    <w:rsid w:val="7E7C19C1"/>
    <w:rsid w:val="7E7DF6CC"/>
    <w:rsid w:val="7EF7BE54"/>
    <w:rsid w:val="7EF949F3"/>
    <w:rsid w:val="7EFCABB6"/>
    <w:rsid w:val="7F2B2F8D"/>
    <w:rsid w:val="7F378FD7"/>
    <w:rsid w:val="7F758B0F"/>
    <w:rsid w:val="7F7B5169"/>
    <w:rsid w:val="7F7CF3A2"/>
    <w:rsid w:val="7F7E4B70"/>
    <w:rsid w:val="7F8BF39E"/>
    <w:rsid w:val="7F9E0999"/>
    <w:rsid w:val="7FADC630"/>
    <w:rsid w:val="7FB736A3"/>
    <w:rsid w:val="7FBF13B4"/>
    <w:rsid w:val="7FCCB07C"/>
    <w:rsid w:val="7FD4DF67"/>
    <w:rsid w:val="7FD78681"/>
    <w:rsid w:val="7FDDD9D2"/>
    <w:rsid w:val="7FDF065D"/>
    <w:rsid w:val="7FDF98BC"/>
    <w:rsid w:val="7FF74467"/>
    <w:rsid w:val="7FF7ED41"/>
    <w:rsid w:val="7FFB504D"/>
    <w:rsid w:val="7FFE9075"/>
    <w:rsid w:val="7FFEA491"/>
    <w:rsid w:val="7FFF296B"/>
    <w:rsid w:val="7FFFDDCF"/>
    <w:rsid w:val="833DA277"/>
    <w:rsid w:val="8BB58812"/>
    <w:rsid w:val="8BC702C4"/>
    <w:rsid w:val="8F59ADA7"/>
    <w:rsid w:val="8FBF5A07"/>
    <w:rsid w:val="8FCA6FE3"/>
    <w:rsid w:val="92EDEB43"/>
    <w:rsid w:val="98C73BB8"/>
    <w:rsid w:val="99FFE596"/>
    <w:rsid w:val="9BEF151F"/>
    <w:rsid w:val="9EBF24FC"/>
    <w:rsid w:val="9EEB02E6"/>
    <w:rsid w:val="9FDFDA0B"/>
    <w:rsid w:val="A7EF86D2"/>
    <w:rsid w:val="ACB40195"/>
    <w:rsid w:val="AEFDB3FA"/>
    <w:rsid w:val="AF778DAA"/>
    <w:rsid w:val="AF7FA29C"/>
    <w:rsid w:val="AFA7A1D8"/>
    <w:rsid w:val="AFAFC677"/>
    <w:rsid w:val="AFD301BF"/>
    <w:rsid w:val="AFF71EF9"/>
    <w:rsid w:val="B1FE0797"/>
    <w:rsid w:val="B2BC5250"/>
    <w:rsid w:val="B3DD34E0"/>
    <w:rsid w:val="B3F6F7D7"/>
    <w:rsid w:val="B3FDB6BC"/>
    <w:rsid w:val="B54FD8A0"/>
    <w:rsid w:val="B6BE8F6A"/>
    <w:rsid w:val="B6EFF73D"/>
    <w:rsid w:val="B74C0221"/>
    <w:rsid w:val="B77DE4F6"/>
    <w:rsid w:val="B77E1554"/>
    <w:rsid w:val="BBB0B2EE"/>
    <w:rsid w:val="BBB73C67"/>
    <w:rsid w:val="BBEFD538"/>
    <w:rsid w:val="BC383419"/>
    <w:rsid w:val="BD5B9DDB"/>
    <w:rsid w:val="BDBF90A2"/>
    <w:rsid w:val="BDF6103F"/>
    <w:rsid w:val="BDFFB136"/>
    <w:rsid w:val="BE6BDFF0"/>
    <w:rsid w:val="BEF577BA"/>
    <w:rsid w:val="BEFE7893"/>
    <w:rsid w:val="BFBEABDB"/>
    <w:rsid w:val="BFDBC5D9"/>
    <w:rsid w:val="BFEF25EE"/>
    <w:rsid w:val="BFFF3341"/>
    <w:rsid w:val="C697FB5A"/>
    <w:rsid w:val="C7FD3027"/>
    <w:rsid w:val="CCBB0B09"/>
    <w:rsid w:val="CD57094A"/>
    <w:rsid w:val="CDB7837B"/>
    <w:rsid w:val="CDEE3264"/>
    <w:rsid w:val="CFDF768F"/>
    <w:rsid w:val="CFDF8336"/>
    <w:rsid w:val="CFE30A9E"/>
    <w:rsid w:val="CFE720CA"/>
    <w:rsid w:val="CFF6E826"/>
    <w:rsid w:val="CFFE7115"/>
    <w:rsid w:val="D1AFD9E5"/>
    <w:rsid w:val="D3B52079"/>
    <w:rsid w:val="D5FFA049"/>
    <w:rsid w:val="D671AA2A"/>
    <w:rsid w:val="D6DE3642"/>
    <w:rsid w:val="D75B6B22"/>
    <w:rsid w:val="DAEF3FC7"/>
    <w:rsid w:val="DB79A9E9"/>
    <w:rsid w:val="DBEDBE3B"/>
    <w:rsid w:val="DBFDECC5"/>
    <w:rsid w:val="DBFF1FC9"/>
    <w:rsid w:val="DD5B970D"/>
    <w:rsid w:val="DD6F0160"/>
    <w:rsid w:val="DDE763E6"/>
    <w:rsid w:val="DE7FD4FE"/>
    <w:rsid w:val="DEDF6812"/>
    <w:rsid w:val="DF773871"/>
    <w:rsid w:val="DF7A95CC"/>
    <w:rsid w:val="DFCEA574"/>
    <w:rsid w:val="DFEE2FE7"/>
    <w:rsid w:val="DFFF06B4"/>
    <w:rsid w:val="E755392A"/>
    <w:rsid w:val="E7E89DDB"/>
    <w:rsid w:val="E7FFCD3E"/>
    <w:rsid w:val="E9FE275C"/>
    <w:rsid w:val="EAE2221C"/>
    <w:rsid w:val="EBDC8567"/>
    <w:rsid w:val="EBEE65E1"/>
    <w:rsid w:val="EBFC8143"/>
    <w:rsid w:val="ED5F49A9"/>
    <w:rsid w:val="ED73EE69"/>
    <w:rsid w:val="EDBF44C9"/>
    <w:rsid w:val="EDFD5A30"/>
    <w:rsid w:val="EDFDD7AA"/>
    <w:rsid w:val="EE5F1C1B"/>
    <w:rsid w:val="EE965EFE"/>
    <w:rsid w:val="EEBC71A5"/>
    <w:rsid w:val="EF6DC6F0"/>
    <w:rsid w:val="EF94C217"/>
    <w:rsid w:val="EFB779AC"/>
    <w:rsid w:val="EFBDAABE"/>
    <w:rsid w:val="EFCF76A9"/>
    <w:rsid w:val="EFE1F2B2"/>
    <w:rsid w:val="EFFBC6B1"/>
    <w:rsid w:val="EFFDAA84"/>
    <w:rsid w:val="EFFF401C"/>
    <w:rsid w:val="EFFF52A4"/>
    <w:rsid w:val="EFFF90D5"/>
    <w:rsid w:val="F177617B"/>
    <w:rsid w:val="F472ECF4"/>
    <w:rsid w:val="F57B9F37"/>
    <w:rsid w:val="F69E4073"/>
    <w:rsid w:val="F6B515C9"/>
    <w:rsid w:val="F71E289B"/>
    <w:rsid w:val="F76D3F5A"/>
    <w:rsid w:val="F77EB83C"/>
    <w:rsid w:val="F7ABF2E4"/>
    <w:rsid w:val="F7AFE76A"/>
    <w:rsid w:val="F7BB6F9B"/>
    <w:rsid w:val="F7CFA4AD"/>
    <w:rsid w:val="F7E75425"/>
    <w:rsid w:val="F7F25A6C"/>
    <w:rsid w:val="F7F37200"/>
    <w:rsid w:val="F7FB964F"/>
    <w:rsid w:val="F7FD19CE"/>
    <w:rsid w:val="F7FF9DEC"/>
    <w:rsid w:val="FAED390F"/>
    <w:rsid w:val="FAFFE905"/>
    <w:rsid w:val="FB3E1386"/>
    <w:rsid w:val="FBABC7C0"/>
    <w:rsid w:val="FBFA770D"/>
    <w:rsid w:val="FCDFC5A7"/>
    <w:rsid w:val="FCEB34CA"/>
    <w:rsid w:val="FD36D4EE"/>
    <w:rsid w:val="FD6F30C5"/>
    <w:rsid w:val="FDBB9BCD"/>
    <w:rsid w:val="FDBDEF6A"/>
    <w:rsid w:val="FDDF38C6"/>
    <w:rsid w:val="FDDFF941"/>
    <w:rsid w:val="FDF746A1"/>
    <w:rsid w:val="FDFB4005"/>
    <w:rsid w:val="FDFDF0AA"/>
    <w:rsid w:val="FDFFC7EA"/>
    <w:rsid w:val="FE971AA5"/>
    <w:rsid w:val="FEBF86A5"/>
    <w:rsid w:val="FEBF9554"/>
    <w:rsid w:val="FED3420A"/>
    <w:rsid w:val="FEDF444A"/>
    <w:rsid w:val="FEE5256C"/>
    <w:rsid w:val="FEF44770"/>
    <w:rsid w:val="FEF7D144"/>
    <w:rsid w:val="FEFF69F6"/>
    <w:rsid w:val="FF0B237F"/>
    <w:rsid w:val="FF4A8BE8"/>
    <w:rsid w:val="FF5B112A"/>
    <w:rsid w:val="FF5FBB04"/>
    <w:rsid w:val="FF6754A5"/>
    <w:rsid w:val="FF6EE7DD"/>
    <w:rsid w:val="FF7A76EB"/>
    <w:rsid w:val="FF9F4C37"/>
    <w:rsid w:val="FFBF9150"/>
    <w:rsid w:val="FFBFE5A7"/>
    <w:rsid w:val="FFBFE76A"/>
    <w:rsid w:val="FFC3F560"/>
    <w:rsid w:val="FFCD8CC4"/>
    <w:rsid w:val="FFE8DF41"/>
    <w:rsid w:val="FFEDCF5D"/>
    <w:rsid w:val="FFF32B4F"/>
    <w:rsid w:val="FFF7898A"/>
    <w:rsid w:val="FFFA60D0"/>
    <w:rsid w:val="FFFA6C27"/>
    <w:rsid w:val="FFFBDBD3"/>
    <w:rsid w:val="FFFBF9B8"/>
    <w:rsid w:val="FFFCE631"/>
    <w:rsid w:val="FFFD192E"/>
    <w:rsid w:val="FFFD8A9B"/>
    <w:rsid w:val="FFFDDDA0"/>
    <w:rsid w:val="FFFE5EB1"/>
    <w:rsid w:val="FFFF1B3E"/>
    <w:rsid w:val="FFFF6C2C"/>
    <w:rsid w:val="FFFF9AC0"/>
    <w:rsid w:val="FFFFE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eastAsia="方正仿宋_GBK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WW-题注"/>
    <w:basedOn w:val="1"/>
    <w:next w:val="1"/>
    <w:qFormat/>
    <w:uiPriority w:val="0"/>
    <w:pPr>
      <w:suppressAutoHyphens/>
      <w:spacing w:before="152" w:after="160"/>
      <w:textAlignment w:val="baseline"/>
    </w:pPr>
    <w:rPr>
      <w:rFonts w:ascii="Arial" w:hAnsi="Arial" w:eastAsia="黑体" w:cs="Times New Roman"/>
      <w:kern w:val="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891</Words>
  <Characters>933</Characters>
  <Lines>1</Lines>
  <Paragraphs>1</Paragraphs>
  <TotalTime>8</TotalTime>
  <ScaleCrop>false</ScaleCrop>
  <LinksUpToDate>false</LinksUpToDate>
  <CharactersWithSpaces>1066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2021-04-14T06:28:00Z</dcterms:created>
  <dc:creator>海边柠檬在唱歌</dc:creator>
  <cp:lastModifiedBy>uos</cp:lastModifiedBy>
  <cp:lastPrinted>2024-10-29T17:40:00Z</cp:lastPrinted>
  <dcterms:modified xsi:type="dcterms:W3CDTF">2024-10-30T15:26:33Z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1DB5F83552A94528B752241793FDBF20</vt:lpwstr>
  </property>
</Properties>
</file>