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13993"/>
      <w:bookmarkStart w:id="1" w:name="_Toc7668331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  <w:bookmarkStart w:id="3" w:name="_GoBack"/>
      <w:bookmarkStart w:id="2" w:name="_Toc76683313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实施行政强制措施决定书</w:t>
      </w:r>
      <w:bookmarkEnd w:id="3"/>
      <w:bookmarkEnd w:id="2"/>
    </w:p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市监强制〔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64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当事人：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主体资格证照名称：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统一社会信用代码：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住所（住址）：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法定代表人（负责人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、经营者</w:t>
      </w:r>
      <w:r>
        <w:rPr>
          <w:rFonts w:hint="eastAsia" w:ascii="Times New Roman" w:hAnsi="Times New Roman" w:eastAsia="仿宋_GB2312" w:cs="仿宋"/>
          <w:sz w:val="32"/>
          <w:szCs w:val="32"/>
        </w:rPr>
        <w:t>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身份证件号码：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其他联系方式：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 </w:t>
      </w:r>
    </w:p>
    <w:p>
      <w:pPr>
        <w:spacing w:line="520" w:lineRule="exact"/>
        <w:ind w:firstLine="56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20" w:lineRule="exact"/>
        <w:ind w:firstLine="600" w:firstLineChars="2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pacing w:val="-10"/>
          <w:sz w:val="32"/>
          <w:szCs w:val="32"/>
        </w:rPr>
        <w:t>经查，你（单位）涉嫌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，本局依据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的规定，决定对有关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场所/设施/财物(详见《场所/设施/财物清单》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文书编号：  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)</w:t>
      </w:r>
      <w:r>
        <w:rPr>
          <w:rFonts w:hint="eastAsia" w:ascii="Times New Roman" w:hAnsi="Times New Roman" w:eastAsia="仿宋_GB2312" w:cs="仿宋"/>
          <w:sz w:val="32"/>
          <w:szCs w:val="32"/>
        </w:rPr>
        <w:t>实施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行政强制措施。</w:t>
      </w:r>
    </w:p>
    <w:p>
      <w:pPr>
        <w:spacing w:line="520" w:lineRule="exact"/>
        <w:ind w:firstLine="616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pacing w:val="-6"/>
          <w:sz w:val="32"/>
          <w:szCs w:val="32"/>
        </w:rPr>
        <w:t>实施行政强制措施的期限为</w:t>
      </w:r>
      <w:r>
        <w:rPr>
          <w:rFonts w:hint="eastAsia" w:ascii="Times New Roman" w:hAnsi="Times New Roman" w:eastAsia="仿宋_GB2312" w:cs="仿宋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日。情况复杂，需要延长强制措施期限的，本局将书面告知。对物品需要进行检测、检验、检疫或者技术鉴定的，查封、扣押的期间不包括检测、检验、检疫或者技术鉴定的期间，检测、检验、检疫或者技术鉴定的期间本局将书面告知。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查封/扣押</w:t>
      </w:r>
      <w:r>
        <w:rPr>
          <w:rFonts w:hint="eastAsia" w:ascii="Times New Roman" w:hAnsi="Times New Roman" w:eastAsia="仿宋_GB2312" w:cs="仿宋"/>
          <w:sz w:val="32"/>
          <w:szCs w:val="32"/>
        </w:rPr>
        <w:t>的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场所/设施/财物</w:t>
      </w:r>
      <w:r>
        <w:rPr>
          <w:rFonts w:hint="eastAsia" w:ascii="Times New Roman" w:hAnsi="Times New Roman" w:eastAsia="仿宋_GB2312" w:cs="仿宋"/>
          <w:sz w:val="32"/>
          <w:szCs w:val="32"/>
        </w:rPr>
        <w:t>应当妥善保管，任何人不得随意动用或者损毁。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你（单位）可以对本行政强制措施决定进行陈述和申辩。如对本决定不服，可以在收到本决定之日起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仿宋"/>
          <w:sz w:val="32"/>
          <w:szCs w:val="32"/>
        </w:rPr>
        <w:t>内向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申请行政复议；也可以在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仿宋"/>
          <w:sz w:val="32"/>
          <w:szCs w:val="32"/>
        </w:rPr>
        <w:t>内依法向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 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人民法院提起行政诉讼。</w:t>
      </w:r>
    </w:p>
    <w:p>
      <w:pPr>
        <w:spacing w:line="52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附件：《场所/设施/财物清单》（文书编号：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 </w:t>
      </w: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77696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76672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2021-07-24T04:20:08Z</dcterms:created>
  <dc:creator>lenovo</dc:creator>
  <cp:lastModifiedBy>王浩</cp:lastModifiedBy>
  <dcterms:modified xsi:type="dcterms:W3CDTF">2021-07-24T04:20:37Z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