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23"/>
      <w:bookmarkStart w:id="1" w:name="_Toc122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widowControl/>
        <w:snapToGrid w:val="0"/>
        <w:spacing w:line="560" w:lineRule="exact"/>
        <w:ind w:right="55"/>
        <w:jc w:val="center"/>
        <w:outlineLvl w:val="0"/>
        <w:rPr>
          <w:rFonts w:ascii="Times New Roman" w:hAnsi="Mongolian Baiti" w:eastAsia="方正小标宋简体" w:cs="Mongolian Baiti"/>
          <w:bCs/>
          <w:sz w:val="44"/>
          <w:szCs w:val="44"/>
        </w:rPr>
      </w:pPr>
      <w:bookmarkStart w:id="3" w:name="_GoBack"/>
      <w:bookmarkStart w:id="2" w:name="_Toc76683324"/>
      <w:r>
        <w:rPr>
          <w:rFonts w:hint="eastAsia" w:ascii="Times New Roman" w:hAnsi="Mongolian Baiti" w:eastAsia="方正小标宋简体" w:cs="Mongolian Baiti"/>
          <w:bCs/>
          <w:sz w:val="44"/>
          <w:szCs w:val="44"/>
        </w:rPr>
        <w:t>先行处置物品确认书</w:t>
      </w:r>
      <w:bookmarkEnd w:id="3"/>
      <w:bookmarkEnd w:id="2"/>
    </w:p>
    <w:tbl>
      <w:tblPr>
        <w:tblStyle w:val="2"/>
        <w:tblpPr w:leftFromText="180" w:rightFromText="180" w:vertAnchor="text" w:horzAnchor="margin" w:tblpXSpec="center" w:tblpY="42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权利人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告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事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依据《市场监督管理行政处罚程序规定》第四十一条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第三款的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规定，告知如下：</w:t>
            </w:r>
          </w:p>
          <w:p>
            <w:pPr>
              <w:overflowPunct w:val="0"/>
              <w:spacing w:line="3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于查封、扣押的场所、设施或者财物，除法律、法规另有规定外，容易损毁、灭失、变质、保管困难或者保管费用过高、季节性商品等不宜长期保存的物品，在确定为罚没财物前，经权利人同意或者申请，并经市场监督管理部门负责人批准，在采取相关措施留存证据后，可以依法先行处置。</w:t>
            </w:r>
          </w:p>
          <w:p>
            <w:pPr>
              <w:overflowPunct w:val="0"/>
              <w:spacing w:line="3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先行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处置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物品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范围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□依据《实施行政强制措施决定书》（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市监</w:t>
            </w:r>
            <w:r>
              <w:rPr>
                <w:rFonts w:hint="eastAsia" w:ascii="仿宋_GB2312" w:hAnsi="仿宋_GB2312" w:eastAsia="仿宋_GB2312" w:cs="仿宋_GB2312"/>
                <w:sz w:val="24"/>
                <w:u w:val="none"/>
              </w:rPr>
              <w:t>强制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〔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〕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号），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查封/扣押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的全部物品（详见《场所/设施/财物清单》文书编号：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）；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□依据《实施行政强制措施决定书》（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市监</w:t>
            </w:r>
            <w:r>
              <w:rPr>
                <w:rFonts w:hint="eastAsia" w:ascii="仿宋_GB2312" w:hAnsi="仿宋_GB2312" w:eastAsia="仿宋_GB2312" w:cs="仿宋_GB2312"/>
                <w:sz w:val="24"/>
                <w:u w:val="none"/>
              </w:rPr>
              <w:t>强制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〔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〕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号），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查封/扣押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物品中的下列物品：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            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                                   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先行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处置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方式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□委托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依法进行拍卖；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□通过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方式进行变卖；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执法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人员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方式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overflowPunct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overflowPunct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 系 人：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</w:t>
            </w:r>
          </w:p>
          <w:p>
            <w:pPr>
              <w:overflowPunct w:val="0"/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联系地址：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权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利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认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spacing w:before="120" w:beforeLines="0"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上述物品属于《市场监督管理行政处罚程序规定》第四十一条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第三款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规定的不宜长期保存的物品，本人（单位）清楚了解先行处置的内容及后果，为防止造成不必要的损失，本人（单位）同意按照上述处置方式先行处置。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权利人：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spacing w:line="320" w:lineRule="exact"/>
              <w:ind w:firstLine="3360" w:firstLineChars="14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20" w:lineRule="exact"/>
              <w:ind w:firstLine="3360" w:firstLineChars="14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421" w:type="dxa"/>
            <w:noWrap w:val="0"/>
            <w:vAlign w:val="top"/>
          </w:tcPr>
          <w:p>
            <w:pPr>
              <w:spacing w:before="120" w:beforeLines="0"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7C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2021-07-24T04:31:27Z</dcterms:created>
  <dc:creator>lenovo</dc:creator>
  <cp:lastModifiedBy>王浩</cp:lastModifiedBy>
  <dcterms:modified xsi:type="dcterms:W3CDTF">2021-07-24T04:31:44Z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