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76683375"/>
      <w:bookmarkStart w:id="1" w:name="_Toc6197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000000"/>
          <w:sz w:val="44"/>
          <w:szCs w:val="44"/>
        </w:rPr>
      </w:pPr>
      <w:bookmarkStart w:id="3" w:name="_GoBack"/>
      <w:bookmarkStart w:id="2" w:name="_Toc76683376"/>
      <w:r>
        <w:rPr>
          <w:rFonts w:hint="eastAsia" w:ascii="Times New Roman" w:hAnsi="方正小标宋简体" w:eastAsia="方正小标宋简体" w:cs="方正小标宋简体"/>
          <w:bCs/>
          <w:color w:val="000000"/>
          <w:sz w:val="44"/>
          <w:szCs w:val="44"/>
        </w:rPr>
        <w:t>行政处罚文书送达公告</w:t>
      </w:r>
      <w:bookmarkEnd w:id="2"/>
    </w:p>
    <w:bookmarkEnd w:id="3"/>
    <w:p>
      <w:pPr>
        <w:spacing w:line="600" w:lineRule="exact"/>
        <w:jc w:val="center"/>
        <w:rPr>
          <w:rFonts w:ascii="Times New Roman" w:hAnsi="Times New Roman" w:eastAsia="仿宋_GB2312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w:t>市监罚送告〔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w:t>号</w:t>
      </w:r>
    </w:p>
    <w:p>
      <w:pPr>
        <w:spacing w:line="560" w:lineRule="exact"/>
        <w:jc w:val="center"/>
        <w:rPr>
          <w:rFonts w:ascii="Times New Roman" w:hAnsi="Times New Roman" w:eastAsia="仿宋_GB2312" w:cs="仿宋"/>
          <w:bCs/>
          <w:color w:val="000000"/>
          <w:sz w:val="32"/>
          <w:szCs w:val="32"/>
        </w:rPr>
      </w:pPr>
    </w:p>
    <w:p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黑体" w:eastAsia="仿宋_GB2312"/>
          <w:sz w:val="32"/>
          <w:szCs w:val="32"/>
        </w:rPr>
        <w:t>：</w:t>
      </w:r>
    </w:p>
    <w:p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本局于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  <w:lang w:eastAsia="zh-CN"/>
        </w:rPr>
        <w:t>　　　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  <w:lang w:eastAsia="zh-CN"/>
        </w:rPr>
        <w:t>　　　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  <w:lang w:eastAsia="zh-CN"/>
        </w:rPr>
        <w:t>　　　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日依法对你（单位）作出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  <w:t xml:space="preserve">                    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，因</w:t>
      </w:r>
      <w:r>
        <w:rPr>
          <w:rFonts w:hint="eastAsia" w:ascii="仿宋_GB2312" w:hAnsi="黑体" w:eastAsia="仿宋_GB2312"/>
          <w:sz w:val="32"/>
          <w:szCs w:val="32"/>
          <w:u w:val="single"/>
        </w:rPr>
        <w:t>你下落不明/采取其他送达方式无法送达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  <w:t xml:space="preserve">                                               ， </w:t>
      </w:r>
    </w:p>
    <w:p>
      <w:pPr>
        <w:tabs>
          <w:tab w:val="left" w:pos="1975"/>
        </w:tabs>
        <w:spacing w:line="560" w:lineRule="exact"/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内容是：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  <w:t xml:space="preserve">                                           。</w:t>
      </w:r>
    </w:p>
    <w:p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之日起六十日内到本局领取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  <w:t xml:space="preserve">                           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，逾期不领取即视为送达。</w:t>
      </w:r>
    </w:p>
    <w:p>
      <w:pPr>
        <w:tabs>
          <w:tab w:val="left" w:pos="1975"/>
        </w:tabs>
        <w:spacing w:line="560" w:lineRule="exact"/>
        <w:ind w:firstLine="640" w:firstLineChars="20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楷体_GB2312" w:eastAsia="楷体_GB2312"/>
          <w:sz w:val="32"/>
          <w:szCs w:val="32"/>
        </w:rPr>
        <w:t>告知当事人陈述、申辩、复议、诉讼等权利</w:t>
      </w:r>
      <w:r>
        <w:rPr>
          <w:rFonts w:hint="eastAsia" w:ascii="黑体" w:eastAsia="黑体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hint="eastAsia" w:ascii="黑体" w:hAnsi="Arial" w:eastAsia="黑体" w:cs="Arial"/>
          <w:color w:val="191919"/>
          <w:sz w:val="32"/>
          <w:szCs w:val="32"/>
          <w:shd w:val="clear" w:color="auto" w:fill="FFFFFF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  <w:t xml:space="preserve">                </w:t>
      </w: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  <w:t xml:space="preserve">               </w:t>
      </w:r>
      <w:r>
        <w:rPr>
          <w:rFonts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  <w:t xml:space="preserve">    </w:t>
      </w: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191919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191919"/>
          <w:sz w:val="32"/>
          <w:szCs w:val="32"/>
          <w:u w:val="single"/>
          <w:shd w:val="clear" w:color="auto" w:fill="FFFFFF"/>
        </w:rPr>
        <w:t xml:space="preserve">                                         </w:t>
      </w:r>
    </w:p>
    <w:p>
      <w:pPr>
        <w:tabs>
          <w:tab w:val="left" w:pos="4715"/>
        </w:tabs>
        <w:spacing w:line="560" w:lineRule="exact"/>
        <w:ind w:firstLine="4337" w:firstLineChars="1350"/>
        <w:rPr>
          <w:rFonts w:hint="eastAsia" w:ascii="仿宋_GB2312" w:hAnsi="黑体" w:eastAsia="仿宋_GB2312"/>
          <w:b/>
          <w:sz w:val="32"/>
          <w:szCs w:val="32"/>
          <w:u w:val="single"/>
        </w:rPr>
      </w:pPr>
    </w:p>
    <w:p>
      <w:pPr>
        <w:tabs>
          <w:tab w:val="left" w:pos="4715"/>
        </w:tabs>
        <w:spacing w:line="560" w:lineRule="exact"/>
        <w:ind w:firstLine="4337" w:firstLineChars="1350"/>
        <w:rPr>
          <w:rFonts w:hint="eastAsia" w:ascii="仿宋_GB2312" w:hAnsi="黑体" w:eastAsia="仿宋_GB2312"/>
          <w:b/>
          <w:sz w:val="32"/>
          <w:szCs w:val="32"/>
          <w:u w:val="single"/>
        </w:rPr>
      </w:pPr>
    </w:p>
    <w:p>
      <w:pPr>
        <w:tabs>
          <w:tab w:val="left" w:pos="4715"/>
        </w:tabs>
        <w:spacing w:line="560" w:lineRule="exact"/>
        <w:ind w:firstLine="4337" w:firstLineChars="135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  <w:u w:val="single"/>
        </w:rPr>
        <w:t xml:space="preserve">        </w:t>
      </w:r>
      <w:r>
        <w:rPr>
          <w:rFonts w:hint="eastAsia" w:ascii="仿宋_GB2312" w:hAnsi="黑体" w:eastAsia="仿宋_GB2312"/>
          <w:sz w:val="32"/>
          <w:szCs w:val="32"/>
        </w:rPr>
        <w:t>市场监督管理局</w:t>
      </w:r>
    </w:p>
    <w:p>
      <w:pPr>
        <w:tabs>
          <w:tab w:val="left" w:pos="5370"/>
        </w:tabs>
        <w:spacing w:line="560" w:lineRule="exact"/>
        <w:ind w:firstLine="5440" w:firstLineChars="17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 印   章 ）</w:t>
      </w:r>
    </w:p>
    <w:p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年    月    日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  </w:t>
      </w:r>
    </w:p>
    <w:p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0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727872;mso-width-relative:page;mso-height-relative:page;" filled="f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qUCoPdoBAACZ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26848;mso-width-relative:page;mso-height-relative:page;" filled="f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i11b13Q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7/OR1wAAAAoBAAAPAAAA&#10;AAAAAAEAIAAAACIAAABkcnMvZG93bnJldi54bWxQSwECFAAUAAAACACHTuJAYtdW9d0BAACXAwAA&#10;DgAAAAAAAAABACAAAAAmAQAAZHJzL2Uyb0RvYy54bWxQSwUGAAAAAAYABgBZAQAAdQUAAAAA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C6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2021-07-24T05:08:32Z</dcterms:created>
  <dc:creator>lenovo</dc:creator>
  <cp:lastModifiedBy>王浩</cp:lastModifiedBy>
  <dcterms:modified xsi:type="dcterms:W3CDTF">2021-07-24T05:08:51Z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