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专项省预算内投资计划绩效目标表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05"/>
        <w:gridCol w:w="1559"/>
        <w:gridCol w:w="858"/>
        <w:gridCol w:w="258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专项名称</w:t>
            </w:r>
          </w:p>
        </w:tc>
        <w:tc>
          <w:tcPr>
            <w:tcW w:w="4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  <w:lang w:eastAsia="zh-CN"/>
              </w:rPr>
              <w:t>下达</w:t>
            </w:r>
            <w:r>
              <w:rPr>
                <w:rFonts w:hint="eastAsia" w:ascii="黑体" w:hAnsi="黑体" w:eastAsia="黑体" w:cs="黑体"/>
                <w:sz w:val="21"/>
                <w:szCs w:val="18"/>
              </w:rPr>
              <w:t>地方或单位</w:t>
            </w:r>
          </w:p>
        </w:tc>
        <w:tc>
          <w:tcPr>
            <w:tcW w:w="4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本次</w:t>
            </w:r>
            <w:r>
              <w:rPr>
                <w:rFonts w:hint="eastAsia" w:ascii="黑体" w:hAnsi="黑体" w:eastAsia="黑体" w:cs="黑体"/>
                <w:sz w:val="21"/>
                <w:szCs w:val="18"/>
                <w:lang w:eastAsia="zh-CN"/>
              </w:rPr>
              <w:t>下达省</w:t>
            </w:r>
            <w:r>
              <w:rPr>
                <w:rFonts w:hint="eastAsia" w:ascii="黑体" w:hAnsi="黑体" w:eastAsia="黑体" w:cs="黑体"/>
                <w:sz w:val="21"/>
                <w:szCs w:val="18"/>
              </w:rPr>
              <w:t>预算内投资（万元）</w:t>
            </w:r>
          </w:p>
        </w:tc>
        <w:tc>
          <w:tcPr>
            <w:tcW w:w="48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标</w:t>
            </w:r>
          </w:p>
        </w:tc>
        <w:tc>
          <w:tcPr>
            <w:tcW w:w="90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标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一级指标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二级指标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三级指标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实施效果指标</w:t>
            </w:r>
          </w:p>
        </w:tc>
        <w:tc>
          <w:tcPr>
            <w:tcW w:w="1559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产出指标</w:t>
            </w:r>
          </w:p>
        </w:tc>
        <w:tc>
          <w:tcPr>
            <w:tcW w:w="3441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数量指标（如：支持项目个数、支持市州个数、建设规模等）</w:t>
            </w:r>
          </w:p>
        </w:tc>
        <w:tc>
          <w:tcPr>
            <w:tcW w:w="231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质量指标（如：项目验收通过率等）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时效指标（如：年度建设任务完成率、当年投入使用率等）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效益指标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社会效益指标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生态效益指标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满意度指标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过程管理指标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计划管理指标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“两个责任”按项目落实到位率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资金管理指标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预算内投资支付率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总投资完成率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项目管理指标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项目开工率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≥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超规模、超标准、超概算项目比例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≤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18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监督检查指标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审计、督查、巡视等指出问题项目比例</w:t>
            </w:r>
          </w:p>
        </w:tc>
        <w:tc>
          <w:tcPr>
            <w:tcW w:w="2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18"/>
                <w:lang w:val="en-US" w:eastAsia="zh-CN"/>
              </w:rPr>
              <w:t>≤  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wordWrap w:val="0"/>
        <w:ind w:left="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备注：三级指标及指标值由各专项安排处室结合本专项项目特点设置，指标项可增减或调整。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36371"/>
    <w:rsid w:val="01AD573E"/>
    <w:rsid w:val="0DB141CB"/>
    <w:rsid w:val="21C517FE"/>
    <w:rsid w:val="26334891"/>
    <w:rsid w:val="283F1960"/>
    <w:rsid w:val="46BD2CD2"/>
    <w:rsid w:val="4A3B6FBA"/>
    <w:rsid w:val="531D410E"/>
    <w:rsid w:val="55D36371"/>
    <w:rsid w:val="64744152"/>
    <w:rsid w:val="6BC1392B"/>
    <w:rsid w:val="6BEF3568"/>
    <w:rsid w:val="6CFB084B"/>
    <w:rsid w:val="77073972"/>
    <w:rsid w:val="78C75771"/>
    <w:rsid w:val="7B1679B5"/>
    <w:rsid w:val="7B2C0832"/>
    <w:rsid w:val="7D881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 w:cs="Times New Roman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iPriority w:val="0"/>
    <w:pPr>
      <w:spacing w:after="120" w:afterLines="0" w:afterAutospacing="0"/>
      <w:ind w:left="420" w:leftChars="200"/>
    </w:pPr>
    <w:rPr>
      <w:rFonts w:ascii="Times New Roman" w:hAnsi="Times New Roman" w:eastAsia="仿宋_GB2312" w:cs="Times New Roman"/>
    </w:rPr>
  </w:style>
  <w:style w:type="paragraph" w:styleId="4">
    <w:name w:val="Body Text First Indent 2"/>
    <w:basedOn w:val="3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2019-12-03T03:03:00Z</dcterms:created>
  <dc:creator>NTKO</dc:creator>
  <cp:lastModifiedBy>lenovo</cp:lastModifiedBy>
  <dcterms:modified xsi:type="dcterms:W3CDTF">2020-12-23T07:17:41Z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